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DCED0" w14:textId="141D9865" w:rsidR="00C80C42" w:rsidRDefault="00490DC8">
      <w:pPr>
        <w:pStyle w:val="Titel"/>
      </w:pPr>
      <w:r w:rsidRPr="00490DC8">
        <w:rPr>
          <w:bCs/>
        </w:rPr>
        <w:t xml:space="preserve"> </w:t>
      </w:r>
      <w:proofErr w:type="spellStart"/>
      <w:r w:rsidRPr="006C01D7">
        <w:rPr>
          <w:bCs/>
        </w:rPr>
        <w:t>GeoAI</w:t>
      </w:r>
      <w:proofErr w:type="spellEnd"/>
      <w:r w:rsidR="00340FC0">
        <w:rPr>
          <w:bCs/>
        </w:rPr>
        <w:t xml:space="preserve"> </w:t>
      </w:r>
      <w:r w:rsidRPr="006C01D7">
        <w:rPr>
          <w:bCs/>
        </w:rPr>
        <w:t>support for the common operational picture</w:t>
      </w:r>
      <w:r>
        <w:rPr>
          <w:bCs/>
        </w:rPr>
        <w:t xml:space="preserve">: </w:t>
      </w:r>
      <w:r w:rsidRPr="00835C65">
        <w:rPr>
          <w:bCs/>
        </w:rPr>
        <w:t>challenges</w:t>
      </w:r>
      <w:r>
        <w:rPr>
          <w:bCs/>
        </w:rPr>
        <w:t xml:space="preserve"> for applying generative AI in </w:t>
      </w:r>
      <w:r w:rsidRPr="00835C65">
        <w:rPr>
          <w:bCs/>
        </w:rPr>
        <w:t>risk determination and spatial planning</w:t>
      </w:r>
    </w:p>
    <w:tbl>
      <w:tblPr>
        <w:tblStyle w:val="4"/>
        <w:tblW w:w="9360" w:type="dxa"/>
        <w:tblLayout w:type="fixed"/>
        <w:tblLook w:val="0000" w:firstRow="0" w:lastRow="0" w:firstColumn="0" w:lastColumn="0" w:noHBand="0" w:noVBand="0"/>
      </w:tblPr>
      <w:tblGrid>
        <w:gridCol w:w="4680"/>
        <w:gridCol w:w="4680"/>
      </w:tblGrid>
      <w:tr w:rsidR="00BB704E" w14:paraId="3A6419BE" w14:textId="77777777" w:rsidTr="00197601">
        <w:tc>
          <w:tcPr>
            <w:tcW w:w="4680" w:type="dxa"/>
            <w:tcMar>
              <w:left w:w="108" w:type="dxa"/>
              <w:right w:w="108" w:type="dxa"/>
            </w:tcMar>
          </w:tcPr>
          <w:p w14:paraId="70AE5DC6" w14:textId="77777777" w:rsidR="00BB704E" w:rsidRDefault="00BB704E" w:rsidP="008C2303">
            <w:pPr>
              <w:pBdr>
                <w:top w:val="nil"/>
                <w:left w:val="nil"/>
                <w:bottom w:val="nil"/>
                <w:right w:val="nil"/>
                <w:between w:val="nil"/>
              </w:pBdr>
              <w:jc w:val="center"/>
              <w:rPr>
                <w:color w:val="000000"/>
              </w:rPr>
            </w:pPr>
          </w:p>
        </w:tc>
        <w:tc>
          <w:tcPr>
            <w:tcW w:w="4680" w:type="dxa"/>
            <w:tcMar>
              <w:left w:w="108" w:type="dxa"/>
              <w:right w:w="108" w:type="dxa"/>
            </w:tcMar>
          </w:tcPr>
          <w:p w14:paraId="6C507175" w14:textId="77777777" w:rsidR="00BB704E" w:rsidRDefault="00BB704E" w:rsidP="008C2303">
            <w:pPr>
              <w:pBdr>
                <w:top w:val="nil"/>
                <w:left w:val="nil"/>
                <w:bottom w:val="nil"/>
                <w:right w:val="nil"/>
                <w:between w:val="nil"/>
              </w:pBdr>
              <w:spacing w:after="0" w:line="276" w:lineRule="auto"/>
              <w:jc w:val="left"/>
              <w:rPr>
                <w:color w:val="000000"/>
              </w:rPr>
            </w:pPr>
          </w:p>
          <w:p w14:paraId="651D9182" w14:textId="77777777" w:rsidR="00BB704E" w:rsidRDefault="00BB704E" w:rsidP="008C2303">
            <w:pPr>
              <w:pBdr>
                <w:top w:val="nil"/>
                <w:left w:val="nil"/>
                <w:bottom w:val="nil"/>
                <w:right w:val="nil"/>
                <w:between w:val="nil"/>
              </w:pBdr>
              <w:spacing w:after="0" w:line="276" w:lineRule="auto"/>
              <w:jc w:val="left"/>
              <w:rPr>
                <w:color w:val="000000"/>
              </w:rPr>
            </w:pPr>
          </w:p>
        </w:tc>
      </w:tr>
      <w:tr w:rsidR="00BB704E" w:rsidRPr="00D36651" w14:paraId="34DB1B7D" w14:textId="77777777" w:rsidTr="00197601">
        <w:tc>
          <w:tcPr>
            <w:tcW w:w="4680" w:type="dxa"/>
            <w:tcMar>
              <w:left w:w="108" w:type="dxa"/>
              <w:right w:w="108" w:type="dxa"/>
            </w:tcMar>
          </w:tcPr>
          <w:p w14:paraId="2D3C6EFB" w14:textId="77777777" w:rsidR="00BB704E" w:rsidRDefault="00BB704E" w:rsidP="008C2303">
            <w:pPr>
              <w:pBdr>
                <w:top w:val="nil"/>
                <w:left w:val="nil"/>
                <w:bottom w:val="nil"/>
                <w:right w:val="nil"/>
                <w:between w:val="nil"/>
              </w:pBdr>
              <w:spacing w:after="0"/>
              <w:jc w:val="center"/>
              <w:rPr>
                <w:b/>
                <w:color w:val="000000"/>
                <w:sz w:val="32"/>
                <w:szCs w:val="32"/>
              </w:rPr>
            </w:pPr>
          </w:p>
          <w:p w14:paraId="027A6EAD" w14:textId="77777777" w:rsidR="00BB704E" w:rsidRDefault="00BB704E" w:rsidP="008C2303">
            <w:pPr>
              <w:pBdr>
                <w:top w:val="nil"/>
                <w:left w:val="nil"/>
                <w:bottom w:val="nil"/>
                <w:right w:val="nil"/>
                <w:between w:val="nil"/>
              </w:pBdr>
              <w:spacing w:after="0"/>
              <w:jc w:val="center"/>
              <w:rPr>
                <w:color w:val="000000"/>
              </w:rPr>
            </w:pPr>
            <w:r>
              <w:rPr>
                <w:b/>
                <w:color w:val="000000"/>
                <w:sz w:val="32"/>
                <w:szCs w:val="32"/>
              </w:rPr>
              <w:t>Rob Peters</w:t>
            </w:r>
          </w:p>
          <w:p w14:paraId="2DF48E02" w14:textId="77777777" w:rsidR="00BB704E" w:rsidRDefault="00BB704E" w:rsidP="008C2303">
            <w:pPr>
              <w:pBdr>
                <w:top w:val="nil"/>
                <w:left w:val="nil"/>
                <w:bottom w:val="nil"/>
                <w:right w:val="nil"/>
                <w:between w:val="nil"/>
              </w:pBdr>
              <w:spacing w:after="0"/>
              <w:jc w:val="center"/>
              <w:rPr>
                <w:color w:val="000000"/>
              </w:rPr>
            </w:pPr>
            <w:r>
              <w:rPr>
                <w:color w:val="000000"/>
                <w:sz w:val="24"/>
                <w:szCs w:val="24"/>
              </w:rPr>
              <w:t>Province of Utrecht</w:t>
            </w:r>
          </w:p>
          <w:p w14:paraId="19F8AE2F" w14:textId="77777777" w:rsidR="00BB704E" w:rsidRDefault="00BB704E" w:rsidP="008C2303">
            <w:pPr>
              <w:pBdr>
                <w:top w:val="nil"/>
                <w:left w:val="nil"/>
                <w:bottom w:val="nil"/>
                <w:right w:val="nil"/>
                <w:between w:val="nil"/>
              </w:pBdr>
              <w:spacing w:after="0"/>
              <w:jc w:val="center"/>
              <w:rPr>
                <w:color w:val="000000"/>
              </w:rPr>
            </w:pPr>
            <w:hyperlink r:id="rId7" w:history="1">
              <w:r w:rsidRPr="00DF1F6B">
                <w:rPr>
                  <w:rStyle w:val="Hyperlink"/>
                  <w:sz w:val="24"/>
                  <w:szCs w:val="24"/>
                </w:rPr>
                <w:t>rob.peters@provincie-utrecht.nl</w:t>
              </w:r>
            </w:hyperlink>
          </w:p>
        </w:tc>
        <w:tc>
          <w:tcPr>
            <w:tcW w:w="4680" w:type="dxa"/>
            <w:tcMar>
              <w:left w:w="108" w:type="dxa"/>
              <w:right w:w="108" w:type="dxa"/>
            </w:tcMar>
          </w:tcPr>
          <w:p w14:paraId="743F082E" w14:textId="77777777" w:rsidR="00BB704E" w:rsidRDefault="00BB704E" w:rsidP="008C2303">
            <w:pPr>
              <w:pBdr>
                <w:top w:val="nil"/>
                <w:left w:val="nil"/>
                <w:bottom w:val="nil"/>
                <w:right w:val="nil"/>
                <w:between w:val="nil"/>
              </w:pBdr>
              <w:spacing w:after="0"/>
              <w:jc w:val="center"/>
              <w:rPr>
                <w:b/>
                <w:color w:val="000000"/>
                <w:sz w:val="32"/>
                <w:szCs w:val="32"/>
              </w:rPr>
            </w:pPr>
          </w:p>
          <w:p w14:paraId="3129B503" w14:textId="77777777" w:rsidR="00BB704E" w:rsidRDefault="00BB704E" w:rsidP="008C2303">
            <w:pPr>
              <w:pBdr>
                <w:top w:val="nil"/>
                <w:left w:val="nil"/>
                <w:bottom w:val="nil"/>
                <w:right w:val="nil"/>
                <w:between w:val="nil"/>
              </w:pBdr>
              <w:spacing w:after="0"/>
              <w:jc w:val="center"/>
              <w:rPr>
                <w:color w:val="000000"/>
              </w:rPr>
            </w:pPr>
            <w:r>
              <w:rPr>
                <w:b/>
                <w:color w:val="000000"/>
                <w:sz w:val="32"/>
                <w:szCs w:val="32"/>
              </w:rPr>
              <w:t>Willem Treurniet</w:t>
            </w:r>
          </w:p>
          <w:p w14:paraId="281207F0" w14:textId="77777777" w:rsidR="00BB704E" w:rsidRPr="00F4185B" w:rsidRDefault="00BB704E" w:rsidP="008C2303">
            <w:pPr>
              <w:pBdr>
                <w:top w:val="nil"/>
                <w:left w:val="nil"/>
                <w:bottom w:val="nil"/>
                <w:right w:val="nil"/>
                <w:between w:val="nil"/>
              </w:pBdr>
              <w:spacing w:after="0"/>
              <w:jc w:val="center"/>
              <w:rPr>
                <w:color w:val="000000"/>
              </w:rPr>
            </w:pPr>
            <w:r w:rsidRPr="00F4185B">
              <w:rPr>
                <w:color w:val="000000"/>
                <w:sz w:val="24"/>
                <w:szCs w:val="24"/>
              </w:rPr>
              <w:t>Netherlands Institute for Public Safety (NIPV)</w:t>
            </w:r>
          </w:p>
          <w:p w14:paraId="56C73F7A" w14:textId="77777777" w:rsidR="00BB704E" w:rsidRPr="00D36651" w:rsidRDefault="00BB704E" w:rsidP="008C2303">
            <w:pPr>
              <w:pBdr>
                <w:top w:val="nil"/>
                <w:left w:val="nil"/>
                <w:bottom w:val="nil"/>
                <w:right w:val="nil"/>
                <w:between w:val="nil"/>
              </w:pBdr>
              <w:spacing w:after="0"/>
              <w:jc w:val="center"/>
              <w:rPr>
                <w:color w:val="000000"/>
                <w:lang w:val="nl-NL"/>
              </w:rPr>
            </w:pPr>
            <w:hyperlink r:id="rId8" w:history="1">
              <w:r w:rsidRPr="00D36651">
                <w:rPr>
                  <w:rStyle w:val="Hyperlink"/>
                  <w:sz w:val="24"/>
                  <w:szCs w:val="24"/>
                  <w:lang w:val="nl-NL"/>
                </w:rPr>
                <w:t>willem.treurniet@nipv.nl</w:t>
              </w:r>
            </w:hyperlink>
          </w:p>
        </w:tc>
      </w:tr>
      <w:tr w:rsidR="00BB704E" w:rsidRPr="00D36651" w14:paraId="7E1CB9D2" w14:textId="77777777" w:rsidTr="00197601">
        <w:tc>
          <w:tcPr>
            <w:tcW w:w="4680" w:type="dxa"/>
            <w:tcMar>
              <w:left w:w="108" w:type="dxa"/>
              <w:right w:w="108" w:type="dxa"/>
            </w:tcMar>
          </w:tcPr>
          <w:p w14:paraId="54BA6107" w14:textId="77777777" w:rsidR="00BB704E" w:rsidRPr="00D36651" w:rsidRDefault="00BB704E" w:rsidP="008C2303">
            <w:pPr>
              <w:pBdr>
                <w:top w:val="nil"/>
                <w:left w:val="nil"/>
                <w:bottom w:val="nil"/>
                <w:right w:val="nil"/>
                <w:between w:val="nil"/>
              </w:pBdr>
              <w:spacing w:after="0"/>
              <w:ind w:left="3690"/>
              <w:jc w:val="center"/>
              <w:rPr>
                <w:color w:val="000000"/>
                <w:lang w:val="nl-NL"/>
              </w:rPr>
            </w:pPr>
          </w:p>
        </w:tc>
        <w:tc>
          <w:tcPr>
            <w:tcW w:w="4680" w:type="dxa"/>
            <w:tcMar>
              <w:left w:w="108" w:type="dxa"/>
              <w:right w:w="108" w:type="dxa"/>
            </w:tcMar>
          </w:tcPr>
          <w:p w14:paraId="0D29227C" w14:textId="77777777" w:rsidR="00BB704E" w:rsidRPr="00D36651" w:rsidRDefault="00BB704E" w:rsidP="008C2303">
            <w:pPr>
              <w:pBdr>
                <w:top w:val="nil"/>
                <w:left w:val="nil"/>
                <w:bottom w:val="nil"/>
                <w:right w:val="nil"/>
                <w:between w:val="nil"/>
              </w:pBdr>
              <w:spacing w:after="0"/>
              <w:ind w:left="3690"/>
              <w:jc w:val="center"/>
              <w:rPr>
                <w:color w:val="000000"/>
                <w:lang w:val="nl-NL"/>
              </w:rPr>
            </w:pPr>
          </w:p>
        </w:tc>
      </w:tr>
      <w:tr w:rsidR="00BB704E" w14:paraId="3A84F5BF" w14:textId="77777777" w:rsidTr="00197601">
        <w:tc>
          <w:tcPr>
            <w:tcW w:w="9360" w:type="dxa"/>
            <w:gridSpan w:val="2"/>
            <w:tcMar>
              <w:left w:w="108" w:type="dxa"/>
              <w:right w:w="108" w:type="dxa"/>
            </w:tcMar>
          </w:tcPr>
          <w:p w14:paraId="2F11B822" w14:textId="77777777" w:rsidR="00BB704E" w:rsidRDefault="00BB704E" w:rsidP="008C2303">
            <w:pPr>
              <w:pBdr>
                <w:top w:val="nil"/>
                <w:left w:val="nil"/>
                <w:bottom w:val="nil"/>
                <w:right w:val="nil"/>
                <w:between w:val="nil"/>
              </w:pBdr>
              <w:spacing w:after="0"/>
              <w:jc w:val="center"/>
              <w:rPr>
                <w:color w:val="000000"/>
              </w:rPr>
            </w:pPr>
            <w:r>
              <w:rPr>
                <w:b/>
                <w:color w:val="000000"/>
                <w:sz w:val="32"/>
                <w:szCs w:val="32"/>
              </w:rPr>
              <w:t>Guido Legemaate</w:t>
            </w:r>
          </w:p>
          <w:p w14:paraId="55D1BA28" w14:textId="77777777" w:rsidR="00BB704E" w:rsidRDefault="00BB704E" w:rsidP="008C2303">
            <w:pPr>
              <w:pBdr>
                <w:top w:val="nil"/>
                <w:left w:val="nil"/>
                <w:bottom w:val="nil"/>
                <w:right w:val="nil"/>
                <w:between w:val="nil"/>
              </w:pBdr>
              <w:spacing w:after="0"/>
              <w:jc w:val="center"/>
              <w:rPr>
                <w:color w:val="000000"/>
              </w:rPr>
            </w:pPr>
            <w:r>
              <w:rPr>
                <w:color w:val="000000"/>
                <w:sz w:val="24"/>
                <w:szCs w:val="24"/>
              </w:rPr>
              <w:t>Safety Region Amsterdam-</w:t>
            </w:r>
            <w:proofErr w:type="spellStart"/>
            <w:r>
              <w:rPr>
                <w:color w:val="000000"/>
                <w:sz w:val="24"/>
                <w:szCs w:val="24"/>
              </w:rPr>
              <w:t>Amstelland</w:t>
            </w:r>
            <w:proofErr w:type="spellEnd"/>
          </w:p>
          <w:p w14:paraId="69DF6725" w14:textId="77777777" w:rsidR="00BB704E" w:rsidRDefault="00BB704E" w:rsidP="008C2303">
            <w:pPr>
              <w:pBdr>
                <w:top w:val="nil"/>
                <w:left w:val="nil"/>
                <w:bottom w:val="nil"/>
                <w:right w:val="nil"/>
                <w:between w:val="nil"/>
              </w:pBdr>
              <w:spacing w:after="0"/>
              <w:jc w:val="center"/>
              <w:rPr>
                <w:color w:val="000000"/>
              </w:rPr>
            </w:pPr>
            <w:hyperlink r:id="rId9" w:history="1">
              <w:r w:rsidRPr="00D63E84">
                <w:rPr>
                  <w:rStyle w:val="Hyperlink"/>
                  <w:sz w:val="24"/>
                  <w:szCs w:val="24"/>
                </w:rPr>
                <w:t>guido.legemaate@veiligheidsregioaa.nl</w:t>
              </w:r>
            </w:hyperlink>
          </w:p>
        </w:tc>
      </w:tr>
    </w:tbl>
    <w:p w14:paraId="1A1773B7" w14:textId="77777777" w:rsidR="00C80C42" w:rsidRDefault="00CE3822">
      <w:pPr>
        <w:pStyle w:val="Kop1"/>
      </w:pPr>
      <w:r>
        <w:t>ABSTRACT</w:t>
      </w:r>
    </w:p>
    <w:p w14:paraId="0624FB8D" w14:textId="70AADC63" w:rsidR="002D61D8" w:rsidRDefault="002D61D8">
      <w:pPr>
        <w:pBdr>
          <w:top w:val="nil"/>
          <w:left w:val="nil"/>
          <w:bottom w:val="nil"/>
          <w:right w:val="nil"/>
          <w:between w:val="nil"/>
        </w:pBdr>
        <w:rPr>
          <w:color w:val="000000"/>
        </w:rPr>
      </w:pPr>
      <w:r w:rsidRPr="00D749A3">
        <w:rPr>
          <w:color w:val="000000"/>
        </w:rPr>
        <w:t xml:space="preserve">This practitioner’s paper examines three </w:t>
      </w:r>
      <w:r>
        <w:rPr>
          <w:color w:val="000000"/>
        </w:rPr>
        <w:t xml:space="preserve">generative </w:t>
      </w:r>
      <w:r w:rsidRPr="00D749A3">
        <w:rPr>
          <w:color w:val="000000"/>
        </w:rPr>
        <w:t>AI proof</w:t>
      </w:r>
      <w:r>
        <w:rPr>
          <w:color w:val="000000"/>
        </w:rPr>
        <w:t>s</w:t>
      </w:r>
      <w:r w:rsidRPr="00D749A3">
        <w:rPr>
          <w:color w:val="000000"/>
        </w:rPr>
        <w:noBreakHyphen/>
        <w:t>of</w:t>
      </w:r>
      <w:r w:rsidRPr="00D749A3">
        <w:rPr>
          <w:color w:val="000000"/>
        </w:rPr>
        <w:noBreakHyphen/>
        <w:t xml:space="preserve">concept </w:t>
      </w:r>
      <w:r>
        <w:rPr>
          <w:color w:val="000000"/>
        </w:rPr>
        <w:t>co-</w:t>
      </w:r>
      <w:r w:rsidRPr="00D749A3">
        <w:rPr>
          <w:color w:val="000000"/>
        </w:rPr>
        <w:t xml:space="preserve">developed </w:t>
      </w:r>
      <w:r>
        <w:rPr>
          <w:color w:val="000000"/>
        </w:rPr>
        <w:t xml:space="preserve">by professionals </w:t>
      </w:r>
      <w:r w:rsidRPr="00D749A3">
        <w:rPr>
          <w:color w:val="000000"/>
        </w:rPr>
        <w:t>to enhance rapid decision support in emergency management. The prototypes include a spatial opportunity</w:t>
      </w:r>
      <w:r w:rsidRPr="00D749A3">
        <w:rPr>
          <w:color w:val="000000"/>
        </w:rPr>
        <w:noBreakHyphen/>
        <w:t>map generator, a 3D geolocation and object</w:t>
      </w:r>
      <w:r w:rsidRPr="00D749A3">
        <w:rPr>
          <w:color w:val="000000"/>
        </w:rPr>
        <w:noBreakHyphen/>
        <w:t xml:space="preserve">classification tool, and an operational Virtual Assistant that automates situational awareness during incidents. Together, they demonstrate the growing potential of hybrid </w:t>
      </w:r>
      <w:proofErr w:type="spellStart"/>
      <w:r w:rsidRPr="00D749A3">
        <w:rPr>
          <w:color w:val="000000"/>
        </w:rPr>
        <w:t>GeoAI</w:t>
      </w:r>
      <w:proofErr w:type="spellEnd"/>
      <w:r w:rsidRPr="00D749A3">
        <w:rPr>
          <w:color w:val="000000"/>
        </w:rPr>
        <w:t xml:space="preserve"> systems to integrate scenario generation, spatial analysis and legislative constraints. While results show promising accuracy and applicability, particularly in accelerating incident information management, they also reveal limitations in interpreting complex policy frameworks. The paper assesses whether current AI solutions are sufficiently trustworthy and transparent for responsible operational adoption.</w:t>
      </w:r>
      <w:r>
        <w:rPr>
          <w:color w:val="000000"/>
        </w:rPr>
        <w:t xml:space="preserve"> The assessment was carried out by members of </w:t>
      </w:r>
      <w:proofErr w:type="spellStart"/>
      <w:r>
        <w:rPr>
          <w:color w:val="000000"/>
        </w:rPr>
        <w:t>Inowit</w:t>
      </w:r>
      <w:proofErr w:type="spellEnd"/>
      <w:r>
        <w:rPr>
          <w:color w:val="000000"/>
        </w:rPr>
        <w:t xml:space="preserve">, the Dutch </w:t>
      </w:r>
      <w:r w:rsidR="004D1D9A">
        <w:rPr>
          <w:color w:val="000000"/>
        </w:rPr>
        <w:t xml:space="preserve">National </w:t>
      </w:r>
      <w:r>
        <w:rPr>
          <w:color w:val="000000"/>
        </w:rPr>
        <w:t>advisory board on digital technology and innovation for emergency management.</w:t>
      </w:r>
      <w:r w:rsidR="00A32EEE">
        <w:rPr>
          <w:color w:val="000000"/>
        </w:rPr>
        <w:t xml:space="preserve"> </w:t>
      </w:r>
      <w:r w:rsidR="00854917">
        <w:rPr>
          <w:color w:val="000000"/>
        </w:rPr>
        <w:t>The aim of th</w:t>
      </w:r>
      <w:r w:rsidR="00A40AD7">
        <w:rPr>
          <w:color w:val="000000"/>
        </w:rPr>
        <w:t>is</w:t>
      </w:r>
      <w:r w:rsidR="00854917">
        <w:rPr>
          <w:color w:val="000000"/>
        </w:rPr>
        <w:t xml:space="preserve"> assessment is to feed the future research agenda</w:t>
      </w:r>
      <w:r w:rsidR="0036475F">
        <w:rPr>
          <w:color w:val="000000"/>
        </w:rPr>
        <w:t xml:space="preserve"> regarding validation of AI supported </w:t>
      </w:r>
      <w:r w:rsidR="00BE06FD">
        <w:rPr>
          <w:color w:val="000000"/>
        </w:rPr>
        <w:t xml:space="preserve">crisis </w:t>
      </w:r>
      <w:r w:rsidR="0036475F">
        <w:rPr>
          <w:color w:val="000000"/>
        </w:rPr>
        <w:t>information management</w:t>
      </w:r>
      <w:r w:rsidR="00854917">
        <w:rPr>
          <w:color w:val="000000"/>
        </w:rPr>
        <w:t>.</w:t>
      </w:r>
    </w:p>
    <w:p w14:paraId="3E6A4C8E" w14:textId="77777777" w:rsidR="00C80C42" w:rsidRDefault="00CE3822">
      <w:pPr>
        <w:pStyle w:val="Kop2"/>
      </w:pPr>
      <w:r>
        <w:t>Keywords</w:t>
      </w:r>
    </w:p>
    <w:p w14:paraId="4736D1CD" w14:textId="77777777" w:rsidR="00511221" w:rsidRDefault="00511221" w:rsidP="00511221">
      <w:pPr>
        <w:pBdr>
          <w:top w:val="nil"/>
          <w:left w:val="nil"/>
          <w:bottom w:val="nil"/>
          <w:right w:val="nil"/>
          <w:between w:val="nil"/>
        </w:pBdr>
        <w:jc w:val="left"/>
        <w:rPr>
          <w:color w:val="000000"/>
        </w:rPr>
      </w:pPr>
      <w:r>
        <w:rPr>
          <w:color w:val="000000"/>
        </w:rPr>
        <w:t>Geo AI, Emergency Information Management, Trustworthy AI</w:t>
      </w:r>
    </w:p>
    <w:p w14:paraId="2A93AE93" w14:textId="77777777" w:rsidR="001322E3" w:rsidRDefault="001322E3" w:rsidP="001322E3">
      <w:pPr>
        <w:pStyle w:val="Kop1"/>
      </w:pPr>
      <w:r>
        <w:t>INTRODUCTION</w:t>
      </w:r>
    </w:p>
    <w:p w14:paraId="7E9D0721" w14:textId="14D10345" w:rsidR="001322E3" w:rsidRPr="00991857" w:rsidRDefault="001322E3" w:rsidP="001322E3">
      <w:pPr>
        <w:rPr>
          <w:color w:val="000000"/>
        </w:rPr>
      </w:pPr>
      <w:r>
        <w:rPr>
          <w:lang w:val="en-AU"/>
        </w:rPr>
        <w:t xml:space="preserve">One of the most promising developments of generative AI in the field of emergency management information systems is the combination of fast scenario generation, object identification and multi factor </w:t>
      </w:r>
      <w:r w:rsidR="00210819">
        <w:rPr>
          <w:lang w:val="en-AU"/>
        </w:rPr>
        <w:t xml:space="preserve">scenario </w:t>
      </w:r>
      <w:r>
        <w:rPr>
          <w:lang w:val="en-AU"/>
        </w:rPr>
        <w:t xml:space="preserve">analyses. The problem in this combined development is to make AI-agents understand all the aspects that determine the accumulated risk and the allocation of resources in a truly spatial manner and to keep it maintainable. In this practitioner’s paper we will describe three AI proof-of-concepts </w:t>
      </w:r>
      <w:r w:rsidR="00996148">
        <w:rPr>
          <w:lang w:val="en-AU"/>
        </w:rPr>
        <w:t xml:space="preserve">and a validation mechanism </w:t>
      </w:r>
      <w:r>
        <w:rPr>
          <w:lang w:val="en-AU"/>
        </w:rPr>
        <w:t>that were co-developed by professionals to help their peers in rapid decision support. We explored whether we deem AI trustworthy and helpful enough from a practitioner’s point of view to implement such solutions at this moment in time.</w:t>
      </w:r>
      <w:r w:rsidR="002A082B">
        <w:rPr>
          <w:lang w:val="en-AU"/>
        </w:rPr>
        <w:t xml:space="preserve"> The assessment is carried out by an </w:t>
      </w:r>
      <w:r w:rsidR="00E45D27">
        <w:rPr>
          <w:lang w:val="en-AU"/>
        </w:rPr>
        <w:t>acknowledged</w:t>
      </w:r>
      <w:r w:rsidR="002A082B">
        <w:rPr>
          <w:lang w:val="en-AU"/>
        </w:rPr>
        <w:t xml:space="preserve"> expert group</w:t>
      </w:r>
      <w:r w:rsidR="00E45D27">
        <w:rPr>
          <w:lang w:val="en-AU"/>
        </w:rPr>
        <w:t xml:space="preserve"> that acts as advisor agency for senior National management</w:t>
      </w:r>
      <w:r w:rsidR="002A082B">
        <w:rPr>
          <w:lang w:val="en-AU"/>
        </w:rPr>
        <w:t xml:space="preserve"> </w:t>
      </w:r>
      <w:r w:rsidR="000F5927">
        <w:rPr>
          <w:lang w:val="en-AU"/>
        </w:rPr>
        <w:t xml:space="preserve">( </w:t>
      </w:r>
      <w:proofErr w:type="spellStart"/>
      <w:r w:rsidR="000F5927">
        <w:rPr>
          <w:lang w:val="en-AU"/>
        </w:rPr>
        <w:t>Inowit</w:t>
      </w:r>
      <w:proofErr w:type="spellEnd"/>
      <w:r w:rsidR="003E11CF">
        <w:rPr>
          <w:lang w:val="en-AU"/>
        </w:rPr>
        <w:t xml:space="preserve"> </w:t>
      </w:r>
      <w:hyperlink r:id="rId10" w:history="1">
        <w:r w:rsidR="003E11CF" w:rsidRPr="003E11CF">
          <w:rPr>
            <w:rStyle w:val="Hyperlink"/>
          </w:rPr>
          <w:t>Informatievoorziening - BrandweerNederland.nl</w:t>
        </w:r>
      </w:hyperlink>
      <w:r w:rsidR="000F5927">
        <w:rPr>
          <w:lang w:val="en-AU"/>
        </w:rPr>
        <w:t>)</w:t>
      </w:r>
    </w:p>
    <w:p w14:paraId="69277300" w14:textId="77777777" w:rsidR="001322E3" w:rsidRDefault="001322E3" w:rsidP="001322E3">
      <w:pPr>
        <w:pStyle w:val="Kop1"/>
      </w:pPr>
      <w:r>
        <w:t>CURRENT PROTOTYPES AND APPLICATIONS</w:t>
      </w:r>
    </w:p>
    <w:p w14:paraId="2973A423" w14:textId="5E3010A7" w:rsidR="001322E3" w:rsidRDefault="001322E3" w:rsidP="001322E3">
      <w:pPr>
        <w:rPr>
          <w:lang w:val="en-AU"/>
        </w:rPr>
      </w:pPr>
      <w:r>
        <w:rPr>
          <w:lang w:val="en-AU"/>
        </w:rPr>
        <w:t xml:space="preserve">The first prototype is an on-the-fly ‘opportunity map generator’ that is already applicable in the legislative safety </w:t>
      </w:r>
      <w:r>
        <w:rPr>
          <w:lang w:val="en-AU"/>
        </w:rPr>
        <w:lastRenderedPageBreak/>
        <w:t xml:space="preserve">permitting stage </w:t>
      </w:r>
      <w:r w:rsidR="00996148">
        <w:rPr>
          <w:lang w:val="en-AU"/>
        </w:rPr>
        <w:t xml:space="preserve">of spatial </w:t>
      </w:r>
      <w:r w:rsidR="002913FA">
        <w:rPr>
          <w:lang w:val="en-AU"/>
        </w:rPr>
        <w:t xml:space="preserve">planning </w:t>
      </w:r>
      <w:r>
        <w:rPr>
          <w:lang w:val="en-AU"/>
        </w:rPr>
        <w:t>to prevent safety issues at a later stage. This application creates spatial views based on automatic selection of relevant parameters for the positioning of objects, taking safety aspects and emergency management processes into account. Think for example of ‘hazardous fuel</w:t>
      </w:r>
      <w:r w:rsidR="005B05FE">
        <w:rPr>
          <w:lang w:val="en-AU"/>
        </w:rPr>
        <w:t xml:space="preserve"> storage</w:t>
      </w:r>
      <w:r>
        <w:rPr>
          <w:lang w:val="en-AU"/>
        </w:rPr>
        <w:t xml:space="preserve">’ or noisy/high windmill or an evacuation area. The first step in the </w:t>
      </w:r>
      <w:r w:rsidRPr="00F65032">
        <w:rPr>
          <w:lang w:val="en-AU"/>
        </w:rPr>
        <w:t>N8N</w:t>
      </w:r>
      <w:r>
        <w:rPr>
          <w:lang w:val="en-AU"/>
        </w:rPr>
        <w:t xml:space="preserve"> (</w:t>
      </w:r>
      <w:hyperlink r:id="rId11" w:history="1">
        <w:r w:rsidRPr="00D5373C">
          <w:rPr>
            <w:rStyle w:val="Hyperlink"/>
            <w:lang w:val="en-AU"/>
          </w:rPr>
          <w:t>https://n8n.io/</w:t>
        </w:r>
      </w:hyperlink>
      <w:r>
        <w:rPr>
          <w:lang w:val="en-AU"/>
        </w:rPr>
        <w:t>) based AI-workflow orchestration is a tuning agent that applies a Retrieval-Augmented Generation (</w:t>
      </w:r>
      <w:r w:rsidRPr="00F65032">
        <w:rPr>
          <w:lang w:val="en-AU"/>
        </w:rPr>
        <w:t>RAG</w:t>
      </w:r>
      <w:r>
        <w:rPr>
          <w:lang w:val="en-AU"/>
        </w:rPr>
        <w:t xml:space="preserve">) cycle that processes all the </w:t>
      </w:r>
      <w:r w:rsidRPr="00D2641A">
        <w:rPr>
          <w:noProof/>
        </w:rPr>
        <w:drawing>
          <wp:anchor distT="0" distB="0" distL="114300" distR="114300" simplePos="0" relativeHeight="251660288" behindDoc="0" locked="0" layoutInCell="1" allowOverlap="1" wp14:anchorId="7D068F4D" wp14:editId="7FB47AEC">
            <wp:simplePos x="0" y="0"/>
            <wp:positionH relativeFrom="column">
              <wp:posOffset>1861820</wp:posOffset>
            </wp:positionH>
            <wp:positionV relativeFrom="paragraph">
              <wp:posOffset>77470</wp:posOffset>
            </wp:positionV>
            <wp:extent cx="3869690" cy="2174240"/>
            <wp:effectExtent l="0" t="0" r="0" b="0"/>
            <wp:wrapSquare wrapText="bothSides"/>
            <wp:docPr id="667255017" name="Afbeelding 2" descr="Afbeelding met kaart, tekst, schermopname&#10;&#10;Door AI gegenereerde inhoud is mogelijk onjuist.">
              <a:extLst xmlns:a="http://schemas.openxmlformats.org/drawingml/2006/main">
                <a:ext uri="{FF2B5EF4-FFF2-40B4-BE49-F238E27FC236}">
                  <a16:creationId xmlns:a16="http://schemas.microsoft.com/office/drawing/2014/main" id="{AB3BAA3B-5763-D45D-5607-3B018EDCAF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fbeelding 2" descr="Afbeelding met kaart, tekst, schermopname&#10;&#10;Door AI gegenereerde inhoud is mogelijk onjuist.">
                      <a:extLst>
                        <a:ext uri="{FF2B5EF4-FFF2-40B4-BE49-F238E27FC236}">
                          <a16:creationId xmlns:a16="http://schemas.microsoft.com/office/drawing/2014/main" id="{AB3BAA3B-5763-D45D-5607-3B018EDCAF2C}"/>
                        </a:ext>
                      </a:extLst>
                    </pic:cNvPr>
                    <pic:cNvPicPr>
                      <a:picLocks noChangeAspect="1"/>
                    </pic:cNvPicPr>
                  </pic:nvPicPr>
                  <pic:blipFill>
                    <a:blip r:embed="rId12" cstate="print">
                      <a:extLst>
                        <a:ext uri="{28A0092B-C50C-407E-A947-70E740481C1C}">
                          <a14:useLocalDpi xmlns:a14="http://schemas.microsoft.com/office/drawing/2010/main" val="0"/>
                        </a:ext>
                      </a:extLst>
                    </a:blip>
                    <a:srcRect l="6649"/>
                    <a:stretch>
                      <a:fillRect/>
                    </a:stretch>
                  </pic:blipFill>
                  <pic:spPr>
                    <a:xfrm>
                      <a:off x="0" y="0"/>
                      <a:ext cx="3869690" cy="2174240"/>
                    </a:xfrm>
                    <a:prstGeom prst="rect">
                      <a:avLst/>
                    </a:prstGeom>
                  </pic:spPr>
                </pic:pic>
              </a:graphicData>
            </a:graphic>
            <wp14:sizeRelH relativeFrom="page">
              <wp14:pctWidth>0</wp14:pctWidth>
            </wp14:sizeRelH>
            <wp14:sizeRelV relativeFrom="page">
              <wp14:pctHeight>0</wp14:pctHeight>
            </wp14:sizeRelV>
          </wp:anchor>
        </w:drawing>
      </w:r>
      <w:r>
        <w:rPr>
          <w:lang w:val="en-AU"/>
        </w:rPr>
        <w:t>relevant policy- and risk related documents and combines it with a general</w:t>
      </w:r>
      <w:r w:rsidR="00553B62">
        <w:rPr>
          <w:lang w:val="en-AU"/>
        </w:rPr>
        <w:t>-</w:t>
      </w:r>
      <w:r>
        <w:rPr>
          <w:lang w:val="en-AU"/>
        </w:rPr>
        <w:t xml:space="preserve">purpose Large Language Model (LLM). In so doing it automatically derives the parameters that are relevant for the object or task from a permitting </w:t>
      </w:r>
      <w:r w:rsidR="002A3898">
        <w:rPr>
          <w:lang w:val="en-AU"/>
        </w:rPr>
        <w:t xml:space="preserve">process </w:t>
      </w:r>
      <w:r>
        <w:rPr>
          <w:lang w:val="en-AU"/>
        </w:rPr>
        <w:t xml:space="preserve">or </w:t>
      </w:r>
      <w:r w:rsidR="002A3898">
        <w:rPr>
          <w:lang w:val="en-AU"/>
        </w:rPr>
        <w:t xml:space="preserve">an </w:t>
      </w:r>
      <w:r>
        <w:rPr>
          <w:lang w:val="en-AU"/>
        </w:rPr>
        <w:t xml:space="preserve">emergency </w:t>
      </w:r>
      <w:r w:rsidR="002A3898">
        <w:rPr>
          <w:lang w:val="en-AU"/>
        </w:rPr>
        <w:t xml:space="preserve">management </w:t>
      </w:r>
      <w:r>
        <w:rPr>
          <w:lang w:val="en-AU"/>
        </w:rPr>
        <w:t xml:space="preserve">perspective. This can be conditions such as ‘near a hospital’ or ‘in a </w:t>
      </w:r>
      <w:r w:rsidRPr="007817B9">
        <w:rPr>
          <w:lang w:val="en-AU"/>
        </w:rPr>
        <w:t>Natura 2000</w:t>
      </w:r>
      <w:r>
        <w:rPr>
          <w:lang w:val="en-AU"/>
        </w:rPr>
        <w:t>’ area (</w:t>
      </w:r>
      <w:hyperlink r:id="rId13" w:history="1">
        <w:r w:rsidRPr="00D5373C">
          <w:rPr>
            <w:rStyle w:val="Hyperlink"/>
            <w:lang w:val="en-AU"/>
          </w:rPr>
          <w:t>https://natura2000.eea.europa.eu/</w:t>
        </w:r>
      </w:hyperlink>
      <w:r>
        <w:rPr>
          <w:lang w:val="en-AU"/>
        </w:rPr>
        <w:t xml:space="preserve">) or ‘near housing area’ that would conflict with putting the object near a high-risk environment. The goal of this tuning agent is to be able to identify relevant parameters and then eliminate all zones from a city contour or a regional contour that would hamper the positioning of the object or task. The training agent then delivers the combined zones that remain available after this elimination to a spatial agent that generates the remaining opportunity areas in </w:t>
      </w:r>
      <w:r w:rsidR="002928EE">
        <w:rPr>
          <w:lang w:val="en-AU"/>
        </w:rPr>
        <w:t xml:space="preserve">JavaScript Object Notation (JSON) </w:t>
      </w:r>
      <w:r w:rsidR="00CC433D">
        <w:rPr>
          <w:lang w:val="en-AU"/>
        </w:rPr>
        <w:t>programming</w:t>
      </w:r>
      <w:r>
        <w:rPr>
          <w:lang w:val="en-AU"/>
        </w:rPr>
        <w:t xml:space="preserve"> code and visualises the result in a map-viewer such as </w:t>
      </w:r>
      <w:r w:rsidRPr="004E7151">
        <w:rPr>
          <w:lang w:val="en-AU"/>
        </w:rPr>
        <w:t>QGIS</w:t>
      </w:r>
      <w:r>
        <w:rPr>
          <w:lang w:val="en-AU"/>
        </w:rPr>
        <w:t xml:space="preserve"> (</w:t>
      </w:r>
      <w:hyperlink r:id="rId14" w:history="1">
        <w:r w:rsidRPr="00D5373C">
          <w:rPr>
            <w:rStyle w:val="Hyperlink"/>
            <w:lang w:val="en-AU"/>
          </w:rPr>
          <w:t>https://qgis.org/</w:t>
        </w:r>
      </w:hyperlink>
      <w:r>
        <w:rPr>
          <w:lang w:val="en-AU"/>
        </w:rPr>
        <w:t xml:space="preserve">). The prototype did produce a reliable map with relevant cutouts, but it failed to derive the comprehensive and sometimes the most relevant sets of legislative norms from all hundreds of policy documents. The development of the prototype also highlighted the need for close collaboration between practitioners and AI developers, especially in the legislative domain about what documents and semantics exactly are required and which rules or norms should be applied. </w:t>
      </w:r>
    </w:p>
    <w:p w14:paraId="546CA416" w14:textId="1841192C" w:rsidR="001322E3" w:rsidRDefault="001322E3" w:rsidP="001322E3">
      <w:pPr>
        <w:rPr>
          <w:lang w:val="en-AU"/>
        </w:rPr>
      </w:pPr>
      <w:r>
        <w:rPr>
          <w:noProof/>
        </w:rPr>
        <w:drawing>
          <wp:anchor distT="0" distB="0" distL="114300" distR="114300" simplePos="0" relativeHeight="251659264" behindDoc="0" locked="0" layoutInCell="1" allowOverlap="1" wp14:anchorId="49DCBCF9" wp14:editId="344A856F">
            <wp:simplePos x="0" y="0"/>
            <wp:positionH relativeFrom="margin">
              <wp:align>right</wp:align>
            </wp:positionH>
            <wp:positionV relativeFrom="paragraph">
              <wp:posOffset>52070</wp:posOffset>
            </wp:positionV>
            <wp:extent cx="3493135" cy="2075815"/>
            <wp:effectExtent l="0" t="0" r="0" b="635"/>
            <wp:wrapSquare wrapText="bothSides"/>
            <wp:docPr id="532466357" name="Afbeelding 1" descr="Afbeelding met schermopname, boom, wolk, Grafisch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66357" name="Afbeelding 1" descr="Afbeelding met schermopname, boom, wolk, Grafische software&#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93135" cy="2075815"/>
                    </a:xfrm>
                    <a:prstGeom prst="rect">
                      <a:avLst/>
                    </a:prstGeom>
                  </pic:spPr>
                </pic:pic>
              </a:graphicData>
            </a:graphic>
            <wp14:sizeRelH relativeFrom="page">
              <wp14:pctWidth>0</wp14:pctWidth>
            </wp14:sizeRelH>
            <wp14:sizeRelV relativeFrom="page">
              <wp14:pctHeight>0</wp14:pctHeight>
            </wp14:sizeRelV>
          </wp:anchor>
        </w:drawing>
      </w:r>
      <w:r>
        <w:rPr>
          <w:lang w:val="en-AU"/>
        </w:rPr>
        <w:t xml:space="preserve">The second prototype is a similar identification, geolocation and approximation tool. It is built to support the rapid generation of all measures that allow or disallow object allocation near risk objects in a 3D environment. The placement of housing or buildings near a large </w:t>
      </w:r>
      <w:r w:rsidRPr="00D35458">
        <w:rPr>
          <w:lang w:val="en-AU"/>
        </w:rPr>
        <w:t>UNESCO World Heritage</w:t>
      </w:r>
      <w:r>
        <w:rPr>
          <w:lang w:val="en-AU"/>
        </w:rPr>
        <w:t xml:space="preserve"> area of </w:t>
      </w:r>
      <w:r w:rsidR="002928EE">
        <w:rPr>
          <w:lang w:val="en-AU"/>
        </w:rPr>
        <w:t>-</w:t>
      </w:r>
      <w:r>
        <w:rPr>
          <w:lang w:val="en-AU"/>
        </w:rPr>
        <w:t xml:space="preserve"> in this case</w:t>
      </w:r>
      <w:r w:rsidR="002928EE">
        <w:rPr>
          <w:lang w:val="en-AU"/>
        </w:rPr>
        <w:t xml:space="preserve"> </w:t>
      </w:r>
      <w:r>
        <w:rPr>
          <w:lang w:val="en-AU"/>
        </w:rPr>
        <w:t xml:space="preserve">- protected medieval fortresses is only allowed with compensating actions such as sound walls, for example. But windmills or solar panels on top of those walls are not allowed if near a UNESCO contour. The AI supports fast geolocation in coordinates and classification of all objects and contours and generates </w:t>
      </w:r>
      <w:r w:rsidRPr="00FB1A1D">
        <w:rPr>
          <w:lang w:val="en-AU"/>
        </w:rPr>
        <w:t>Blender</w:t>
      </w:r>
      <w:r>
        <w:rPr>
          <w:lang w:val="en-AU"/>
        </w:rPr>
        <w:t xml:space="preserve"> (</w:t>
      </w:r>
      <w:hyperlink r:id="rId16" w:history="1">
        <w:r w:rsidRPr="00D5373C">
          <w:rPr>
            <w:rStyle w:val="Hyperlink"/>
            <w:lang w:val="en-AU"/>
          </w:rPr>
          <w:t>https://code.blender.org/</w:t>
        </w:r>
      </w:hyperlink>
      <w:r>
        <w:rPr>
          <w:lang w:val="en-AU"/>
        </w:rPr>
        <w:t>) or JSON/</w:t>
      </w:r>
      <w:r w:rsidRPr="00FB1A1D">
        <w:rPr>
          <w:lang w:val="en-AU"/>
        </w:rPr>
        <w:t>unity (</w:t>
      </w:r>
      <w:hyperlink r:id="rId17" w:history="1">
        <w:r w:rsidRPr="00D5373C">
          <w:rPr>
            <w:rStyle w:val="Hyperlink"/>
            <w:lang w:val="en-AU"/>
          </w:rPr>
          <w:t>https://unity.com/</w:t>
        </w:r>
      </w:hyperlink>
      <w:r w:rsidRPr="00FB1A1D">
        <w:rPr>
          <w:lang w:val="en-AU"/>
        </w:rPr>
        <w:t>) code</w:t>
      </w:r>
      <w:r>
        <w:rPr>
          <w:lang w:val="en-AU"/>
        </w:rPr>
        <w:t xml:space="preserve"> to identify opportunities and constraints. This second prototype did generate fast overviews for a very large area during a preliminary Heritage Impact Assessment and seems applicable for many different application domains, where legislative muti-factor analyses </w:t>
      </w:r>
      <w:r w:rsidR="007703AB">
        <w:rPr>
          <w:lang w:val="en-AU"/>
        </w:rPr>
        <w:t>and scenario building are</w:t>
      </w:r>
      <w:r>
        <w:rPr>
          <w:lang w:val="en-AU"/>
        </w:rPr>
        <w:t xml:space="preserve"> required. </w:t>
      </w:r>
    </w:p>
    <w:p w14:paraId="66DFC3DF" w14:textId="7489B610" w:rsidR="001322E3" w:rsidRPr="002B43A5" w:rsidRDefault="001322E3" w:rsidP="001322E3">
      <w:r>
        <w:rPr>
          <w:noProof/>
        </w:rPr>
        <w:lastRenderedPageBreak/>
        <w:drawing>
          <wp:anchor distT="0" distB="0" distL="114300" distR="114300" simplePos="0" relativeHeight="251661312" behindDoc="0" locked="0" layoutInCell="1" allowOverlap="1" wp14:anchorId="29EDB929" wp14:editId="1FE51876">
            <wp:simplePos x="0" y="0"/>
            <wp:positionH relativeFrom="column">
              <wp:posOffset>2448560</wp:posOffset>
            </wp:positionH>
            <wp:positionV relativeFrom="paragraph">
              <wp:posOffset>487680</wp:posOffset>
            </wp:positionV>
            <wp:extent cx="3282950" cy="1842770"/>
            <wp:effectExtent l="0" t="0" r="0" b="5080"/>
            <wp:wrapSquare wrapText="bothSides"/>
            <wp:docPr id="1134149355" name="Afbeelding 1" descr="Afbeelding met tekst, diagram, schermopname, cirk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49355" name="Afbeelding 1" descr="Afbeelding met tekst, diagram, schermopname, cirkel&#10;&#10;Door AI gegenereerde inhoud is mogelijk onjuis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82950" cy="184277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AU"/>
        </w:rPr>
        <w:t xml:space="preserve">The third prototype is the Virtual Assistant (VA). </w:t>
      </w:r>
      <w:r w:rsidRPr="00393B8A">
        <w:rPr>
          <w:lang w:val="en-AU"/>
        </w:rPr>
        <w:t xml:space="preserve">The VA provides an automated situational picture of an incident based on </w:t>
      </w:r>
      <w:r>
        <w:rPr>
          <w:lang w:val="en-AU"/>
        </w:rPr>
        <w:t>public</w:t>
      </w:r>
      <w:r w:rsidRPr="00393B8A">
        <w:rPr>
          <w:lang w:val="en-AU"/>
        </w:rPr>
        <w:t xml:space="preserve"> and </w:t>
      </w:r>
      <w:r>
        <w:rPr>
          <w:lang w:val="en-AU"/>
        </w:rPr>
        <w:t>restricted information</w:t>
      </w:r>
      <w:r w:rsidRPr="00393B8A">
        <w:rPr>
          <w:lang w:val="en-AU"/>
        </w:rPr>
        <w:t xml:space="preserve"> sources. It supports the emergency coordinator and </w:t>
      </w:r>
      <w:r>
        <w:rPr>
          <w:lang w:val="en-AU"/>
        </w:rPr>
        <w:t xml:space="preserve">the operational </w:t>
      </w:r>
      <w:r w:rsidRPr="00393B8A">
        <w:rPr>
          <w:lang w:val="en-AU"/>
        </w:rPr>
        <w:t xml:space="preserve">information manager in providing information during an incident. The automated collection of relevant </w:t>
      </w:r>
      <w:r>
        <w:rPr>
          <w:lang w:val="en-AU"/>
        </w:rPr>
        <w:t xml:space="preserve">information </w:t>
      </w:r>
      <w:r w:rsidRPr="00393B8A">
        <w:rPr>
          <w:lang w:val="en-AU"/>
        </w:rPr>
        <w:t xml:space="preserve">sources provides a complete picture of all vulnerable and </w:t>
      </w:r>
      <w:r>
        <w:rPr>
          <w:lang w:val="en-AU"/>
        </w:rPr>
        <w:t>hazardous</w:t>
      </w:r>
      <w:r w:rsidRPr="00393B8A">
        <w:rPr>
          <w:lang w:val="en-AU"/>
        </w:rPr>
        <w:t xml:space="preserve"> objects near the incident, improving</w:t>
      </w:r>
      <w:r>
        <w:rPr>
          <w:lang w:val="en-AU"/>
        </w:rPr>
        <w:t xml:space="preserve"> and accelerating</w:t>
      </w:r>
      <w:r w:rsidRPr="00393B8A">
        <w:rPr>
          <w:lang w:val="en-AU"/>
        </w:rPr>
        <w:t xml:space="preserve"> </w:t>
      </w:r>
      <w:r>
        <w:rPr>
          <w:lang w:val="en-AU"/>
        </w:rPr>
        <w:t>picture compilation</w:t>
      </w:r>
      <w:r w:rsidRPr="00393B8A">
        <w:rPr>
          <w:lang w:val="en-AU"/>
        </w:rPr>
        <w:t xml:space="preserve"> and decision-making during an incident. Th</w:t>
      </w:r>
      <w:r>
        <w:rPr>
          <w:lang w:val="en-AU"/>
        </w:rPr>
        <w:t>is</w:t>
      </w:r>
      <w:r w:rsidRPr="00393B8A">
        <w:rPr>
          <w:lang w:val="en-AU"/>
        </w:rPr>
        <w:t xml:space="preserve"> </w:t>
      </w:r>
      <w:r>
        <w:rPr>
          <w:lang w:val="en-AU"/>
        </w:rPr>
        <w:t>VA</w:t>
      </w:r>
      <w:r w:rsidRPr="00393B8A">
        <w:rPr>
          <w:lang w:val="en-AU"/>
        </w:rPr>
        <w:t xml:space="preserve"> is operationally available for all safety regions in the Netherlands. Two additional functionalities of the </w:t>
      </w:r>
      <w:r>
        <w:rPr>
          <w:lang w:val="en-AU"/>
        </w:rPr>
        <w:t>VA</w:t>
      </w:r>
      <w:r w:rsidRPr="00393B8A">
        <w:rPr>
          <w:lang w:val="en-AU"/>
        </w:rPr>
        <w:t xml:space="preserve"> are still in the pilot phase. </w:t>
      </w:r>
      <w:r>
        <w:rPr>
          <w:lang w:val="en-AU"/>
        </w:rPr>
        <w:t>The first one</w:t>
      </w:r>
      <w:r w:rsidRPr="00393B8A">
        <w:rPr>
          <w:lang w:val="en-AU"/>
        </w:rPr>
        <w:t xml:space="preserve"> uses </w:t>
      </w:r>
      <w:r w:rsidRPr="00FB1A1D">
        <w:rPr>
          <w:lang w:val="en-AU"/>
        </w:rPr>
        <w:t>LLM</w:t>
      </w:r>
      <w:r w:rsidRPr="00393B8A">
        <w:rPr>
          <w:lang w:val="en-AU"/>
        </w:rPr>
        <w:t xml:space="preserve"> technology to search for past incidents similar to the current incident, identifying relevant lessons learned and bringing them to the attention of the response organization. </w:t>
      </w:r>
      <w:r>
        <w:rPr>
          <w:lang w:val="en-AU"/>
        </w:rPr>
        <w:t>The s</w:t>
      </w:r>
      <w:r w:rsidRPr="00393B8A">
        <w:rPr>
          <w:lang w:val="en-AU"/>
        </w:rPr>
        <w:t>econd</w:t>
      </w:r>
      <w:r>
        <w:rPr>
          <w:lang w:val="en-AU"/>
        </w:rPr>
        <w:t xml:space="preserve"> one</w:t>
      </w:r>
      <w:r w:rsidRPr="00393B8A">
        <w:rPr>
          <w:lang w:val="en-AU"/>
        </w:rPr>
        <w:t xml:space="preserve"> </w:t>
      </w:r>
      <w:r w:rsidRPr="002B43A5">
        <w:t>address</w:t>
      </w:r>
      <w:r>
        <w:t>es</w:t>
      </w:r>
      <w:r w:rsidRPr="002B43A5">
        <w:t xml:space="preserve"> the challenges of interpreting </w:t>
      </w:r>
      <w:r w:rsidR="001903B6">
        <w:t xml:space="preserve">emergency </w:t>
      </w:r>
      <w:r>
        <w:t>Governance Network Map</w:t>
      </w:r>
      <w:r w:rsidRPr="002B43A5">
        <w:t xml:space="preserve">s (BNKs) within a concrete operational context - a task where previous iterations </w:t>
      </w:r>
      <w:r>
        <w:t>of</w:t>
      </w:r>
      <w:r w:rsidRPr="002B43A5">
        <w:t xml:space="preserve"> the VA faced limitations. While generic AI often struggles with the broader context of </w:t>
      </w:r>
      <w:r>
        <w:t>governance</w:t>
      </w:r>
      <w:r w:rsidRPr="002B43A5">
        <w:t xml:space="preserve"> responsibilities, </w:t>
      </w:r>
      <w:r w:rsidR="00F74BD5">
        <w:t>the third prototype</w:t>
      </w:r>
      <w:r w:rsidRPr="002B43A5">
        <w:t xml:space="preserve"> utilizes a hybrid AI approach that combines RAG with Knowledge Graphs (KG) and vector embeddings to transform complex legal and </w:t>
      </w:r>
      <w:r>
        <w:t>governance</w:t>
      </w:r>
      <w:r w:rsidRPr="002B43A5">
        <w:t xml:space="preserve"> diagrams into machine-readable ‘triples’. </w:t>
      </w:r>
      <w:r w:rsidR="007D38C2">
        <w:t xml:space="preserve">The KG </w:t>
      </w:r>
      <w:r w:rsidR="00CB584E">
        <w:t>is the validation mechanism for the professional.</w:t>
      </w:r>
    </w:p>
    <w:p w14:paraId="316A20B9" w14:textId="67018C28" w:rsidR="001322E3" w:rsidRDefault="001322E3" w:rsidP="001322E3">
      <w:pPr>
        <w:rPr>
          <w:lang w:val="en-AU"/>
        </w:rPr>
      </w:pPr>
      <w:r w:rsidRPr="002B43A5">
        <w:t>This</w:t>
      </w:r>
      <w:r w:rsidR="005B5B9C">
        <w:t xml:space="preserve"> setup</w:t>
      </w:r>
      <w:r w:rsidRPr="002B43A5">
        <w:t xml:space="preserve"> allows the system to analyze a brief, free-text incident description and, within less than a minute, identify the relevant legal frameworks and the specific organizations that must be involved. Evaluations of the proof-of-concept demonstrated high reliability, achieving accuracy scores between 97% and 98%, while reducing the time required for manual network mapping from over two hours to just sixty seconds. Crucially, the use of KGs ensures traceability and transparency, allowing crisis managers to see exactly why a specific organization is recommended based on the underlying BNK. This shifts the role of the information manager from manual searching to expert validation, ensuring that the right </w:t>
      </w:r>
      <w:r w:rsidR="003613F1">
        <w:t>cris</w:t>
      </w:r>
      <w:r w:rsidR="00CC0778">
        <w:t>i</w:t>
      </w:r>
      <w:r w:rsidR="003613F1">
        <w:t xml:space="preserve">s </w:t>
      </w:r>
      <w:r w:rsidRPr="002B43A5">
        <w:t>partners are at the table during the “golden hour” of a crisis.</w:t>
      </w:r>
      <w:r w:rsidDel="00393B8A">
        <w:rPr>
          <w:lang w:val="en-AU"/>
        </w:rPr>
        <w:t xml:space="preserve"> </w:t>
      </w:r>
    </w:p>
    <w:p w14:paraId="4F762376" w14:textId="77777777" w:rsidR="001322E3" w:rsidRDefault="001322E3" w:rsidP="001322E3">
      <w:pPr>
        <w:pStyle w:val="Kop1"/>
      </w:pPr>
      <w:r>
        <w:t>RESEARCH CHALLENGE</w:t>
      </w:r>
    </w:p>
    <w:p w14:paraId="023B3FEF" w14:textId="4F237882" w:rsidR="001322E3" w:rsidRDefault="001322E3" w:rsidP="001322E3">
      <w:r w:rsidRPr="00831E4B">
        <w:t xml:space="preserve">In the three examples described, </w:t>
      </w:r>
      <w:r w:rsidR="001C1AC3">
        <w:t xml:space="preserve">validation </w:t>
      </w:r>
      <w:r w:rsidR="001C1AC3" w:rsidRPr="00831E4B">
        <w:t>is</w:t>
      </w:r>
      <w:r w:rsidRPr="00831E4B">
        <w:t xml:space="preserve"> crucial. In all three examples, it was </w:t>
      </w:r>
      <w:r>
        <w:t>possible</w:t>
      </w:r>
      <w:r w:rsidRPr="00831E4B">
        <w:t xml:space="preserve"> to arrive at sufficiently </w:t>
      </w:r>
      <w:r w:rsidR="001C1AC3">
        <w:t>explainable</w:t>
      </w:r>
      <w:r w:rsidRPr="00831E4B">
        <w:t xml:space="preserve"> solutions. The </w:t>
      </w:r>
      <w:r>
        <w:t>picture</w:t>
      </w:r>
      <w:r w:rsidRPr="00831E4B">
        <w:t xml:space="preserve"> below shows how considerations applied by </w:t>
      </w:r>
      <w:r w:rsidR="0020375D">
        <w:t xml:space="preserve">the </w:t>
      </w:r>
      <w:r w:rsidRPr="00831E4B">
        <w:t xml:space="preserve">AI </w:t>
      </w:r>
      <w:r w:rsidR="0020375D">
        <w:t xml:space="preserve">agent </w:t>
      </w:r>
      <w:r w:rsidRPr="00831E4B">
        <w:t>can be traced back to the Environmental Vision of the Province of Utrecht.</w:t>
      </w:r>
      <w:r w:rsidR="0020375D">
        <w:t xml:space="preserve"> At the same time this decision table support user validation and can be used in SKILLS (</w:t>
      </w:r>
      <w:hyperlink r:id="rId19" w:history="1">
        <w:r w:rsidR="00B2701A" w:rsidRPr="00B2701A">
          <w:rPr>
            <w:rStyle w:val="Hyperlink"/>
          </w:rPr>
          <w:t>Home \ Anthropic</w:t>
        </w:r>
      </w:hyperlink>
      <w:r w:rsidR="0020375D">
        <w:t>) to feed new prompts as a guiding principle.</w:t>
      </w:r>
    </w:p>
    <w:p w14:paraId="3610740A" w14:textId="77777777" w:rsidR="001322E3" w:rsidRDefault="001322E3" w:rsidP="001322E3">
      <w:r w:rsidRPr="00357166">
        <w:rPr>
          <w:noProof/>
          <w:lang w:val="nl-NL"/>
        </w:rPr>
        <w:drawing>
          <wp:inline distT="0" distB="0" distL="0" distR="0" wp14:anchorId="32E8340B" wp14:editId="11216749">
            <wp:extent cx="5707392" cy="3220872"/>
            <wp:effectExtent l="0" t="0" r="7620" b="0"/>
            <wp:docPr id="83876336"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0477"/>
                    <a:stretch>
                      <a:fillRect/>
                    </a:stretch>
                  </pic:blipFill>
                  <pic:spPr bwMode="auto">
                    <a:xfrm>
                      <a:off x="0" y="0"/>
                      <a:ext cx="5719123" cy="3227492"/>
                    </a:xfrm>
                    <a:prstGeom prst="rect">
                      <a:avLst/>
                    </a:prstGeom>
                    <a:noFill/>
                    <a:ln>
                      <a:noFill/>
                    </a:ln>
                    <a:extLst>
                      <a:ext uri="{53640926-AAD7-44D8-BBD7-CCE9431645EC}">
                        <a14:shadowObscured xmlns:a14="http://schemas.microsoft.com/office/drawing/2010/main"/>
                      </a:ext>
                    </a:extLst>
                  </pic:spPr>
                </pic:pic>
              </a:graphicData>
            </a:graphic>
          </wp:inline>
        </w:drawing>
      </w:r>
    </w:p>
    <w:p w14:paraId="304070AA" w14:textId="4355A55E" w:rsidR="001322E3" w:rsidRPr="00357166" w:rsidRDefault="001322E3" w:rsidP="001322E3">
      <w:r w:rsidRPr="008A1DC4">
        <w:t xml:space="preserve">In our view, an important challenge for researchers is therefore to find a generalizable solution for </w:t>
      </w:r>
      <w:r w:rsidR="00F0604B">
        <w:t>validation</w:t>
      </w:r>
      <w:r w:rsidRPr="008A1DC4">
        <w:t xml:space="preserve"> in </w:t>
      </w:r>
      <w:r w:rsidRPr="008A1DC4">
        <w:lastRenderedPageBreak/>
        <w:t>such a way that it is an integral part of the work</w:t>
      </w:r>
      <w:r>
        <w:t>ing</w:t>
      </w:r>
      <w:r w:rsidRPr="008A1DC4">
        <w:t xml:space="preserve"> process</w:t>
      </w:r>
      <w:r w:rsidR="0020375D">
        <w:t xml:space="preserve"> and the government policy cycle (design, programming, permission and monitorin</w:t>
      </w:r>
      <w:r w:rsidR="00D95814">
        <w:t>g</w:t>
      </w:r>
      <w:r w:rsidR="0020375D">
        <w:t>)</w:t>
      </w:r>
      <w:r w:rsidR="00D95814">
        <w:t>.</w:t>
      </w:r>
      <w:r w:rsidR="0020375D">
        <w:t xml:space="preserve"> </w:t>
      </w:r>
    </w:p>
    <w:p w14:paraId="332EE9BF" w14:textId="77777777" w:rsidR="001322E3" w:rsidRPr="00355521" w:rsidRDefault="001322E3" w:rsidP="001322E3">
      <w:pPr>
        <w:pStyle w:val="Kop1"/>
      </w:pPr>
      <w:r w:rsidRPr="00355521">
        <w:t>CONCLUSION</w:t>
      </w:r>
    </w:p>
    <w:p w14:paraId="29CA22DF" w14:textId="401EB870" w:rsidR="001322E3" w:rsidRDefault="001322E3" w:rsidP="001322E3">
      <w:pPr>
        <w:pBdr>
          <w:top w:val="nil"/>
          <w:left w:val="nil"/>
          <w:bottom w:val="nil"/>
          <w:right w:val="nil"/>
          <w:between w:val="nil"/>
        </w:pBdr>
        <w:rPr>
          <w:lang w:val="en-AU"/>
        </w:rPr>
      </w:pPr>
      <w:r>
        <w:rPr>
          <w:lang w:val="en-AU"/>
        </w:rPr>
        <w:t xml:space="preserve">The focus of this </w:t>
      </w:r>
      <w:r w:rsidR="0020375D">
        <w:rPr>
          <w:lang w:val="en-AU"/>
        </w:rPr>
        <w:t xml:space="preserve">practitioner </w:t>
      </w:r>
      <w:r>
        <w:rPr>
          <w:lang w:val="en-AU"/>
        </w:rPr>
        <w:t>paper was to explore whether generative AI is mature enough to support the challenges of practitioners i</w:t>
      </w:r>
      <w:r w:rsidR="003376CE">
        <w:rPr>
          <w:lang w:val="en-AU"/>
        </w:rPr>
        <w:t>n</w:t>
      </w:r>
      <w:r>
        <w:rPr>
          <w:lang w:val="en-AU"/>
        </w:rPr>
        <w:t xml:space="preserve"> a responsible manner. </w:t>
      </w:r>
      <w:proofErr w:type="spellStart"/>
      <w:r>
        <w:rPr>
          <w:lang w:val="en-AU"/>
        </w:rPr>
        <w:t>GeoAI</w:t>
      </w:r>
      <w:proofErr w:type="spellEnd"/>
      <w:r>
        <w:rPr>
          <w:lang w:val="en-AU"/>
        </w:rPr>
        <w:t xml:space="preserve"> or Spatial AI is getting up to speed. Whereas large software companies still struggle to bridge GIS knowledge and AI knowledge, the combination is already very powerful for practitioners.</w:t>
      </w:r>
      <w:r w:rsidR="00F144E0">
        <w:rPr>
          <w:lang w:val="en-AU"/>
        </w:rPr>
        <w:t xml:space="preserve"> </w:t>
      </w:r>
      <w:r w:rsidR="00F144E0" w:rsidRPr="00F144E0">
        <w:rPr>
          <w:lang w:val="en-GB"/>
        </w:rPr>
        <w:t>Developing a generalizable solution to correctly</w:t>
      </w:r>
      <w:r w:rsidR="00F144E0">
        <w:rPr>
          <w:lang w:val="en-GB"/>
        </w:rPr>
        <w:t xml:space="preserve"> - </w:t>
      </w:r>
      <w:r w:rsidR="00F144E0" w:rsidRPr="00F144E0">
        <w:rPr>
          <w:lang w:val="en-GB"/>
        </w:rPr>
        <w:t>and, more importantly, verifiably</w:t>
      </w:r>
      <w:r w:rsidR="00F144E0">
        <w:rPr>
          <w:lang w:val="en-GB"/>
        </w:rPr>
        <w:t xml:space="preserve"> - </w:t>
      </w:r>
      <w:r w:rsidR="009D50AE">
        <w:rPr>
          <w:lang w:val="en-GB"/>
        </w:rPr>
        <w:t>infer</w:t>
      </w:r>
      <w:r w:rsidR="00F144E0" w:rsidRPr="00F144E0">
        <w:rPr>
          <w:lang w:val="en-GB"/>
        </w:rPr>
        <w:t xml:space="preserve"> the legal and policy constraints affecting safety zones and spatial planning will require additional time. We therefore propose this as a key challenge for future </w:t>
      </w:r>
      <w:r w:rsidR="00583CD8" w:rsidRPr="00F144E0">
        <w:rPr>
          <w:lang w:val="en-GB"/>
        </w:rPr>
        <w:t>research.</w:t>
      </w:r>
      <w:r w:rsidR="00583CD8" w:rsidRPr="00A2343C">
        <w:rPr>
          <w:lang w:val="en-AU"/>
        </w:rPr>
        <w:t xml:space="preserve"> Validation</w:t>
      </w:r>
      <w:r w:rsidRPr="00A2343C">
        <w:rPr>
          <w:lang w:val="en-AU"/>
        </w:rPr>
        <w:t xml:space="preserve"> must be an integral part of the </w:t>
      </w:r>
      <w:r w:rsidR="0020375D">
        <w:rPr>
          <w:lang w:val="en-AU"/>
        </w:rPr>
        <w:t xml:space="preserve">working </w:t>
      </w:r>
      <w:r w:rsidRPr="00A2343C">
        <w:rPr>
          <w:lang w:val="en-AU"/>
        </w:rPr>
        <w:t>process</w:t>
      </w:r>
      <w:r w:rsidR="0020375D">
        <w:rPr>
          <w:lang w:val="en-AU"/>
        </w:rPr>
        <w:t xml:space="preserve">, the agent orchestration architecture and the </w:t>
      </w:r>
      <w:r w:rsidR="002739B7">
        <w:rPr>
          <w:lang w:val="en-AU"/>
        </w:rPr>
        <w:t xml:space="preserve">emergency </w:t>
      </w:r>
      <w:r w:rsidR="0020375D">
        <w:rPr>
          <w:lang w:val="en-AU"/>
        </w:rPr>
        <w:t xml:space="preserve">policy cycle to ensure the integrity of public values in </w:t>
      </w:r>
      <w:r w:rsidR="00D70D81">
        <w:rPr>
          <w:lang w:val="en-AU"/>
        </w:rPr>
        <w:t xml:space="preserve">a </w:t>
      </w:r>
      <w:r w:rsidR="0020375D">
        <w:rPr>
          <w:lang w:val="en-AU"/>
        </w:rPr>
        <w:t xml:space="preserve">FAIR way </w:t>
      </w:r>
      <w:r w:rsidRPr="006E6824">
        <w:t xml:space="preserve">. </w:t>
      </w:r>
      <w:r>
        <w:rPr>
          <w:lang w:val="en-AU"/>
        </w:rPr>
        <w:t xml:space="preserve">In addition to GIS and AI orchestration knowledge, legislative, safety and policy domain knowledge is a third knowledge area that requires in depth investments for developers and practitioners. In the three examples described, hybrid combinations of rule-based agents and </w:t>
      </w:r>
      <w:proofErr w:type="spellStart"/>
      <w:r>
        <w:rPr>
          <w:lang w:val="en-AU"/>
        </w:rPr>
        <w:t>genAI</w:t>
      </w:r>
      <w:proofErr w:type="spellEnd"/>
      <w:r>
        <w:rPr>
          <w:lang w:val="en-AU"/>
        </w:rPr>
        <w:t xml:space="preserve"> based agents seem to work at least promising for that purpose.</w:t>
      </w:r>
      <w:r w:rsidR="0020375D">
        <w:rPr>
          <w:lang w:val="en-AU"/>
        </w:rPr>
        <w:t xml:space="preserve"> </w:t>
      </w:r>
    </w:p>
    <w:p w14:paraId="4AA8A0B9" w14:textId="77777777" w:rsidR="001322E3" w:rsidRPr="001322E3" w:rsidRDefault="001322E3" w:rsidP="001322E3">
      <w:pPr>
        <w:pStyle w:val="Kop1"/>
        <w:keepNext/>
      </w:pPr>
      <w:r w:rsidRPr="001322E3">
        <w:t>ACKNOWLEDGEMENTS</w:t>
      </w:r>
    </w:p>
    <w:p w14:paraId="422ABFA2" w14:textId="1976AA7D" w:rsidR="001322E3" w:rsidRPr="006B2BFA" w:rsidRDefault="001322E3" w:rsidP="001322E3">
      <w:r w:rsidRPr="005D3B25">
        <w:t>The authors would like to thank the GIS-team of</w:t>
      </w:r>
      <w:r>
        <w:t xml:space="preserve"> the </w:t>
      </w:r>
      <w:r w:rsidR="0020375D">
        <w:t>province</w:t>
      </w:r>
      <w:r>
        <w:t xml:space="preserve"> of Utrecht, the </w:t>
      </w:r>
      <w:r w:rsidRPr="006B2BFA">
        <w:t xml:space="preserve">University of </w:t>
      </w:r>
      <w:r>
        <w:t>A</w:t>
      </w:r>
      <w:r w:rsidRPr="006B2BFA">
        <w:t xml:space="preserve">pplied </w:t>
      </w:r>
      <w:r>
        <w:t>S</w:t>
      </w:r>
      <w:r w:rsidRPr="006B2BFA">
        <w:t>cience</w:t>
      </w:r>
      <w:r>
        <w:t xml:space="preserve">s Utrecht and the many safety regions involved in the development of the Virtual Assistant and the </w:t>
      </w:r>
      <w:proofErr w:type="spellStart"/>
      <w:r w:rsidRPr="004F40F0">
        <w:t>MultAI</w:t>
      </w:r>
      <w:proofErr w:type="spellEnd"/>
      <w:r>
        <w:t>-functionality for their highly valuable role and contributions.</w:t>
      </w:r>
      <w:r w:rsidR="0020375D">
        <w:t xml:space="preserve"> Part of th</w:t>
      </w:r>
      <w:r w:rsidR="00C94F6D">
        <w:t>is</w:t>
      </w:r>
      <w:r w:rsidR="0020375D">
        <w:t xml:space="preserve"> research was supported by the </w:t>
      </w:r>
      <w:proofErr w:type="spellStart"/>
      <w:r w:rsidR="0020375D">
        <w:t>Genecity</w:t>
      </w:r>
      <w:proofErr w:type="spellEnd"/>
      <w:r w:rsidR="0020375D">
        <w:t xml:space="preserve"> project of the </w:t>
      </w:r>
      <w:r w:rsidR="0020375D" w:rsidRPr="0020375D">
        <w:t>HORIZON-MISS-2025-04-CIT-02</w:t>
      </w:r>
      <w:r w:rsidR="0020375D">
        <w:t xml:space="preserve"> call</w:t>
      </w:r>
      <w:r w:rsidR="00EA2D80">
        <w:t xml:space="preserve"> of the European Commission</w:t>
      </w:r>
      <w:r w:rsidR="0020375D">
        <w:t xml:space="preserve">. </w:t>
      </w:r>
    </w:p>
    <w:p w14:paraId="683EABAF" w14:textId="1784BCE6" w:rsidR="00C80C42" w:rsidRDefault="00C80C42" w:rsidP="001322E3">
      <w:pPr>
        <w:pStyle w:val="Kop1"/>
      </w:pPr>
    </w:p>
    <w:sectPr w:rsidR="00C80C42">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2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753D" w14:textId="77777777" w:rsidR="00B975E6" w:rsidRDefault="00B975E6">
      <w:pPr>
        <w:spacing w:after="0"/>
      </w:pPr>
      <w:r>
        <w:separator/>
      </w:r>
    </w:p>
  </w:endnote>
  <w:endnote w:type="continuationSeparator" w:id="0">
    <w:p w14:paraId="2C8868AA" w14:textId="77777777" w:rsidR="00B975E6" w:rsidRDefault="00B975E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EE03" w14:textId="35AC5DC5" w:rsidR="00C80C42" w:rsidRDefault="00847C18">
    <w:pPr>
      <w:pBdr>
        <w:top w:val="nil"/>
        <w:left w:val="nil"/>
        <w:bottom w:val="nil"/>
        <w:right w:val="nil"/>
        <w:between w:val="nil"/>
      </w:pBdr>
      <w:spacing w:after="0"/>
      <w:rPr>
        <w:color w:val="000000"/>
      </w:rPr>
    </w:pPr>
    <w:r>
      <w:rPr>
        <w:noProof/>
        <w:color w:val="000000"/>
      </w:rPr>
      <mc:AlternateContent>
        <mc:Choice Requires="wps">
          <w:drawing>
            <wp:anchor distT="0" distB="0" distL="0" distR="0" simplePos="0" relativeHeight="251660288" behindDoc="0" locked="0" layoutInCell="1" allowOverlap="1" wp14:anchorId="30961BAB" wp14:editId="203B7A73">
              <wp:simplePos x="635" y="635"/>
              <wp:positionH relativeFrom="page">
                <wp:align>left</wp:align>
              </wp:positionH>
              <wp:positionV relativeFrom="page">
                <wp:align>bottom</wp:align>
              </wp:positionV>
              <wp:extent cx="1817370" cy="345440"/>
              <wp:effectExtent l="0" t="0" r="11430" b="0"/>
              <wp:wrapNone/>
              <wp:docPr id="1100180118" name="Text Box 4"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15B8032A" w14:textId="4F5E1EE0" w:rsidR="00847C18" w:rsidRPr="00847C18" w:rsidRDefault="00847C18" w:rsidP="00847C18">
                          <w:pPr>
                            <w:spacing w:after="0"/>
                            <w:rPr>
                              <w:rFonts w:ascii="Aptos" w:eastAsia="Aptos" w:hAnsi="Aptos" w:cs="Aptos"/>
                              <w:noProof/>
                              <w:color w:val="000000"/>
                            </w:rPr>
                          </w:pPr>
                          <w:r w:rsidRPr="00847C18">
                            <w:rPr>
                              <w:rFonts w:ascii="Aptos" w:eastAsia="Aptos" w:hAnsi="Aptos" w:cs="Aptos"/>
                              <w:noProof/>
                              <w:color w:val="00000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961BAB" id="_x0000_t202" coordsize="21600,21600" o:spt="202" path="m,l,21600r21600,l21600,xe">
              <v:stroke joinstyle="miter"/>
              <v:path gradientshapeok="t" o:connecttype="rect"/>
            </v:shapetype>
            <v:shape id="Text Box 4" o:spid="_x0000_s1026" type="#_x0000_t202" alt="Classified as Internal | Intern" style="position:absolute;left:0;text-align:left;margin-left:0;margin-top:0;width:143.1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" filled="f" stroked="f">
              <v:textbox style="mso-fit-shape-to-text:t" inset="20pt,0,0,15pt">
                <w:txbxContent>
                  <w:p w14:paraId="15B8032A" w14:textId="4F5E1EE0" w:rsidR="00847C18" w:rsidRPr="00847C18" w:rsidRDefault="00847C18" w:rsidP="00847C18">
                    <w:pPr>
                      <w:spacing w:after="0"/>
                      <w:rPr>
                        <w:rFonts w:ascii="Aptos" w:eastAsia="Aptos" w:hAnsi="Aptos" w:cs="Aptos"/>
                        <w:noProof/>
                        <w:color w:val="000000"/>
                      </w:rPr>
                    </w:pPr>
                    <w:r w:rsidRPr="00847C18">
                      <w:rPr>
                        <w:rFonts w:ascii="Aptos" w:eastAsia="Aptos" w:hAnsi="Aptos" w:cs="Aptos"/>
                        <w:noProof/>
                        <w:color w:val="000000"/>
                      </w:rPr>
                      <w:t>Classified as Internal | 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1918C" w14:textId="4CB06908" w:rsidR="00C80C42" w:rsidRDefault="00991857" w:rsidP="002867B3">
    <w:pPr>
      <w:pBdr>
        <w:top w:val="nil"/>
        <w:left w:val="nil"/>
        <w:bottom w:val="nil"/>
        <w:right w:val="nil"/>
        <w:between w:val="nil"/>
      </w:pBdr>
      <w:tabs>
        <w:tab w:val="center" w:pos="5040"/>
        <w:tab w:val="right" w:pos="9000"/>
      </w:tabs>
      <w:spacing w:after="0"/>
      <w:jc w:val="center"/>
      <w:rPr>
        <w:color w:val="000000"/>
        <w:sz w:val="18"/>
        <w:szCs w:val="18"/>
      </w:rPr>
    </w:pPr>
    <w:proofErr w:type="spellStart"/>
    <w:r>
      <w:rPr>
        <w:i/>
        <w:color w:val="000000"/>
        <w:sz w:val="18"/>
        <w:szCs w:val="18"/>
      </w:rPr>
      <w:t>PiP</w:t>
    </w:r>
    <w:proofErr w:type="spellEnd"/>
    <w:r w:rsidR="00CE3822">
      <w:rPr>
        <w:i/>
        <w:color w:val="000000"/>
        <w:sz w:val="18"/>
        <w:szCs w:val="18"/>
      </w:rPr>
      <w:t xml:space="preserve"> Paper – Track Name</w:t>
    </w:r>
  </w:p>
  <w:p w14:paraId="016DD034" w14:textId="14D61CA9" w:rsidR="00946EFF" w:rsidRDefault="00CE3822" w:rsidP="002867B3">
    <w:pPr>
      <w:pBdr>
        <w:top w:val="nil"/>
        <w:left w:val="nil"/>
        <w:bottom w:val="nil"/>
        <w:right w:val="nil"/>
        <w:between w:val="nil"/>
      </w:pBdr>
      <w:tabs>
        <w:tab w:val="center" w:pos="5040"/>
        <w:tab w:val="right" w:pos="9000"/>
      </w:tabs>
      <w:spacing w:after="0"/>
      <w:jc w:val="center"/>
      <w:rPr>
        <w:i/>
        <w:color w:val="000000"/>
        <w:sz w:val="18"/>
        <w:szCs w:val="18"/>
      </w:rPr>
    </w:pPr>
    <w:r>
      <w:rPr>
        <w:i/>
        <w:color w:val="000000"/>
        <w:sz w:val="18"/>
        <w:szCs w:val="18"/>
      </w:rPr>
      <w:t>Proceedings of the 2</w:t>
    </w:r>
    <w:r w:rsidR="00946EFF">
      <w:rPr>
        <w:i/>
        <w:color w:val="000000"/>
        <w:sz w:val="18"/>
        <w:szCs w:val="18"/>
      </w:rPr>
      <w:t>3</w:t>
    </w:r>
    <w:r w:rsidR="00591C80" w:rsidRPr="00591C80">
      <w:rPr>
        <w:i/>
        <w:color w:val="000000"/>
        <w:sz w:val="18"/>
        <w:szCs w:val="18"/>
        <w:vertAlign w:val="superscript"/>
      </w:rPr>
      <w:t>rd</w:t>
    </w:r>
    <w:r w:rsidR="00591C80">
      <w:rPr>
        <w:i/>
        <w:color w:val="000000"/>
        <w:sz w:val="18"/>
        <w:szCs w:val="18"/>
      </w:rPr>
      <w:t xml:space="preserve"> </w:t>
    </w:r>
    <w:r>
      <w:rPr>
        <w:i/>
        <w:color w:val="000000"/>
        <w:sz w:val="18"/>
        <w:szCs w:val="18"/>
      </w:rPr>
      <w:t xml:space="preserve">ISCRAM Conference – </w:t>
    </w:r>
    <w:r w:rsidR="00946EFF">
      <w:rPr>
        <w:rStyle w:val="Zwaar"/>
        <w:b w:val="0"/>
        <w:bCs w:val="0"/>
        <w:i/>
        <w:iCs/>
        <w:sz w:val="18"/>
        <w:szCs w:val="18"/>
        <w:shd w:val="clear" w:color="auto" w:fill="FFFFFF"/>
      </w:rPr>
      <w:t>The Hague</w:t>
    </w:r>
    <w:r>
      <w:rPr>
        <w:i/>
        <w:color w:val="000000"/>
        <w:sz w:val="18"/>
        <w:szCs w:val="18"/>
      </w:rPr>
      <w:t xml:space="preserve">, </w:t>
    </w:r>
    <w:r w:rsidR="00946EFF">
      <w:rPr>
        <w:i/>
        <w:color w:val="000000"/>
        <w:sz w:val="18"/>
        <w:szCs w:val="18"/>
      </w:rPr>
      <w:t>the Netherlands</w:t>
    </w:r>
    <w:r>
      <w:rPr>
        <w:i/>
        <w:color w:val="000000"/>
        <w:sz w:val="18"/>
        <w:szCs w:val="18"/>
      </w:rPr>
      <w:t xml:space="preserve"> </w:t>
    </w:r>
    <w:r w:rsidR="00946EFF">
      <w:rPr>
        <w:i/>
        <w:color w:val="000000"/>
        <w:sz w:val="18"/>
        <w:szCs w:val="18"/>
      </w:rPr>
      <w:t>June</w:t>
    </w:r>
    <w:r>
      <w:rPr>
        <w:i/>
        <w:color w:val="000000"/>
        <w:sz w:val="18"/>
        <w:szCs w:val="18"/>
      </w:rPr>
      <w:t xml:space="preserve"> 202</w:t>
    </w:r>
    <w:r w:rsidR="00591C80">
      <w:rPr>
        <w:i/>
        <w:color w:val="000000"/>
        <w:sz w:val="18"/>
        <w:szCs w:val="18"/>
      </w:rPr>
      <w:t>6</w:t>
    </w:r>
    <w:r w:rsidR="00946EFF">
      <w:rPr>
        <w:i/>
        <w:color w:val="000000"/>
        <w:sz w:val="18"/>
        <w:szCs w:val="18"/>
      </w:rPr>
      <w:t xml:space="preserve"> </w:t>
    </w:r>
  </w:p>
  <w:p w14:paraId="5DB28F56" w14:textId="6D7B80A5" w:rsidR="00C80C42" w:rsidRPr="002867B3" w:rsidRDefault="00946EFF" w:rsidP="002867B3">
    <w:pPr>
      <w:pBdr>
        <w:top w:val="nil"/>
        <w:left w:val="nil"/>
        <w:bottom w:val="nil"/>
        <w:right w:val="nil"/>
        <w:between w:val="nil"/>
      </w:pBdr>
      <w:tabs>
        <w:tab w:val="center" w:pos="5040"/>
        <w:tab w:val="right" w:pos="9000"/>
      </w:tabs>
      <w:spacing w:after="0"/>
      <w:jc w:val="center"/>
      <w:rPr>
        <w:i/>
        <w:color w:val="000000"/>
        <w:sz w:val="18"/>
        <w:szCs w:val="18"/>
      </w:rPr>
    </w:pPr>
    <w:r>
      <w:rPr>
        <w:i/>
        <w:color w:val="000000"/>
        <w:sz w:val="18"/>
        <w:szCs w:val="18"/>
      </w:rPr>
      <w:t xml:space="preserve">Caroline Rizza, </w:t>
    </w:r>
    <w:r w:rsidRPr="00946EFF">
      <w:rPr>
        <w:i/>
        <w:color w:val="000000"/>
        <w:sz w:val="18"/>
        <w:szCs w:val="18"/>
      </w:rPr>
      <w:t>Apoorva Chauhan</w:t>
    </w:r>
    <w:r w:rsidR="002867B3">
      <w:rPr>
        <w:i/>
        <w:iCs/>
        <w:sz w:val="18"/>
        <w:szCs w:val="18"/>
      </w:rPr>
      <w:t>,</w:t>
    </w:r>
    <w:r>
      <w:rPr>
        <w:i/>
        <w:iCs/>
        <w:sz w:val="18"/>
        <w:szCs w:val="18"/>
      </w:rPr>
      <w:t xml:space="preserve"> Amy Matser, Joyce Kox, Willem Treurniet </w:t>
    </w:r>
    <w:r w:rsidR="003211DF">
      <w:rPr>
        <w:i/>
        <w:iCs/>
        <w:sz w:val="18"/>
        <w:szCs w:val="18"/>
      </w:rPr>
      <w:t xml:space="preserve">&amp; </w:t>
    </w:r>
    <w:r>
      <w:rPr>
        <w:i/>
        <w:iCs/>
        <w:sz w:val="18"/>
        <w:szCs w:val="18"/>
      </w:rPr>
      <w:t>Jeroen Wolbers</w:t>
    </w:r>
    <w:r w:rsidR="002867B3">
      <w:rPr>
        <w:i/>
        <w:iCs/>
        <w:sz w:val="18"/>
        <w:szCs w:val="18"/>
      </w:rPr>
      <w:t xml:space="preserve"> eds.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D4099" w14:textId="5D2F8561" w:rsidR="00C80C42" w:rsidRDefault="00847C18">
    <w:pPr>
      <w:pBdr>
        <w:top w:val="nil"/>
        <w:left w:val="nil"/>
        <w:bottom w:val="nil"/>
        <w:right w:val="nil"/>
        <w:between w:val="nil"/>
      </w:pBdr>
      <w:spacing w:after="0"/>
      <w:rPr>
        <w:color w:val="000000"/>
      </w:rPr>
    </w:pPr>
    <w:r>
      <w:rPr>
        <w:noProof/>
        <w:color w:val="000000"/>
      </w:rPr>
      <mc:AlternateContent>
        <mc:Choice Requires="wps">
          <w:drawing>
            <wp:anchor distT="0" distB="0" distL="0" distR="0" simplePos="0" relativeHeight="251659264" behindDoc="0" locked="0" layoutInCell="1" allowOverlap="1" wp14:anchorId="031CB295" wp14:editId="0E018E50">
              <wp:simplePos x="635" y="635"/>
              <wp:positionH relativeFrom="page">
                <wp:align>left</wp:align>
              </wp:positionH>
              <wp:positionV relativeFrom="page">
                <wp:align>bottom</wp:align>
              </wp:positionV>
              <wp:extent cx="1817370" cy="345440"/>
              <wp:effectExtent l="0" t="0" r="11430" b="0"/>
              <wp:wrapNone/>
              <wp:docPr id="2137437936"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7370" cy="345440"/>
                      </a:xfrm>
                      <a:prstGeom prst="rect">
                        <a:avLst/>
                      </a:prstGeom>
                      <a:noFill/>
                      <a:ln>
                        <a:noFill/>
                      </a:ln>
                    </wps:spPr>
                    <wps:txbx>
                      <w:txbxContent>
                        <w:p w14:paraId="6CF232F0" w14:textId="229903F2" w:rsidR="00847C18" w:rsidRPr="00847C18" w:rsidRDefault="00847C18" w:rsidP="00847C18">
                          <w:pPr>
                            <w:spacing w:after="0"/>
                            <w:rPr>
                              <w:rFonts w:ascii="Aptos" w:eastAsia="Aptos" w:hAnsi="Aptos" w:cs="Aptos"/>
                              <w:noProof/>
                              <w:color w:val="000000"/>
                            </w:rPr>
                          </w:pPr>
                          <w:r w:rsidRPr="00847C18">
                            <w:rPr>
                              <w:rFonts w:ascii="Aptos" w:eastAsia="Aptos" w:hAnsi="Aptos" w:cs="Aptos"/>
                              <w:noProof/>
                              <w:color w:val="00000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CB295" id="_x0000_t202" coordsize="21600,21600" o:spt="202" path="m,l,21600r21600,l21600,xe">
              <v:stroke joinstyle="miter"/>
              <v:path gradientshapeok="t" o:connecttype="rect"/>
            </v:shapetype>
            <v:shape id="Text Box 3" o:spid="_x0000_s1027" type="#_x0000_t202" alt="Classified as Internal | Intern" style="position:absolute;left:0;text-align:left;margin-left:0;margin-top:0;width:143.1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" filled="f" stroked="f">
              <v:textbox style="mso-fit-shape-to-text:t" inset="20pt,0,0,15pt">
                <w:txbxContent>
                  <w:p w14:paraId="6CF232F0" w14:textId="229903F2" w:rsidR="00847C18" w:rsidRPr="00847C18" w:rsidRDefault="00847C18" w:rsidP="00847C18">
                    <w:pPr>
                      <w:spacing w:after="0"/>
                      <w:rPr>
                        <w:rFonts w:ascii="Aptos" w:eastAsia="Aptos" w:hAnsi="Aptos" w:cs="Aptos"/>
                        <w:noProof/>
                        <w:color w:val="000000"/>
                      </w:rPr>
                    </w:pPr>
                    <w:r w:rsidRPr="00847C18">
                      <w:rPr>
                        <w:rFonts w:ascii="Aptos" w:eastAsia="Aptos" w:hAnsi="Aptos" w:cs="Aptos"/>
                        <w:noProof/>
                        <w:color w:val="00000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0794" w14:textId="77777777" w:rsidR="00B975E6" w:rsidRDefault="00B975E6">
      <w:pPr>
        <w:spacing w:after="0"/>
      </w:pPr>
      <w:r>
        <w:separator/>
      </w:r>
    </w:p>
  </w:footnote>
  <w:footnote w:type="continuationSeparator" w:id="0">
    <w:p w14:paraId="4B1C12E0" w14:textId="77777777" w:rsidR="00B975E6" w:rsidRDefault="00B975E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07589" w14:textId="77777777" w:rsidR="00C80C42" w:rsidRDefault="00C80C42">
    <w:pPr>
      <w:pBdr>
        <w:top w:val="nil"/>
        <w:left w:val="nil"/>
        <w:bottom w:val="nil"/>
        <w:right w:val="nil"/>
        <w:between w:val="nil"/>
      </w:pBdr>
      <w:spacing w:after="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1673F" w14:textId="77777777" w:rsidR="00C80C42" w:rsidRDefault="00C80C42">
    <w:pPr>
      <w:pBdr>
        <w:top w:val="nil"/>
        <w:left w:val="nil"/>
        <w:bottom w:val="nil"/>
        <w:right w:val="nil"/>
        <w:between w:val="nil"/>
      </w:pBdr>
      <w:spacing w:after="0" w:line="276" w:lineRule="auto"/>
      <w:jc w:val="left"/>
      <w:rPr>
        <w:color w:val="000000"/>
      </w:rPr>
    </w:pPr>
  </w:p>
  <w:tbl>
    <w:tblPr>
      <w:tblStyle w:val="a2"/>
      <w:tblW w:w="9243" w:type="dxa"/>
      <w:tblLayout w:type="fixed"/>
      <w:tblLook w:val="0000" w:firstRow="0" w:lastRow="0" w:firstColumn="0" w:lastColumn="0" w:noHBand="0" w:noVBand="0"/>
    </w:tblPr>
    <w:tblGrid>
      <w:gridCol w:w="4625"/>
      <w:gridCol w:w="4618"/>
    </w:tblGrid>
    <w:tr w:rsidR="00C80C42" w14:paraId="70D0EB16" w14:textId="77777777">
      <w:tc>
        <w:tcPr>
          <w:tcW w:w="4625" w:type="dxa"/>
          <w:tcMar>
            <w:left w:w="108" w:type="dxa"/>
            <w:right w:w="108" w:type="dxa"/>
          </w:tcMar>
        </w:tcPr>
        <w:p w14:paraId="1AF29C41" w14:textId="06B39EC3" w:rsidR="00C80C42" w:rsidRDefault="00E43453">
          <w:pPr>
            <w:pBdr>
              <w:top w:val="nil"/>
              <w:left w:val="nil"/>
              <w:bottom w:val="nil"/>
              <w:right w:val="nil"/>
              <w:between w:val="nil"/>
            </w:pBdr>
            <w:tabs>
              <w:tab w:val="center" w:pos="5040"/>
              <w:tab w:val="right" w:pos="10080"/>
            </w:tabs>
            <w:spacing w:after="0"/>
            <w:jc w:val="left"/>
            <w:rPr>
              <w:color w:val="000000"/>
            </w:rPr>
          </w:pPr>
          <w:r>
            <w:rPr>
              <w:i/>
              <w:color w:val="000000"/>
              <w:sz w:val="18"/>
              <w:szCs w:val="18"/>
            </w:rPr>
            <w:t>Peters et al.</w:t>
          </w:r>
          <w:r>
            <w:rPr>
              <w:noProof/>
            </w:rPr>
            <w:t xml:space="preserve"> </w:t>
          </w:r>
        </w:p>
      </w:tc>
      <w:tc>
        <w:tcPr>
          <w:tcW w:w="4618" w:type="dxa"/>
          <w:tcMar>
            <w:left w:w="108" w:type="dxa"/>
            <w:right w:w="108" w:type="dxa"/>
          </w:tcMar>
        </w:tcPr>
        <w:p w14:paraId="68611E36" w14:textId="444A7B8F" w:rsidR="00C80C42" w:rsidRDefault="00C87749">
          <w:pPr>
            <w:pBdr>
              <w:top w:val="nil"/>
              <w:left w:val="nil"/>
              <w:bottom w:val="nil"/>
              <w:right w:val="nil"/>
              <w:between w:val="nil"/>
            </w:pBdr>
            <w:tabs>
              <w:tab w:val="center" w:pos="5040"/>
              <w:tab w:val="right" w:pos="10080"/>
            </w:tabs>
            <w:spacing w:after="0"/>
            <w:jc w:val="right"/>
            <w:rPr>
              <w:color w:val="000000"/>
            </w:rPr>
          </w:pPr>
          <w:proofErr w:type="spellStart"/>
          <w:r>
            <w:rPr>
              <w:i/>
              <w:color w:val="000000"/>
              <w:sz w:val="18"/>
              <w:szCs w:val="18"/>
            </w:rPr>
            <w:t>GeoAI</w:t>
          </w:r>
          <w:proofErr w:type="spellEnd"/>
          <w:r>
            <w:rPr>
              <w:i/>
              <w:color w:val="000000"/>
              <w:sz w:val="18"/>
              <w:szCs w:val="18"/>
            </w:rPr>
            <w:t xml:space="preserve"> based support for the common operational picture</w:t>
          </w:r>
        </w:p>
      </w:tc>
    </w:tr>
  </w:tbl>
  <w:p w14:paraId="19D7934C" w14:textId="77777777" w:rsidR="00C80C42" w:rsidRDefault="00C80C42">
    <w:pPr>
      <w:pBdr>
        <w:top w:val="nil"/>
        <w:left w:val="nil"/>
        <w:bottom w:val="nil"/>
        <w:right w:val="nil"/>
        <w:between w:val="nil"/>
      </w:pBdr>
      <w:tabs>
        <w:tab w:val="center" w:pos="5040"/>
        <w:tab w:val="right" w:pos="10080"/>
      </w:tabs>
      <w:spacing w:after="0"/>
      <w:jc w:val="left"/>
      <w:rPr>
        <w:color w:val="000000"/>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23510" w14:textId="77777777" w:rsidR="00C80C42" w:rsidRDefault="00C80C42">
    <w:pPr>
      <w:pBdr>
        <w:top w:val="nil"/>
        <w:left w:val="nil"/>
        <w:bottom w:val="nil"/>
        <w:right w:val="nil"/>
        <w:between w:val="nil"/>
      </w:pBdr>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56E"/>
    <w:multiLevelType w:val="multilevel"/>
    <w:tmpl w:val="9D7C329A"/>
    <w:lvl w:ilvl="0">
      <w:start w:val="1"/>
      <w:numFmt w:val="bullet"/>
      <w:lvlText w:val="●"/>
      <w:lvlJc w:val="left"/>
      <w:pPr>
        <w:ind w:left="1257" w:firstLine="360"/>
      </w:pPr>
      <w:rPr>
        <w:rFonts w:ascii="Arial" w:eastAsia="Arial" w:hAnsi="Arial" w:cs="Arial"/>
        <w:vertAlign w:val="baseline"/>
      </w:rPr>
    </w:lvl>
    <w:lvl w:ilvl="1">
      <w:start w:val="1"/>
      <w:numFmt w:val="bullet"/>
      <w:lvlText w:val="o"/>
      <w:lvlJc w:val="left"/>
      <w:pPr>
        <w:ind w:left="1977" w:firstLine="1080"/>
      </w:pPr>
      <w:rPr>
        <w:rFonts w:ascii="Arial" w:eastAsia="Arial" w:hAnsi="Arial" w:cs="Arial"/>
        <w:vertAlign w:val="baseline"/>
      </w:rPr>
    </w:lvl>
    <w:lvl w:ilvl="2">
      <w:start w:val="1"/>
      <w:numFmt w:val="bullet"/>
      <w:lvlText w:val="▪"/>
      <w:lvlJc w:val="left"/>
      <w:pPr>
        <w:ind w:left="2697" w:firstLine="1800"/>
      </w:pPr>
      <w:rPr>
        <w:rFonts w:ascii="Arial" w:eastAsia="Arial" w:hAnsi="Arial" w:cs="Arial"/>
        <w:vertAlign w:val="baseline"/>
      </w:rPr>
    </w:lvl>
    <w:lvl w:ilvl="3">
      <w:start w:val="1"/>
      <w:numFmt w:val="bullet"/>
      <w:lvlText w:val="●"/>
      <w:lvlJc w:val="left"/>
      <w:pPr>
        <w:ind w:left="3417" w:firstLine="2520"/>
      </w:pPr>
      <w:rPr>
        <w:rFonts w:ascii="Arial" w:eastAsia="Arial" w:hAnsi="Arial" w:cs="Arial"/>
        <w:vertAlign w:val="baseline"/>
      </w:rPr>
    </w:lvl>
    <w:lvl w:ilvl="4">
      <w:start w:val="1"/>
      <w:numFmt w:val="bullet"/>
      <w:lvlText w:val="o"/>
      <w:lvlJc w:val="left"/>
      <w:pPr>
        <w:ind w:left="4137" w:firstLine="3240"/>
      </w:pPr>
      <w:rPr>
        <w:rFonts w:ascii="Arial" w:eastAsia="Arial" w:hAnsi="Arial" w:cs="Arial"/>
        <w:vertAlign w:val="baseline"/>
      </w:rPr>
    </w:lvl>
    <w:lvl w:ilvl="5">
      <w:start w:val="1"/>
      <w:numFmt w:val="bullet"/>
      <w:lvlText w:val="▪"/>
      <w:lvlJc w:val="left"/>
      <w:pPr>
        <w:ind w:left="4857" w:firstLine="3960"/>
      </w:pPr>
      <w:rPr>
        <w:rFonts w:ascii="Arial" w:eastAsia="Arial" w:hAnsi="Arial" w:cs="Arial"/>
        <w:vertAlign w:val="baseline"/>
      </w:rPr>
    </w:lvl>
    <w:lvl w:ilvl="6">
      <w:start w:val="1"/>
      <w:numFmt w:val="bullet"/>
      <w:lvlText w:val="●"/>
      <w:lvlJc w:val="left"/>
      <w:pPr>
        <w:ind w:left="5577" w:firstLine="4680"/>
      </w:pPr>
      <w:rPr>
        <w:rFonts w:ascii="Arial" w:eastAsia="Arial" w:hAnsi="Arial" w:cs="Arial"/>
        <w:vertAlign w:val="baseline"/>
      </w:rPr>
    </w:lvl>
    <w:lvl w:ilvl="7">
      <w:start w:val="1"/>
      <w:numFmt w:val="bullet"/>
      <w:lvlText w:val="o"/>
      <w:lvlJc w:val="left"/>
      <w:pPr>
        <w:ind w:left="6297" w:firstLine="5400"/>
      </w:pPr>
      <w:rPr>
        <w:rFonts w:ascii="Arial" w:eastAsia="Arial" w:hAnsi="Arial" w:cs="Arial"/>
        <w:vertAlign w:val="baseline"/>
      </w:rPr>
    </w:lvl>
    <w:lvl w:ilvl="8">
      <w:start w:val="1"/>
      <w:numFmt w:val="bullet"/>
      <w:lvlText w:val="▪"/>
      <w:lvlJc w:val="left"/>
      <w:pPr>
        <w:ind w:left="7017" w:firstLine="6120"/>
      </w:pPr>
      <w:rPr>
        <w:rFonts w:ascii="Arial" w:eastAsia="Arial" w:hAnsi="Arial" w:cs="Arial"/>
        <w:vertAlign w:val="baseline"/>
      </w:rPr>
    </w:lvl>
  </w:abstractNum>
  <w:abstractNum w:abstractNumId="1" w15:restartNumberingAfterBreak="0">
    <w:nsid w:val="0D912F95"/>
    <w:multiLevelType w:val="multilevel"/>
    <w:tmpl w:val="699E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2673B2"/>
    <w:multiLevelType w:val="multilevel"/>
    <w:tmpl w:val="84E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B91D6A"/>
    <w:multiLevelType w:val="multilevel"/>
    <w:tmpl w:val="49603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150CE"/>
    <w:multiLevelType w:val="multilevel"/>
    <w:tmpl w:val="6BB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172B6B"/>
    <w:multiLevelType w:val="multilevel"/>
    <w:tmpl w:val="BA86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32162C"/>
    <w:multiLevelType w:val="multilevel"/>
    <w:tmpl w:val="701EB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E1A57"/>
    <w:multiLevelType w:val="multilevel"/>
    <w:tmpl w:val="5F08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E62365"/>
    <w:multiLevelType w:val="multilevel"/>
    <w:tmpl w:val="1A48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185919">
    <w:abstractNumId w:val="0"/>
  </w:num>
  <w:num w:numId="2" w16cid:durableId="1766995734">
    <w:abstractNumId w:val="4"/>
  </w:num>
  <w:num w:numId="3" w16cid:durableId="1497961340">
    <w:abstractNumId w:val="2"/>
  </w:num>
  <w:num w:numId="4" w16cid:durableId="151457256">
    <w:abstractNumId w:val="7"/>
  </w:num>
  <w:num w:numId="5" w16cid:durableId="718163582">
    <w:abstractNumId w:val="5"/>
  </w:num>
  <w:num w:numId="6" w16cid:durableId="1213343915">
    <w:abstractNumId w:val="8"/>
  </w:num>
  <w:num w:numId="7" w16cid:durableId="1912303958">
    <w:abstractNumId w:val="6"/>
  </w:num>
  <w:num w:numId="8" w16cid:durableId="1727027890">
    <w:abstractNumId w:val="1"/>
  </w:num>
  <w:num w:numId="9" w16cid:durableId="8021205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C42"/>
    <w:rsid w:val="00020BFF"/>
    <w:rsid w:val="00037A3C"/>
    <w:rsid w:val="00042BEF"/>
    <w:rsid w:val="00066A9B"/>
    <w:rsid w:val="00071E05"/>
    <w:rsid w:val="000A27D7"/>
    <w:rsid w:val="000A29A2"/>
    <w:rsid w:val="000E0653"/>
    <w:rsid w:val="000F5927"/>
    <w:rsid w:val="001322E3"/>
    <w:rsid w:val="00135779"/>
    <w:rsid w:val="00155B3F"/>
    <w:rsid w:val="001903B6"/>
    <w:rsid w:val="00197601"/>
    <w:rsid w:val="001A6D90"/>
    <w:rsid w:val="001B2C00"/>
    <w:rsid w:val="001C1AC3"/>
    <w:rsid w:val="001C3179"/>
    <w:rsid w:val="001D6525"/>
    <w:rsid w:val="0020375D"/>
    <w:rsid w:val="00210819"/>
    <w:rsid w:val="00255783"/>
    <w:rsid w:val="00262482"/>
    <w:rsid w:val="00262B31"/>
    <w:rsid w:val="002730A7"/>
    <w:rsid w:val="002739B7"/>
    <w:rsid w:val="002867B3"/>
    <w:rsid w:val="002913FA"/>
    <w:rsid w:val="002928EE"/>
    <w:rsid w:val="002A082B"/>
    <w:rsid w:val="002A3898"/>
    <w:rsid w:val="002C7F68"/>
    <w:rsid w:val="002D61D8"/>
    <w:rsid w:val="003211DF"/>
    <w:rsid w:val="00330D5E"/>
    <w:rsid w:val="003376CE"/>
    <w:rsid w:val="00340FC0"/>
    <w:rsid w:val="0035702D"/>
    <w:rsid w:val="003613F1"/>
    <w:rsid w:val="0036475F"/>
    <w:rsid w:val="003E11CF"/>
    <w:rsid w:val="003F3DDF"/>
    <w:rsid w:val="00410797"/>
    <w:rsid w:val="004451BE"/>
    <w:rsid w:val="00486D87"/>
    <w:rsid w:val="00490DC8"/>
    <w:rsid w:val="004A3BAB"/>
    <w:rsid w:val="004B5817"/>
    <w:rsid w:val="004D1D9A"/>
    <w:rsid w:val="004F0664"/>
    <w:rsid w:val="004F40F0"/>
    <w:rsid w:val="004F7361"/>
    <w:rsid w:val="00511221"/>
    <w:rsid w:val="00553B62"/>
    <w:rsid w:val="00562D0B"/>
    <w:rsid w:val="00576E2D"/>
    <w:rsid w:val="00581E45"/>
    <w:rsid w:val="00583CD8"/>
    <w:rsid w:val="0058658F"/>
    <w:rsid w:val="00591C80"/>
    <w:rsid w:val="00595180"/>
    <w:rsid w:val="005B05FE"/>
    <w:rsid w:val="005B5B9C"/>
    <w:rsid w:val="005F55CD"/>
    <w:rsid w:val="006A7BB7"/>
    <w:rsid w:val="006D68F4"/>
    <w:rsid w:val="006E0ADF"/>
    <w:rsid w:val="00720D35"/>
    <w:rsid w:val="00760F69"/>
    <w:rsid w:val="007703AB"/>
    <w:rsid w:val="007B5A21"/>
    <w:rsid w:val="007D38C2"/>
    <w:rsid w:val="00821CE8"/>
    <w:rsid w:val="008402B6"/>
    <w:rsid w:val="00847C18"/>
    <w:rsid w:val="00854917"/>
    <w:rsid w:val="008D0B87"/>
    <w:rsid w:val="008F5CA2"/>
    <w:rsid w:val="00946EFF"/>
    <w:rsid w:val="00964D55"/>
    <w:rsid w:val="00991857"/>
    <w:rsid w:val="00996148"/>
    <w:rsid w:val="009A705F"/>
    <w:rsid w:val="009B3EBD"/>
    <w:rsid w:val="009D50AE"/>
    <w:rsid w:val="00A32EEE"/>
    <w:rsid w:val="00A40AD7"/>
    <w:rsid w:val="00A81A0E"/>
    <w:rsid w:val="00AA1BED"/>
    <w:rsid w:val="00AF0391"/>
    <w:rsid w:val="00B12F29"/>
    <w:rsid w:val="00B2701A"/>
    <w:rsid w:val="00B34125"/>
    <w:rsid w:val="00B416E2"/>
    <w:rsid w:val="00B933DB"/>
    <w:rsid w:val="00B975E6"/>
    <w:rsid w:val="00BB704E"/>
    <w:rsid w:val="00BC038F"/>
    <w:rsid w:val="00BD049F"/>
    <w:rsid w:val="00BE06FD"/>
    <w:rsid w:val="00C11A23"/>
    <w:rsid w:val="00C128F9"/>
    <w:rsid w:val="00C32286"/>
    <w:rsid w:val="00C54FE5"/>
    <w:rsid w:val="00C70102"/>
    <w:rsid w:val="00C7399E"/>
    <w:rsid w:val="00C80C42"/>
    <w:rsid w:val="00C87749"/>
    <w:rsid w:val="00C94F6D"/>
    <w:rsid w:val="00CB584E"/>
    <w:rsid w:val="00CC0778"/>
    <w:rsid w:val="00CC3C46"/>
    <w:rsid w:val="00CC433D"/>
    <w:rsid w:val="00CE3822"/>
    <w:rsid w:val="00CF45DA"/>
    <w:rsid w:val="00D55E88"/>
    <w:rsid w:val="00D70D81"/>
    <w:rsid w:val="00D71214"/>
    <w:rsid w:val="00D95814"/>
    <w:rsid w:val="00E2288D"/>
    <w:rsid w:val="00E43453"/>
    <w:rsid w:val="00E45D27"/>
    <w:rsid w:val="00E56E6A"/>
    <w:rsid w:val="00E7116E"/>
    <w:rsid w:val="00E738E5"/>
    <w:rsid w:val="00EA2D80"/>
    <w:rsid w:val="00EB2292"/>
    <w:rsid w:val="00ED72BB"/>
    <w:rsid w:val="00F0604B"/>
    <w:rsid w:val="00F144E0"/>
    <w:rsid w:val="00F21738"/>
    <w:rsid w:val="00F33DB3"/>
    <w:rsid w:val="00F74BD5"/>
    <w:rsid w:val="00F81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E08A"/>
  <w15:docId w15:val="{F07D0350-0968-4C3A-92FD-422B82D38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pBdr>
        <w:top w:val="nil"/>
        <w:left w:val="nil"/>
        <w:bottom w:val="nil"/>
        <w:right w:val="nil"/>
        <w:between w:val="nil"/>
      </w:pBdr>
      <w:spacing w:before="360"/>
      <w:jc w:val="left"/>
      <w:outlineLvl w:val="0"/>
    </w:pPr>
    <w:rPr>
      <w:rFonts w:ascii="Arial" w:eastAsia="Arial" w:hAnsi="Arial" w:cs="Arial"/>
      <w:b/>
      <w:smallCaps/>
      <w:color w:val="000000"/>
      <w:sz w:val="18"/>
      <w:szCs w:val="18"/>
    </w:rPr>
  </w:style>
  <w:style w:type="paragraph" w:styleId="Kop2">
    <w:name w:val="heading 2"/>
    <w:basedOn w:val="Standaard"/>
    <w:next w:val="Standaard"/>
    <w:uiPriority w:val="9"/>
    <w:unhideWhenUsed/>
    <w:qFormat/>
    <w:pPr>
      <w:pBdr>
        <w:top w:val="nil"/>
        <w:left w:val="nil"/>
        <w:bottom w:val="nil"/>
        <w:right w:val="nil"/>
        <w:between w:val="nil"/>
      </w:pBdr>
      <w:spacing w:before="360"/>
      <w:jc w:val="left"/>
      <w:outlineLvl w:val="1"/>
    </w:pPr>
    <w:rPr>
      <w:rFonts w:ascii="Arial" w:eastAsia="Arial" w:hAnsi="Arial" w:cs="Arial"/>
      <w:b/>
      <w:color w:val="000000"/>
      <w:sz w:val="18"/>
      <w:szCs w:val="18"/>
    </w:rPr>
  </w:style>
  <w:style w:type="paragraph" w:styleId="Kop3">
    <w:name w:val="heading 3"/>
    <w:basedOn w:val="Standaard"/>
    <w:next w:val="Standaard"/>
    <w:uiPriority w:val="9"/>
    <w:unhideWhenUsed/>
    <w:qFormat/>
    <w:pPr>
      <w:pBdr>
        <w:top w:val="nil"/>
        <w:left w:val="nil"/>
        <w:bottom w:val="nil"/>
        <w:right w:val="nil"/>
        <w:between w:val="nil"/>
      </w:pBdr>
      <w:spacing w:before="360"/>
      <w:jc w:val="left"/>
      <w:outlineLvl w:val="2"/>
    </w:pPr>
    <w:rPr>
      <w:rFonts w:ascii="Arial" w:eastAsia="Arial" w:hAnsi="Arial" w:cs="Arial"/>
      <w:i/>
      <w:color w:val="000000"/>
      <w:sz w:val="18"/>
      <w:szCs w:val="18"/>
    </w:rPr>
  </w:style>
  <w:style w:type="paragraph" w:styleId="Kop4">
    <w:name w:val="heading 4"/>
    <w:basedOn w:val="Standaard"/>
    <w:next w:val="Standaard"/>
    <w:uiPriority w:val="9"/>
    <w:semiHidden/>
    <w:unhideWhenUsed/>
    <w:qFormat/>
    <w:pPr>
      <w:pBdr>
        <w:top w:val="nil"/>
        <w:left w:val="nil"/>
        <w:bottom w:val="nil"/>
        <w:right w:val="nil"/>
        <w:between w:val="nil"/>
      </w:pBdr>
      <w:spacing w:before="240" w:after="60"/>
      <w:ind w:hanging="863"/>
      <w:jc w:val="left"/>
      <w:outlineLvl w:val="3"/>
    </w:pPr>
    <w:rPr>
      <w:b/>
      <w:color w:val="000000"/>
      <w:sz w:val="28"/>
      <w:szCs w:val="28"/>
    </w:rPr>
  </w:style>
  <w:style w:type="paragraph" w:styleId="Kop5">
    <w:name w:val="heading 5"/>
    <w:basedOn w:val="Standaard"/>
    <w:next w:val="Standaard"/>
    <w:uiPriority w:val="9"/>
    <w:semiHidden/>
    <w:unhideWhenUsed/>
    <w:qFormat/>
    <w:pPr>
      <w:pBdr>
        <w:top w:val="nil"/>
        <w:left w:val="nil"/>
        <w:bottom w:val="nil"/>
        <w:right w:val="nil"/>
        <w:between w:val="nil"/>
      </w:pBdr>
      <w:spacing w:before="240" w:after="60"/>
      <w:ind w:hanging="1007"/>
      <w:jc w:val="left"/>
      <w:outlineLvl w:val="4"/>
    </w:pPr>
    <w:rPr>
      <w:b/>
      <w:i/>
      <w:color w:val="000000"/>
      <w:sz w:val="26"/>
      <w:szCs w:val="26"/>
    </w:rPr>
  </w:style>
  <w:style w:type="paragraph" w:styleId="Kop6">
    <w:name w:val="heading 6"/>
    <w:basedOn w:val="Standaard"/>
    <w:next w:val="Standaard"/>
    <w:uiPriority w:val="9"/>
    <w:semiHidden/>
    <w:unhideWhenUsed/>
    <w:qFormat/>
    <w:pPr>
      <w:pBdr>
        <w:top w:val="nil"/>
        <w:left w:val="nil"/>
        <w:bottom w:val="nil"/>
        <w:right w:val="nil"/>
        <w:between w:val="nil"/>
      </w:pBdr>
      <w:spacing w:before="240" w:after="60"/>
      <w:ind w:hanging="1151"/>
      <w:jc w:val="left"/>
      <w:outlineLvl w:val="5"/>
    </w:pPr>
    <w:rPr>
      <w:b/>
      <w:color w:val="000000"/>
      <w:sz w:val="22"/>
      <w:szCs w:val="22"/>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uiPriority w:val="10"/>
    <w:qFormat/>
    <w:pPr>
      <w:pBdr>
        <w:top w:val="nil"/>
        <w:left w:val="nil"/>
        <w:bottom w:val="nil"/>
        <w:right w:val="nil"/>
        <w:between w:val="nil"/>
      </w:pBdr>
      <w:spacing w:before="100" w:after="480"/>
      <w:jc w:val="center"/>
    </w:pPr>
    <w:rPr>
      <w:rFonts w:ascii="Arial" w:eastAsia="Arial" w:hAnsi="Arial" w:cs="Arial"/>
      <w:b/>
      <w:color w:val="000000"/>
      <w:sz w:val="48"/>
      <w:szCs w:val="48"/>
    </w:rPr>
  </w:style>
  <w:style w:type="paragraph" w:styleId="Ondertitel">
    <w:name w:val="Subtitle"/>
    <w:basedOn w:val="Standaard"/>
    <w:next w:val="Standaard"/>
    <w:uiPriority w:val="11"/>
    <w:qFormat/>
    <w:pPr>
      <w:pBdr>
        <w:top w:val="nil"/>
        <w:left w:val="nil"/>
        <w:bottom w:val="nil"/>
        <w:right w:val="nil"/>
        <w:between w:val="nil"/>
      </w:pBdr>
      <w:spacing w:after="60"/>
      <w:jc w:val="center"/>
    </w:pPr>
    <w:rPr>
      <w:rFonts w:ascii="Arial" w:eastAsia="Arial" w:hAnsi="Arial" w:cs="Arial"/>
      <w:color w:val="000000"/>
    </w:rPr>
  </w:style>
  <w:style w:type="table" w:customStyle="1" w:styleId="a">
    <w:basedOn w:val="Standaardtabel"/>
    <w:tblPr>
      <w:tblStyleRowBandSize w:val="1"/>
      <w:tblStyleColBandSize w:val="1"/>
    </w:tblPr>
  </w:style>
  <w:style w:type="table" w:customStyle="1" w:styleId="a0">
    <w:basedOn w:val="Standaardtabel"/>
    <w:tblPr>
      <w:tblStyleRowBandSize w:val="1"/>
      <w:tblStyleColBandSize w:val="1"/>
    </w:tblPr>
  </w:style>
  <w:style w:type="table" w:customStyle="1" w:styleId="a1">
    <w:basedOn w:val="Standaardtabel"/>
    <w:tblPr>
      <w:tblStyleRowBandSize w:val="1"/>
      <w:tblStyleColBandSize w:val="1"/>
    </w:tblPr>
  </w:style>
  <w:style w:type="table" w:customStyle="1" w:styleId="a2">
    <w:basedOn w:val="Standaardtabel"/>
    <w:tblPr>
      <w:tblStyleRowBandSize w:val="1"/>
      <w:tblStyleColBandSize w:val="1"/>
    </w:tblPr>
  </w:style>
  <w:style w:type="character" w:styleId="Hyperlink">
    <w:name w:val="Hyperlink"/>
    <w:basedOn w:val="Standaardalinea-lettertype"/>
    <w:uiPriority w:val="99"/>
    <w:unhideWhenUsed/>
    <w:rsid w:val="00760F69"/>
    <w:rPr>
      <w:color w:val="0000FF"/>
      <w:u w:val="single"/>
    </w:rPr>
  </w:style>
  <w:style w:type="character" w:styleId="Zwaar">
    <w:name w:val="Strong"/>
    <w:basedOn w:val="Standaardalinea-lettertype"/>
    <w:uiPriority w:val="22"/>
    <w:qFormat/>
    <w:rsid w:val="00760F69"/>
    <w:rPr>
      <w:b/>
      <w:bCs/>
    </w:rPr>
  </w:style>
  <w:style w:type="character" w:styleId="Onopgelostemelding">
    <w:name w:val="Unresolved Mention"/>
    <w:basedOn w:val="Standaardalinea-lettertype"/>
    <w:uiPriority w:val="99"/>
    <w:semiHidden/>
    <w:unhideWhenUsed/>
    <w:rsid w:val="00135779"/>
    <w:rPr>
      <w:color w:val="605E5C"/>
      <w:shd w:val="clear" w:color="auto" w:fill="E1DFDD"/>
    </w:rPr>
  </w:style>
  <w:style w:type="paragraph" w:customStyle="1" w:styleId="Default">
    <w:name w:val="Default"/>
    <w:rsid w:val="002867B3"/>
    <w:pPr>
      <w:widowControl/>
      <w:autoSpaceDE w:val="0"/>
      <w:autoSpaceDN w:val="0"/>
      <w:adjustRightInd w:val="0"/>
      <w:spacing w:after="0"/>
      <w:jc w:val="left"/>
    </w:pPr>
    <w:rPr>
      <w:color w:val="000000"/>
      <w:sz w:val="24"/>
      <w:szCs w:val="24"/>
    </w:rPr>
  </w:style>
  <w:style w:type="paragraph" w:styleId="Lijstalinea">
    <w:name w:val="List Paragraph"/>
    <w:basedOn w:val="Standaard"/>
    <w:uiPriority w:val="34"/>
    <w:qFormat/>
    <w:rsid w:val="00991857"/>
    <w:pPr>
      <w:ind w:left="720"/>
      <w:contextualSpacing/>
    </w:pPr>
  </w:style>
  <w:style w:type="table" w:customStyle="1" w:styleId="4">
    <w:name w:val="4"/>
    <w:basedOn w:val="Standaardtabel"/>
    <w:rsid w:val="00BB704E"/>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311465">
      <w:bodyDiv w:val="1"/>
      <w:marLeft w:val="0"/>
      <w:marRight w:val="0"/>
      <w:marTop w:val="0"/>
      <w:marBottom w:val="0"/>
      <w:divBdr>
        <w:top w:val="none" w:sz="0" w:space="0" w:color="auto"/>
        <w:left w:val="none" w:sz="0" w:space="0" w:color="auto"/>
        <w:bottom w:val="none" w:sz="0" w:space="0" w:color="auto"/>
        <w:right w:val="none" w:sz="0" w:space="0" w:color="auto"/>
      </w:divBdr>
    </w:div>
    <w:div w:id="1804497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illem.treurniet@nipv.nl" TargetMode="External"/><Relationship Id="rId13" Type="http://schemas.openxmlformats.org/officeDocument/2006/relationships/hyperlink" Target="https://natura2000.eea.europa.eu/" TargetMode="Externa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mailto:rob.peters@provincie-utrecht.nl" TargetMode="External"/><Relationship Id="rId12" Type="http://schemas.openxmlformats.org/officeDocument/2006/relationships/image" Target="media/image1.png"/><Relationship Id="rId17" Type="http://schemas.openxmlformats.org/officeDocument/2006/relationships/hyperlink" Target="https://unity.com/" TargetMode="External"/><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hyperlink" Target="https://code.blender.org/"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8n.io/"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hyperlink" Target="https://www.brandweernederland.nl/onderwerpen/informatievoorziening/" TargetMode="External"/><Relationship Id="rId19" Type="http://schemas.openxmlformats.org/officeDocument/2006/relationships/hyperlink" Target="https://www.anthropic.com/" TargetMode="External"/><Relationship Id="rId4" Type="http://schemas.openxmlformats.org/officeDocument/2006/relationships/webSettings" Target="webSettings.xml"/><Relationship Id="rId9" Type="http://schemas.openxmlformats.org/officeDocument/2006/relationships/hyperlink" Target="mailto:guido.legemaate@veiligheidsregioaa.nl" TargetMode="External"/><Relationship Id="rId14" Type="http://schemas.openxmlformats.org/officeDocument/2006/relationships/hyperlink" Target="https://qgis.org/" TargetMode="External"/><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34d3e3d8-6573-48ba-80bb-8e2aa4ce99ab}" enabled="0" method="" siteId="{34d3e3d8-6573-48ba-80bb-8e2aa4ce99ab}" removed="1"/>
  <clbl:label id="{d465f887-04a9-4c17-8b62-103eddccf68b}" enabled="1" method="Standard" siteId="{ca2a7f76-dbd7-4ec0-9108-6b3d524fb7c8}" removed="0"/>
</clbl:labelList>
</file>

<file path=docProps/app.xml><?xml version="1.0" encoding="utf-8"?>
<Properties xmlns="http://schemas.openxmlformats.org/officeDocument/2006/extended-properties" xmlns:vt="http://schemas.openxmlformats.org/officeDocument/2006/docPropsVTypes">
  <Template>Normal</Template>
  <TotalTime>17</TotalTime>
  <Pages>4</Pages>
  <Words>1658</Words>
  <Characters>9003</Characters>
  <Application>Microsoft Office Word</Application>
  <DocSecurity>0</DocSecurity>
  <Lines>155</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Khazanchi</dc:creator>
  <cp:lastModifiedBy>Peters, Rob</cp:lastModifiedBy>
  <cp:revision>23</cp:revision>
  <dcterms:created xsi:type="dcterms:W3CDTF">2026-04-17T14:42:00Z</dcterms:created>
  <dcterms:modified xsi:type="dcterms:W3CDTF">2026-05-27T07:49:00Z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7f66b6f0,41936a96,1220b651</vt:lpwstr>
  </property>
  <property fmtid="{D5CDD505-2E9C-101B-9397-08002B2CF9AE}" pid="3" name="ClassificationContentMarkingFooterFontProps">
    <vt:lpwstr>#000000,10,Aptos</vt:lpwstr>
  </property>
  <property fmtid="{D5CDD505-2E9C-101B-9397-08002B2CF9AE}" pid="4" name="ClassificationContentMarkingFooterText">
    <vt:lpwstr>Classified as Internal | Intern</vt:lpwstr>
  </property>
  <property fmtid="{D5CDD505-2E9C-101B-9397-08002B2CF9AE}" pid="5" name="MSIP_Label_d465f887-04a9-4c17-8b62-103eddccf68b_Enabled">
    <vt:lpwstr>true</vt:lpwstr>
  </property>
  <property fmtid="{D5CDD505-2E9C-101B-9397-08002B2CF9AE}" pid="6" name="MSIP_Label_d465f887-04a9-4c17-8b62-103eddccf68b_SetDate">
    <vt:lpwstr>2025-10-17T14:29:06Z</vt:lpwstr>
  </property>
  <property fmtid="{D5CDD505-2E9C-101B-9397-08002B2CF9AE}" pid="7" name="MSIP_Label_d465f887-04a9-4c17-8b62-103eddccf68b_Method">
    <vt:lpwstr>Standard</vt:lpwstr>
  </property>
  <property fmtid="{D5CDD505-2E9C-101B-9397-08002B2CF9AE}" pid="8" name="MSIP_Label_d465f887-04a9-4c17-8b62-103eddccf68b_Name">
    <vt:lpwstr>Internal - Intern</vt:lpwstr>
  </property>
  <property fmtid="{D5CDD505-2E9C-101B-9397-08002B2CF9AE}" pid="9" name="MSIP_Label_d465f887-04a9-4c17-8b62-103eddccf68b_SiteId">
    <vt:lpwstr>ca2a7f76-dbd7-4ec0-9108-6b3d524fb7c8</vt:lpwstr>
  </property>
  <property fmtid="{D5CDD505-2E9C-101B-9397-08002B2CF9AE}" pid="10" name="MSIP_Label_d465f887-04a9-4c17-8b62-103eddccf68b_ActionId">
    <vt:lpwstr>8f8dce22-b109-4141-b62e-22d8b93f6794</vt:lpwstr>
  </property>
  <property fmtid="{D5CDD505-2E9C-101B-9397-08002B2CF9AE}" pid="11" name="MSIP_Label_d465f887-04a9-4c17-8b62-103eddccf68b_ContentBits">
    <vt:lpwstr>2</vt:lpwstr>
  </property>
  <property fmtid="{D5CDD505-2E9C-101B-9397-08002B2CF9AE}" pid="12" name="MSIP_Label_d465f887-04a9-4c17-8b62-103eddccf68b_Tag">
    <vt:lpwstr>50, 3, 0, 1</vt:lpwstr>
  </property>
</Properties>
</file>