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g">
            <w:drawing>
              <wp:anchor behindDoc="0" distT="0" distB="0" distL="0" distR="0" simplePos="0" locked="0" layoutInCell="1" allowOverlap="1" relativeHeight="10" wp14:anchorId="03381D8B">
                <wp:simplePos x="0" y="0"/>
                <wp:positionH relativeFrom="column">
                  <wp:posOffset>-419100</wp:posOffset>
                </wp:positionH>
                <wp:positionV relativeFrom="paragraph">
                  <wp:posOffset>-3054350</wp:posOffset>
                </wp:positionV>
                <wp:extent cx="6858000" cy="2074545"/>
                <wp:effectExtent l="0" t="0" r="0" b="0"/>
                <wp:wrapNone/>
                <wp:docPr id="1" name="Group 2092796816"/>
                <a:graphic xmlns:a="http://schemas.openxmlformats.org/drawingml/2006/main">
                  <a:graphicData uri="http://schemas.microsoft.com/office/word/2010/wordprocessingGroup">
                    <wpg:wgp>
                      <wpg:cNvGrpSpPr/>
                      <wpg:grpSpPr>
                        <a:xfrm>
                          <a:off x="0" y="0"/>
                          <a:ext cx="6858000" cy="2074680"/>
                          <a:chOff x="0" y="0"/>
                          <a:chExt cx="6858000" cy="2074680"/>
                        </a:xfrm>
                      </wpg:grpSpPr>
                      <wpg:grpSp>
                        <wpg:cNvGrpSpPr/>
                        <wpg:grpSpPr>
                          <a:xfrm>
                            <a:off x="0" y="0"/>
                            <a:ext cx="6858000" cy="2074680"/>
                          </a:xfrm>
                        </wpg:grpSpPr>
                        <wps:wsp>
                          <wps:cNvPr id="2" name="Rectangle 752275013"/>
                          <wps:cNvSpPr/>
                          <wps:spPr>
                            <a:xfrm rot="16200000">
                              <a:off x="3130200" y="-2315520"/>
                              <a:ext cx="597600" cy="6858000"/>
                            </a:xfrm>
                            <a:prstGeom prst="rect">
                              <a:avLst/>
                            </a:prstGeom>
                            <a:noFill/>
                            <a:ln w="0">
                              <a:noFill/>
                            </a:ln>
                          </wps:spPr>
                          <wps:style>
                            <a:lnRef idx="0"/>
                            <a:fillRef idx="0"/>
                            <a:effectRef idx="0"/>
                            <a:fontRef idx="minor"/>
                          </wps:style>
                          <wps:txbx>
                            <w:txbxContent>
                              <w:p>
                                <w:pPr>
                                  <w:pStyle w:val="Normal"/>
                                  <w:spacing w:lineRule="auto" w:line="240"/>
                                  <w:jc w:val="left"/>
                                  <w:rPr/>
                                </w:pPr>
                                <w:r>
                                  <w:rPr/>
                                </w:r>
                              </w:p>
                            </w:txbxContent>
                          </wps:txbx>
                          <wps:bodyPr tIns="91440" bIns="91440" anchor="ctr">
                            <a:noAutofit/>
                          </wps:bodyPr>
                        </wps:wsp>
                        <wps:wsp>
                          <wps:cNvPr id="3" name="Right Triangle 1629915066"/>
                          <wps:cNvSpPr/>
                          <wps:spPr>
                            <a:xfrm flipH="1" rot="16200000">
                              <a:off x="3184920" y="-2261160"/>
                              <a:ext cx="487800" cy="6858000"/>
                            </a:xfrm>
                            <a:prstGeom prst="rtTriangle">
                              <a:avLst/>
                            </a:prstGeom>
                            <a:solidFill>
                              <a:srgbClr val="d33851">
                                <a:alpha val="90000"/>
                              </a:srgbClr>
                            </a:solidFill>
                            <a:ln w="0">
                              <a:noFill/>
                            </a:ln>
                          </wps:spPr>
                          <wps:style>
                            <a:lnRef idx="0"/>
                            <a:fillRef idx="0"/>
                            <a:effectRef idx="0"/>
                            <a:fontRef idx="minor"/>
                          </wps:style>
                          <wps:txbx>
                            <w:txbxContent>
                              <w:p>
                                <w:pPr>
                                  <w:pStyle w:val="Normal"/>
                                  <w:spacing w:lineRule="auto" w:line="240"/>
                                  <w:jc w:val="left"/>
                                  <w:rPr/>
                                </w:pPr>
                                <w:r>
                                  <w:rPr/>
                                </w:r>
                              </w:p>
                            </w:txbxContent>
                          </wps:txbx>
                          <wps:bodyPr tIns="91440" bIns="91440" anchor="ctr">
                            <a:noAutofit/>
                          </wps:bodyPr>
                        </wps:wsp>
                        <wps:wsp>
                          <wps:cNvPr id="4" name="Right Triangle 896715053"/>
                          <wps:cNvSpPr/>
                          <wps:spPr>
                            <a:xfrm rot="10800000">
                              <a:off x="2537640" y="98280"/>
                              <a:ext cx="1783080" cy="1976040"/>
                            </a:xfrm>
                            <a:prstGeom prst="rtTriangle">
                              <a:avLst/>
                            </a:prstGeom>
                            <a:solidFill>
                              <a:srgbClr val="fda348">
                                <a:alpha val="90000"/>
                              </a:srgbClr>
                            </a:solidFill>
                            <a:ln w="0">
                              <a:noFill/>
                            </a:ln>
                          </wps:spPr>
                          <wps:style>
                            <a:lnRef idx="0"/>
                            <a:fillRef idx="0"/>
                            <a:effectRef idx="0"/>
                            <a:fontRef idx="minor"/>
                          </wps:style>
                          <wps:txbx>
                            <w:txbxContent>
                              <w:p>
                                <w:pPr>
                                  <w:pStyle w:val="Normal"/>
                                  <w:spacing w:lineRule="auto" w:line="240"/>
                                  <w:jc w:val="left"/>
                                  <w:rPr/>
                                </w:pPr>
                                <w:r>
                                  <w:rPr/>
                                </w:r>
                              </w:p>
                            </w:txbxContent>
                          </wps:txbx>
                          <wps:bodyPr tIns="91440" bIns="91440" anchor="ctr">
                            <a:noAutofit/>
                          </wps:bodyPr>
                        </wps:wsp>
                        <wps:wsp>
                          <wps:cNvPr id="5" name="Right Triangle 11601583"/>
                          <wps:cNvSpPr/>
                          <wps:spPr>
                            <a:xfrm flipH="1" rot="16200000">
                              <a:off x="3259080" y="-2405880"/>
                              <a:ext cx="379080" cy="6818760"/>
                            </a:xfrm>
                            <a:prstGeom prst="rtTriangle">
                              <a:avLst/>
                            </a:prstGeom>
                            <a:solidFill>
                              <a:srgbClr val="58b3df"/>
                            </a:solidFill>
                            <a:ln w="0">
                              <a:noFill/>
                            </a:ln>
                          </wps:spPr>
                          <wps:style>
                            <a:lnRef idx="0"/>
                            <a:fillRef idx="0"/>
                            <a:effectRef idx="0"/>
                            <a:fontRef idx="minor"/>
                          </wps:style>
                          <wps:txbx>
                            <w:txbxContent>
                              <w:p>
                                <w:pPr>
                                  <w:pStyle w:val="Normal"/>
                                  <w:spacing w:lineRule="auto" w:line="240"/>
                                  <w:jc w:val="left"/>
                                  <w:rPr/>
                                </w:pPr>
                                <w:r>
                                  <w:rPr/>
                                </w:r>
                              </w:p>
                            </w:txbxContent>
                          </wps:txbx>
                          <wps:bodyPr tIns="91440" bIns="91440" anchor="ctr">
                            <a:noAutofit/>
                          </wps:bodyPr>
                        </wps:wsp>
                        <wps:wsp>
                          <wps:cNvPr id="6" name="Right Triangle 715870396"/>
                          <wps:cNvSpPr/>
                          <wps:spPr>
                            <a:xfrm rot="10800000">
                              <a:off x="2825640" y="0"/>
                              <a:ext cx="1206360" cy="1976040"/>
                            </a:xfrm>
                            <a:prstGeom prst="rtTriangle">
                              <a:avLst/>
                            </a:prstGeom>
                            <a:solidFill>
                              <a:srgbClr val="11b2a4">
                                <a:alpha val="90000"/>
                              </a:srgbClr>
                            </a:solidFill>
                            <a:ln w="0">
                              <a:noFill/>
                            </a:ln>
                          </wps:spPr>
                          <wps:style>
                            <a:lnRef idx="0"/>
                            <a:fillRef idx="0"/>
                            <a:effectRef idx="0"/>
                            <a:fontRef idx="minor"/>
                          </wps:style>
                          <wps:txbx>
                            <w:txbxContent>
                              <w:p>
                                <w:pPr>
                                  <w:pStyle w:val="Normal"/>
                                  <w:spacing w:lineRule="auto" w:line="240"/>
                                  <w:jc w:val="left"/>
                                  <w:rPr/>
                                </w:pPr>
                                <w:r>
                                  <w:rPr/>
                                </w:r>
                              </w:p>
                            </w:txbxContent>
                          </wps:txbx>
                          <wps:bodyPr tIns="91440" bIns="91440" anchor="ctr">
                            <a:noAutofit/>
                          </wps:bodyPr>
                        </wps:wsp>
                      </wpg:grpSp>
                    </wpg:wgp>
                  </a:graphicData>
                </a:graphic>
              </wp:anchor>
            </w:drawing>
          </mc:Choice>
          <mc:Fallback>
            <w:pict>
              <v:group id="shape_0" alt="Group 2092796816" style="position:absolute;margin-left:166.8pt;margin-top:-429.95pt;width:140.4pt;height:551.35pt" coordorigin="3336,-8599" coordsize="2808,11027">
                <v:group id="shape_0" style="position:absolute;left:3336;top:-8599;width:2808;height:11027">
                  <v:rect id="shape_0" ID="Rectangle 752275013" path="m0,0l-2147483645,0l-2147483645,-2147483646l0,-2147483646xe" stroked="f" o:allowincell="f" style="position:absolute;left:4269;top:-8456;width:940;height:10799;mso-wrap-style:none;v-text-anchor:middle;rotation:270">
                    <v:fill o:detectmouseclick="t" on="false"/>
                    <v:stroke color="#3465a4" joinstyle="round" endcap="flat"/>
                    <v:textbox>
                      <w:txbxContent>
                        <w:p>
                          <w:pPr>
                            <w:pStyle w:val="Normal"/>
                            <w:spacing w:lineRule="auto" w:line="240"/>
                            <w:jc w:val="left"/>
                            <w:rPr/>
                          </w:pPr>
                          <w:r>
                            <w:rPr/>
                          </w:r>
                        </w:p>
                      </w:txbxContent>
                    </v:textbox>
                    <w10:wrap type="none"/>
                  </v:rect>
                  <v:shapetype id="_x0000_t6" coordsize="21600,21600" o:spt="6" path="m,21600l,l21600,21600xe">
                    <v:stroke joinstyle="miter"/>
                    <v:formulas>
                      <v:f eqn="prod height 7 12"/>
                      <v:f eqn="prod width 7 12"/>
                      <v:f eqn="prod height 11 12"/>
                    </v:formulas>
                    <v:path gradientshapeok="t" o:connecttype="rect" textboxrect="1800,@0,@1,@2"/>
                  </v:shapetype>
                  <v:shape id="shape_0" ID="Right Triangle 1629915066" path="l0,0l-2147483639,-2147483641xe" fillcolor="#d33851" stroked="f" o:allowincell="f" style="position:absolute;left:4356;top:-8371;width:767;height:10799;flip:x;mso-wrap-style:none;v-text-anchor:middle;rotation:90" type="_x0000_t6">
                    <v:fill o:detectmouseclick="t" type="solid" color2="#2cc7ae" opacity="0.89"/>
                    <v:stroke color="#3465a4" joinstyle="round" endcap="flat"/>
                    <v:textbox>
                      <w:txbxContent>
                        <w:p>
                          <w:pPr>
                            <w:pStyle w:val="Normal"/>
                            <w:spacing w:lineRule="auto" w:line="240"/>
                            <w:jc w:val="left"/>
                            <w:rPr/>
                          </w:pPr>
                          <w:r>
                            <w:rPr/>
                          </w:r>
                        </w:p>
                      </w:txbxContent>
                    </v:textbox>
                    <w10:wrap type="none"/>
                  </v:shape>
                  <v:shape id="shape_0" ID="Right Triangle 896715053" path="l0,0l-2147483639,-2147483641xe" fillcolor="#fda348" stroked="f" o:allowincell="f" style="position:absolute;left:3336;top:-4655;width:2807;height:3111;mso-wrap-style:none;v-text-anchor:middle;rotation:180" type="_x0000_t6">
                    <v:fill o:detectmouseclick="t" type="solid" color2="#025cb7" opacity="0.89"/>
                    <v:stroke color="#3465a4" joinstyle="round" endcap="flat"/>
                    <v:textbox>
                      <w:txbxContent>
                        <w:p>
                          <w:pPr>
                            <w:pStyle w:val="Normal"/>
                            <w:spacing w:lineRule="auto" w:line="240"/>
                            <w:jc w:val="left"/>
                            <w:rPr/>
                          </w:pPr>
                          <w:r>
                            <w:rPr/>
                          </w:r>
                        </w:p>
                      </w:txbxContent>
                    </v:textbox>
                    <w10:wrap type="none"/>
                  </v:shape>
                  <v:shape id="shape_0" ID="Right Triangle 11601583" path="l0,0l-2147483639,-2147483641xe" fillcolor="#58b3df" stroked="f" o:allowincell="f" style="position:absolute;left:4472;top:-8598;width:596;height:10737;flip:x;mso-wrap-style:none;v-text-anchor:middle;rotation:90" type="_x0000_t6">
                    <v:fill o:detectmouseclick="t" type="solid" color2="#a74c20"/>
                    <v:stroke color="#3465a4" joinstyle="round" endcap="flat"/>
                    <v:textbox>
                      <w:txbxContent>
                        <w:p>
                          <w:pPr>
                            <w:pStyle w:val="Normal"/>
                            <w:spacing w:lineRule="auto" w:line="240"/>
                            <w:jc w:val="left"/>
                            <w:rPr/>
                          </w:pPr>
                          <w:r>
                            <w:rPr/>
                          </w:r>
                        </w:p>
                      </w:txbxContent>
                    </v:textbox>
                    <w10:wrap type="none"/>
                  </v:shape>
                  <v:shape id="shape_0" ID="Right Triangle 715870396" path="l0,0l-2147483639,-2147483641xe" fillcolor="#11b2a4" stroked="f" o:allowincell="f" style="position:absolute;left:3790;top:-4810;width:1899;height:3111;mso-wrap-style:none;v-text-anchor:middle;rotation:180" type="_x0000_t6">
                    <v:fill o:detectmouseclick="t" type="solid" color2="#ee4d5b" opacity="0.89"/>
                    <v:stroke color="#3465a4" joinstyle="round" endcap="flat"/>
                    <v:textbox>
                      <w:txbxContent>
                        <w:p>
                          <w:pPr>
                            <w:pStyle w:val="Normal"/>
                            <w:spacing w:lineRule="auto" w:line="240"/>
                            <w:jc w:val="left"/>
                            <w:rPr/>
                          </w:pPr>
                          <w:r>
                            <w:rPr/>
                          </w:r>
                        </w:p>
                      </w:txbxContent>
                    </v:textbox>
                    <w10:wrap type="none"/>
                  </v:shape>
                </v:group>
              </v:group>
            </w:pict>
          </mc:Fallback>
        </mc:AlternateContent>
      </w:r>
    </w:p>
    <w:p>
      <w:pPr>
        <w:pStyle w:val="Normal"/>
        <w:spacing w:lineRule="auto" w:line="240"/>
        <w:rPr>
          <w:b/>
          <w:sz w:val="32"/>
          <w:szCs w:val="32"/>
        </w:rPr>
      </w:pPr>
      <w:r>
        <w:rPr>
          <w:b/>
          <w:sz w:val="32"/>
          <w:szCs w:val="32"/>
        </w:rPr>
        <mc:AlternateContent>
          <mc:Choice Requires="wps">
            <w:drawing>
              <wp:anchor behindDoc="0" distT="0" distB="0" distL="113665" distR="113665" simplePos="0" locked="0" layoutInCell="0" allowOverlap="1" relativeHeight="16" wp14:anchorId="09859F41">
                <wp:simplePos x="0" y="0"/>
                <wp:positionH relativeFrom="page">
                  <wp:posOffset>183515</wp:posOffset>
                </wp:positionH>
                <wp:positionV relativeFrom="page">
                  <wp:posOffset>5062220</wp:posOffset>
                </wp:positionV>
                <wp:extent cx="7324725" cy="662940"/>
                <wp:effectExtent l="0" t="0" r="0" b="0"/>
                <wp:wrapSquare wrapText="bothSides"/>
                <wp:docPr id="7" name="Rectangle 2092796817"/>
                <a:graphic xmlns:a="http://schemas.openxmlformats.org/drawingml/2006/main">
                  <a:graphicData uri="http://schemas.microsoft.com/office/word/2010/wordprocessingShape">
                    <wps:wsp>
                      <wps:cNvSpPr/>
                      <wps:spPr>
                        <a:xfrm>
                          <a:off x="0" y="0"/>
                          <a:ext cx="7324560" cy="663120"/>
                        </a:xfrm>
                        <a:prstGeom prst="rect">
                          <a:avLst/>
                        </a:prstGeom>
                        <a:noFill/>
                        <a:ln w="0">
                          <a:noFill/>
                        </a:ln>
                      </wps:spPr>
                      <wps:style>
                        <a:lnRef idx="0"/>
                        <a:fillRef idx="0"/>
                        <a:effectRef idx="0"/>
                        <a:fontRef idx="minor"/>
                      </wps:style>
                      <wps:txbx>
                        <w:txbxContent>
                          <w:p>
                            <w:pPr>
                              <w:pStyle w:val="FrameContents"/>
                              <w:spacing w:lineRule="auto" w:line="240"/>
                              <w:ind w:left="-1440"/>
                              <w:jc w:val="center"/>
                              <w:rPr/>
                            </w:pPr>
                            <w:r>
                              <w:rPr>
                                <w:rFonts w:eastAsia="Arial" w:cs="Arial"/>
                                <w:color w:val="000000"/>
                                <w:sz w:val="26"/>
                              </w:rPr>
                              <w:t>This project has received funding from the European Union's Horizon Europe research and innovation programme's HORIZON-INFRA-2023-TECH-01 call under Grant Agreement No. 101131516</w:t>
                            </w:r>
                          </w:p>
                        </w:txbxContent>
                      </wps:txbx>
                      <wps:bodyPr lIns="1600200" rIns="685800" tIns="0" bIns="0" anchor="t">
                        <a:noAutofit/>
                      </wps:bodyPr>
                    </wps:wsp>
                  </a:graphicData>
                </a:graphic>
              </wp:anchor>
            </w:drawing>
          </mc:Choice>
          <mc:Fallback>
            <w:pict>
              <v:rect id="shape_0" ID="Rectangle 2092796817" path="m0,0l-2147483645,0l-2147483645,-2147483646l0,-2147483646xe" stroked="f" o:allowincell="f" style="position:absolute;margin-left:14.45pt;margin-top:398.6pt;width:576.7pt;height:52.15pt;mso-wrap-style:square;v-text-anchor:top;mso-position-horizontal-relative:page;mso-position-vertical-relative:page" wp14:anchorId="09859F41">
                <v:fill o:detectmouseclick="t" on="false"/>
                <v:stroke color="#3465a4" joinstyle="round" endcap="flat"/>
                <v:textbox>
                  <w:txbxContent>
                    <w:p>
                      <w:pPr>
                        <w:pStyle w:val="FrameContents"/>
                        <w:spacing w:lineRule="auto" w:line="240"/>
                        <w:ind w:left="-1440"/>
                        <w:jc w:val="center"/>
                        <w:rPr/>
                      </w:pPr>
                      <w:r>
                        <w:rPr>
                          <w:rFonts w:eastAsia="Arial" w:cs="Arial"/>
                          <w:color w:val="000000"/>
                          <w:sz w:val="26"/>
                        </w:rPr>
                        <w:t>This project has received funding from the European Union's Horizon Europe research and innovation programme's HORIZON-INFRA-2023-TECH-01 call under Grant Agreement No. 101131516</w:t>
                      </w:r>
                    </w:p>
                  </w:txbxContent>
                </v:textbox>
                <w10:wrap type="square"/>
              </v:rect>
            </w:pict>
          </mc:Fallback>
        </mc:AlternateContent>
        <mc:AlternateContent>
          <mc:Choice Requires="wps">
            <w:drawing>
              <wp:anchor behindDoc="0" distT="0" distB="0" distL="113665" distR="114300" simplePos="0" locked="0" layoutInCell="0" allowOverlap="1" relativeHeight="18" wp14:anchorId="07BD4E5E">
                <wp:simplePos x="0" y="0"/>
                <wp:positionH relativeFrom="page">
                  <wp:posOffset>241300</wp:posOffset>
                </wp:positionH>
                <wp:positionV relativeFrom="page">
                  <wp:posOffset>6762750</wp:posOffset>
                </wp:positionV>
                <wp:extent cx="7324725" cy="1194435"/>
                <wp:effectExtent l="0" t="0" r="0" b="0"/>
                <wp:wrapSquare wrapText="bothSides"/>
                <wp:docPr id="8" name="Rectangle 2092796814"/>
                <a:graphic xmlns:a="http://schemas.openxmlformats.org/drawingml/2006/main">
                  <a:graphicData uri="http://schemas.microsoft.com/office/word/2010/wordprocessingShape">
                    <wps:wsp>
                      <wps:cNvSpPr/>
                      <wps:spPr>
                        <a:xfrm>
                          <a:off x="0" y="0"/>
                          <a:ext cx="7324560" cy="1194480"/>
                        </a:xfrm>
                        <a:prstGeom prst="rect">
                          <a:avLst/>
                        </a:prstGeom>
                        <a:noFill/>
                        <a:ln w="0">
                          <a:noFill/>
                        </a:ln>
                      </wps:spPr>
                      <wps:style>
                        <a:lnRef idx="0"/>
                        <a:fillRef idx="0"/>
                        <a:effectRef idx="0"/>
                        <a:fontRef idx="minor"/>
                      </wps:style>
                      <wps:txbx>
                        <w:txbxContent>
                          <w:p>
                            <w:pPr>
                              <w:pStyle w:val="FrameContents"/>
                              <w:spacing w:lineRule="auto" w:line="240"/>
                              <w:ind w:left="-1440"/>
                              <w:jc w:val="center"/>
                              <w:rPr/>
                            </w:pPr>
                            <w:r>
                              <w:rPr>
                                <w:rFonts w:eastAsia="Arial" w:cs="Arial"/>
                                <w:color w:val="2098D3"/>
                                <w:sz w:val="72"/>
                              </w:rPr>
                              <w:t>Milestone</w:t>
                            </w:r>
                          </w:p>
                          <w:p>
                            <w:pPr>
                              <w:pStyle w:val="FrameContents"/>
                              <w:spacing w:lineRule="auto" w:line="240"/>
                              <w:ind w:left="-1440"/>
                              <w:jc w:val="center"/>
                              <w:rPr/>
                            </w:pPr>
                            <w:r>
                              <w:rPr>
                                <w:rFonts w:eastAsia="Arial" w:cs="Arial"/>
                                <w:color w:val="2098D3"/>
                                <w:sz w:val="44"/>
                              </w:rPr>
                              <w:t>M5 Production of waste water at 50°C by high field magnets</w:t>
                            </w:r>
                          </w:p>
                          <w:p>
                            <w:pPr>
                              <w:pStyle w:val="FrameContents"/>
                              <w:spacing w:lineRule="auto" w:line="240"/>
                              <w:ind w:left="-1440"/>
                              <w:jc w:val="center"/>
                              <w:rPr/>
                            </w:pPr>
                            <w:r>
                              <w:rPr/>
                            </w:r>
                          </w:p>
                          <w:p>
                            <w:pPr>
                              <w:pStyle w:val="FrameContents"/>
                              <w:spacing w:lineRule="auto" w:line="240"/>
                              <w:jc w:val="center"/>
                              <w:rPr/>
                            </w:pPr>
                            <w:r>
                              <w:rPr/>
                            </w:r>
                          </w:p>
                        </w:txbxContent>
                      </wps:txbx>
                      <wps:bodyPr lIns="1600200" rIns="685800" tIns="0" bIns="0" anchor="t">
                        <a:noAutofit/>
                      </wps:bodyPr>
                    </wps:wsp>
                  </a:graphicData>
                </a:graphic>
              </wp:anchor>
            </w:drawing>
          </mc:Choice>
          <mc:Fallback>
            <w:pict>
              <v:rect id="shape_0" ID="Rectangle 2092796814" path="m0,0l-2147483645,0l-2147483645,-2147483646l0,-2147483646xe" stroked="f" o:allowincell="f" style="position:absolute;margin-left:19pt;margin-top:532.5pt;width:576.7pt;height:94pt;mso-wrap-style:square;v-text-anchor:top;mso-position-horizontal-relative:page;mso-position-vertical-relative:page" wp14:anchorId="07BD4E5E">
                <v:fill o:detectmouseclick="t" on="false"/>
                <v:stroke color="#3465a4" joinstyle="round" endcap="flat"/>
                <v:textbox>
                  <w:txbxContent>
                    <w:p>
                      <w:pPr>
                        <w:pStyle w:val="FrameContents"/>
                        <w:spacing w:lineRule="auto" w:line="240"/>
                        <w:ind w:left="-1440"/>
                        <w:jc w:val="center"/>
                        <w:rPr/>
                      </w:pPr>
                      <w:r>
                        <w:rPr>
                          <w:rFonts w:eastAsia="Arial" w:cs="Arial"/>
                          <w:color w:val="2098D3"/>
                          <w:sz w:val="72"/>
                        </w:rPr>
                        <w:t>Milestone</w:t>
                      </w:r>
                    </w:p>
                    <w:p>
                      <w:pPr>
                        <w:pStyle w:val="FrameContents"/>
                        <w:spacing w:lineRule="auto" w:line="240"/>
                        <w:ind w:left="-1440"/>
                        <w:jc w:val="center"/>
                        <w:rPr/>
                      </w:pPr>
                      <w:r>
                        <w:rPr>
                          <w:rFonts w:eastAsia="Arial" w:cs="Arial"/>
                          <w:color w:val="2098D3"/>
                          <w:sz w:val="44"/>
                        </w:rPr>
                        <w:t>M5 Production of waste water at 50°C by high field magnets</w:t>
                      </w:r>
                    </w:p>
                    <w:p>
                      <w:pPr>
                        <w:pStyle w:val="FrameContents"/>
                        <w:spacing w:lineRule="auto" w:line="240"/>
                        <w:ind w:left="-1440"/>
                        <w:jc w:val="center"/>
                        <w:rPr/>
                      </w:pPr>
                      <w:r>
                        <w:rPr/>
                      </w:r>
                    </w:p>
                    <w:p>
                      <w:pPr>
                        <w:pStyle w:val="FrameContents"/>
                        <w:spacing w:lineRule="auto" w:line="240"/>
                        <w:jc w:val="center"/>
                        <w:rPr/>
                      </w:pPr>
                      <w:r>
                        <w:rPr/>
                      </w:r>
                    </w:p>
                  </w:txbxContent>
                </v:textbox>
                <w10:wrap type="square"/>
              </v:rect>
            </w:pict>
          </mc:Fallback>
        </mc:AlternateContent>
      </w:r>
      <w:r>
        <w:br w:type="page"/>
      </w:r>
    </w:p>
    <w:p>
      <w:pPr>
        <w:pStyle w:val="Normal"/>
        <w:rPr/>
      </w:pPr>
      <w:r>
        <w:rPr/>
        <mc:AlternateContent>
          <mc:Choice Requires="wps">
            <w:drawing>
              <wp:anchor behindDoc="0" distT="0" distB="0" distL="0" distR="0" simplePos="0" locked="0" layoutInCell="1" allowOverlap="1" relativeHeight="20" wp14:anchorId="7760DE1C">
                <wp:simplePos x="0" y="0"/>
                <wp:positionH relativeFrom="column">
                  <wp:posOffset>1094105</wp:posOffset>
                </wp:positionH>
                <wp:positionV relativeFrom="paragraph">
                  <wp:posOffset>1433830</wp:posOffset>
                </wp:positionV>
                <wp:extent cx="3825875" cy="1119505"/>
                <wp:effectExtent l="0" t="0" r="0" b="0"/>
                <wp:wrapNone/>
                <wp:docPr id="9" name="Text Box 2092796813"/>
                <a:graphic xmlns:a="http://schemas.openxmlformats.org/drawingml/2006/main">
                  <a:graphicData uri="http://schemas.microsoft.com/office/word/2010/wordprocessingShape">
                    <wps:wsp>
                      <wps:cNvSpPr/>
                      <wps:spPr>
                        <a:xfrm>
                          <a:off x="0" y="0"/>
                          <a:ext cx="3825720" cy="1119600"/>
                        </a:xfrm>
                        <a:prstGeom prst="rect">
                          <a:avLst/>
                        </a:prstGeom>
                        <a:solidFill>
                          <a:schemeClr val="lt1"/>
                        </a:solidFill>
                        <a:ln w="6350">
                          <a:noFill/>
                        </a:ln>
                      </wps:spPr>
                      <wps:style>
                        <a:lnRef idx="0"/>
                        <a:fillRef idx="0"/>
                        <a:effectRef idx="0"/>
                        <a:fontRef idx="minor"/>
                      </wps:style>
                      <wps:txbx>
                        <w:txbxContent>
                          <w:p>
                            <w:pPr>
                              <w:pStyle w:val="FrameContents"/>
                              <w:ind w:left="-1440" w:right="-1484"/>
                              <w:jc w:val="center"/>
                              <w:rPr/>
                            </w:pPr>
                            <w:r>
                              <w:rPr/>
                              <w:drawing>
                                <wp:inline distT="0" distB="0" distL="0" distR="0">
                                  <wp:extent cx="3664585" cy="1073150"/>
                                  <wp:effectExtent l="0" t="0" r="0" b="0"/>
                                  <wp:docPr id="10"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
                                          <pic:cNvPicPr>
                                            <a:picLocks noChangeAspect="1" noChangeArrowheads="1"/>
                                          </pic:cNvPicPr>
                                        </pic:nvPicPr>
                                        <pic:blipFill>
                                          <a:blip r:embed="rId2"/>
                                          <a:srcRect l="0" t="0" r="5921" b="53604"/>
                                          <a:stretch>
                                            <a:fillRect/>
                                          </a:stretch>
                                        </pic:blipFill>
                                        <pic:spPr bwMode="auto">
                                          <a:xfrm>
                                            <a:off x="0" y="0"/>
                                            <a:ext cx="3664585" cy="1073150"/>
                                          </a:xfrm>
                                          <a:prstGeom prst="rect">
                                            <a:avLst/>
                                          </a:prstGeom>
                                        </pic:spPr>
                                      </pic:pic>
                                    </a:graphicData>
                                  </a:graphic>
                                </wp:inline>
                              </w:drawing>
                            </w:r>
                          </w:p>
                        </w:txbxContent>
                      </wps:txbx>
                      <wps:bodyPr anchor="t">
                        <a:prstTxWarp prst="textNoShape"/>
                        <a:noAutofit/>
                      </wps:bodyPr>
                    </wps:wsp>
                  </a:graphicData>
                </a:graphic>
              </wp:anchor>
            </w:drawing>
          </mc:Choice>
          <mc:Fallback>
            <w:pict>
              <v:rect id="shape_0" ID="Text Box 2092796813" path="m0,0l-2147483645,0l-2147483645,-2147483646l0,-2147483646xe" fillcolor="white" stroked="f" o:allowincell="f" style="position:absolute;margin-left:86.15pt;margin-top:112.9pt;width:301.2pt;height:88.1pt;mso-wrap-style:none;v-text-anchor:middle" wp14:anchorId="7760DE1C">
                <v:fill o:detectmouseclick="t" type="solid" color2="black"/>
                <v:stroke color="#3465a4" weight="6480" joinstyle="round" endcap="flat"/>
                <v:textbox>
                  <w:txbxContent>
                    <w:p>
                      <w:pPr>
                        <w:pStyle w:val="FrameContents"/>
                        <w:ind w:left="-1440" w:right="-1484"/>
                        <w:jc w:val="center"/>
                        <w:rPr/>
                      </w:pPr>
                      <w:r>
                        <w:rPr/>
                        <w:drawing>
                          <wp:inline distT="0" distB="0" distL="0" distR="0">
                            <wp:extent cx="3664585" cy="1073150"/>
                            <wp:effectExtent l="0" t="0" r="0" b="0"/>
                            <wp:docPr id="11"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
                                    <pic:cNvPicPr>
                                      <a:picLocks noChangeAspect="1" noChangeArrowheads="1"/>
                                    </pic:cNvPicPr>
                                  </pic:nvPicPr>
                                  <pic:blipFill>
                                    <a:blip r:embed="rId3"/>
                                    <a:srcRect l="0" t="0" r="5921" b="53604"/>
                                    <a:stretch>
                                      <a:fillRect/>
                                    </a:stretch>
                                  </pic:blipFill>
                                  <pic:spPr bwMode="auto">
                                    <a:xfrm>
                                      <a:off x="0" y="0"/>
                                      <a:ext cx="3664585" cy="1073150"/>
                                    </a:xfrm>
                                    <a:prstGeom prst="rect">
                                      <a:avLst/>
                                    </a:prstGeom>
                                  </pic:spPr>
                                </pic:pic>
                              </a:graphicData>
                            </a:graphic>
                          </wp:inline>
                        </w:drawing>
                      </w:r>
                    </w:p>
                  </w:txbxContent>
                </v:textbox>
                <w10:wrap type="none"/>
              </v:rect>
            </w:pict>
          </mc:Fallback>
        </mc:AlternateContent>
      </w:r>
    </w:p>
    <w:p>
      <w:pPr>
        <w:pStyle w:val="Heading1"/>
        <w:numPr>
          <w:ilvl w:val="0"/>
          <w:numId w:val="0"/>
        </w:numPr>
        <w:ind w:hanging="0" w:left="0"/>
        <w:rPr/>
      </w:pPr>
      <w:bookmarkStart w:id="0" w:name="_Toc202968077"/>
      <w:r>
        <w:rPr/>
        <w:t>Project Milestone Information Sheet</w:t>
      </w:r>
      <w:bookmarkEnd w:id="0"/>
      <w:r>
        <w:rPr/>
        <w:tab/>
      </w:r>
    </w:p>
    <w:tbl>
      <w:tblPr>
        <w:tblStyle w:val="a"/>
        <w:tblW w:w="9280"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93"/>
        <w:gridCol w:w="6186"/>
      </w:tblGrid>
      <w:tr>
        <w:trPr>
          <w:trHeight w:val="115" w:hRule="atLeast"/>
        </w:trPr>
        <w:tc>
          <w:tcPr>
            <w:tcW w:w="3093" w:type="dxa"/>
            <w:vMerge w:val="restart"/>
            <w:tcBorders>
              <w:top w:val="single" w:sz="4" w:space="0" w:color="999999"/>
              <w:left w:val="single" w:sz="4" w:space="0" w:color="999999"/>
              <w:bottom w:val="single" w:sz="4" w:space="0" w:color="999999"/>
              <w:right w:val="single" w:sz="4" w:space="0" w:color="999999"/>
            </w:tcBorders>
          </w:tcPr>
          <w:p>
            <w:pPr>
              <w:pStyle w:val="Normal"/>
              <w:rPr>
                <w:sz w:val="24"/>
              </w:rPr>
            </w:pPr>
            <w:r>
              <w:rPr>
                <w:sz w:val="24"/>
              </w:rPr>
              <w:t>FlexRICAN Project</w:t>
            </w:r>
          </w:p>
        </w:tc>
        <w:tc>
          <w:tcPr>
            <w:tcW w:w="6186" w:type="dxa"/>
            <w:tcBorders>
              <w:top w:val="single" w:sz="4" w:space="0" w:color="999999"/>
              <w:left w:val="single" w:sz="4" w:space="0" w:color="999999"/>
              <w:bottom w:val="single" w:sz="4" w:space="0" w:color="999999"/>
              <w:right w:val="single" w:sz="4" w:space="0" w:color="999999"/>
            </w:tcBorders>
          </w:tcPr>
          <w:p>
            <w:pPr>
              <w:pStyle w:val="Normal"/>
              <w:rPr>
                <w:sz w:val="24"/>
              </w:rPr>
            </w:pPr>
            <w:r>
              <w:rPr>
                <w:sz w:val="24"/>
              </w:rPr>
              <w:t xml:space="preserve">Project Ref. No. </w:t>
            </w:r>
            <w:r>
              <w:rPr>
                <w:b/>
                <w:sz w:val="24"/>
              </w:rPr>
              <w:t>101131516</w:t>
            </w:r>
          </w:p>
        </w:tc>
      </w:tr>
      <w:tr>
        <w:trPr/>
        <w:tc>
          <w:tcPr>
            <w:tcW w:w="3093" w:type="dxa"/>
            <w:vMerge w:val="continue"/>
            <w:tcBorders>
              <w:top w:val="single" w:sz="4" w:space="0" w:color="999999"/>
              <w:left w:val="single" w:sz="4" w:space="0" w:color="999999"/>
              <w:bottom w:val="single" w:sz="4" w:space="0" w:color="999999"/>
              <w:right w:val="single" w:sz="4" w:space="0" w:color="999999"/>
            </w:tcBorders>
          </w:tcPr>
          <w:p>
            <w:pPr>
              <w:pStyle w:val="Normal"/>
              <w:widowControl w:val="false"/>
              <w:pBdr/>
              <w:spacing w:lineRule="auto" w:line="276"/>
              <w:jc w:val="left"/>
              <w:rPr>
                <w:sz w:val="24"/>
              </w:rPr>
            </w:pPr>
            <w:r>
              <w:rPr>
                <w:sz w:val="24"/>
              </w:rPr>
            </w:r>
          </w:p>
        </w:tc>
        <w:tc>
          <w:tcPr>
            <w:tcW w:w="6186" w:type="dxa"/>
            <w:tcBorders>
              <w:top w:val="single" w:sz="4" w:space="0" w:color="999999"/>
              <w:left w:val="single" w:sz="4" w:space="0" w:color="999999"/>
              <w:bottom w:val="single" w:sz="4" w:space="0" w:color="999999"/>
              <w:right w:val="single" w:sz="4" w:space="0" w:color="999999"/>
            </w:tcBorders>
          </w:tcPr>
          <w:p>
            <w:pPr>
              <w:pStyle w:val="Normal"/>
              <w:rPr>
                <w:sz w:val="24"/>
              </w:rPr>
            </w:pPr>
            <w:r>
              <w:rPr>
                <w:sz w:val="24"/>
              </w:rPr>
              <w:t xml:space="preserve">Project Title: </w:t>
            </w:r>
            <w:r>
              <w:rPr>
                <w:b/>
                <w:sz w:val="24"/>
              </w:rPr>
              <w:t>FlexRICAN – Flexibility in RIs for global CArbon Neutrality</w:t>
            </w:r>
          </w:p>
        </w:tc>
      </w:tr>
      <w:tr>
        <w:trPr/>
        <w:tc>
          <w:tcPr>
            <w:tcW w:w="3093" w:type="dxa"/>
            <w:vMerge w:val="continue"/>
            <w:tcBorders>
              <w:top w:val="single" w:sz="4" w:space="0" w:color="999999"/>
              <w:left w:val="single" w:sz="4" w:space="0" w:color="999999"/>
              <w:bottom w:val="single" w:sz="4" w:space="0" w:color="999999"/>
              <w:right w:val="single" w:sz="4" w:space="0" w:color="999999"/>
            </w:tcBorders>
          </w:tcPr>
          <w:p>
            <w:pPr>
              <w:pStyle w:val="Normal"/>
              <w:widowControl w:val="false"/>
              <w:pBdr/>
              <w:spacing w:lineRule="auto" w:line="276"/>
              <w:jc w:val="left"/>
              <w:rPr>
                <w:sz w:val="24"/>
              </w:rPr>
            </w:pPr>
            <w:r>
              <w:rPr>
                <w:sz w:val="24"/>
              </w:rPr>
            </w:r>
          </w:p>
        </w:tc>
        <w:tc>
          <w:tcPr>
            <w:tcW w:w="6186" w:type="dxa"/>
            <w:tcBorders>
              <w:top w:val="single" w:sz="4" w:space="0" w:color="999999"/>
              <w:left w:val="single" w:sz="4" w:space="0" w:color="999999"/>
              <w:bottom w:val="single" w:sz="4" w:space="0" w:color="999999"/>
              <w:right w:val="single" w:sz="4" w:space="0" w:color="999999"/>
            </w:tcBorders>
          </w:tcPr>
          <w:p>
            <w:pPr>
              <w:pStyle w:val="Normal"/>
              <w:rPr>
                <w:sz w:val="24"/>
              </w:rPr>
            </w:pPr>
            <w:r>
              <w:rPr>
                <w:sz w:val="24"/>
              </w:rPr>
              <w:t xml:space="preserve">Project Website: </w:t>
            </w:r>
            <w:r>
              <w:rPr>
                <w:b/>
                <w:sz w:val="24"/>
              </w:rPr>
              <w:t>www.FlexRICAN.eu</w:t>
            </w:r>
          </w:p>
        </w:tc>
      </w:tr>
      <w:tr>
        <w:trPr/>
        <w:tc>
          <w:tcPr>
            <w:tcW w:w="3093" w:type="dxa"/>
            <w:vMerge w:val="continue"/>
            <w:tcBorders>
              <w:top w:val="single" w:sz="4" w:space="0" w:color="999999"/>
              <w:left w:val="single" w:sz="4" w:space="0" w:color="999999"/>
              <w:bottom w:val="single" w:sz="4" w:space="0" w:color="999999"/>
              <w:right w:val="single" w:sz="4" w:space="0" w:color="999999"/>
            </w:tcBorders>
          </w:tcPr>
          <w:p>
            <w:pPr>
              <w:pStyle w:val="Normal"/>
              <w:widowControl w:val="false"/>
              <w:pBdr/>
              <w:spacing w:lineRule="auto" w:line="276"/>
              <w:jc w:val="left"/>
              <w:rPr>
                <w:sz w:val="24"/>
              </w:rPr>
            </w:pPr>
            <w:r>
              <w:rPr>
                <w:sz w:val="24"/>
              </w:rPr>
            </w:r>
          </w:p>
        </w:tc>
        <w:tc>
          <w:tcPr>
            <w:tcW w:w="6186" w:type="dxa"/>
            <w:tcBorders>
              <w:top w:val="single" w:sz="4" w:space="0" w:color="999999"/>
              <w:left w:val="single" w:sz="4" w:space="0" w:color="999999"/>
              <w:bottom w:val="single" w:sz="4" w:space="0" w:color="999999"/>
              <w:right w:val="single" w:sz="4" w:space="0" w:color="999999"/>
            </w:tcBorders>
          </w:tcPr>
          <w:p>
            <w:pPr>
              <w:pStyle w:val="Normal"/>
              <w:rPr>
                <w:sz w:val="24"/>
              </w:rPr>
            </w:pPr>
            <w:r>
              <w:rPr>
                <w:sz w:val="24"/>
              </w:rPr>
              <w:t xml:space="preserve">Work Package: </w:t>
            </w:r>
            <w:r>
              <w:rPr>
                <w:b/>
                <w:sz w:val="24"/>
              </w:rPr>
              <w:t>WP 5</w:t>
            </w:r>
          </w:p>
        </w:tc>
      </w:tr>
      <w:tr>
        <w:trPr/>
        <w:tc>
          <w:tcPr>
            <w:tcW w:w="3093" w:type="dxa"/>
            <w:vMerge w:val="continue"/>
            <w:tcBorders>
              <w:top w:val="single" w:sz="4" w:space="0" w:color="999999"/>
              <w:left w:val="single" w:sz="4" w:space="0" w:color="999999"/>
              <w:bottom w:val="single" w:sz="4" w:space="0" w:color="999999"/>
              <w:right w:val="single" w:sz="4" w:space="0" w:color="999999"/>
            </w:tcBorders>
          </w:tcPr>
          <w:p>
            <w:pPr>
              <w:pStyle w:val="Normal"/>
              <w:widowControl w:val="false"/>
              <w:pBdr/>
              <w:spacing w:lineRule="auto" w:line="276"/>
              <w:jc w:val="left"/>
              <w:rPr>
                <w:sz w:val="24"/>
              </w:rPr>
            </w:pPr>
            <w:r>
              <w:rPr>
                <w:sz w:val="24"/>
              </w:rPr>
            </w:r>
          </w:p>
        </w:tc>
        <w:tc>
          <w:tcPr>
            <w:tcW w:w="6186" w:type="dxa"/>
            <w:tcBorders>
              <w:top w:val="single" w:sz="4" w:space="0" w:color="999999"/>
              <w:left w:val="single" w:sz="4" w:space="0" w:color="999999"/>
              <w:bottom w:val="single" w:sz="4" w:space="0" w:color="999999"/>
              <w:right w:val="single" w:sz="4" w:space="0" w:color="999999"/>
            </w:tcBorders>
          </w:tcPr>
          <w:p>
            <w:pPr>
              <w:pStyle w:val="Normal"/>
              <w:rPr>
                <w:sz w:val="24"/>
              </w:rPr>
            </w:pPr>
            <w:r>
              <w:rPr>
                <w:sz w:val="24"/>
              </w:rPr>
              <w:t>Milestone:</w:t>
            </w:r>
            <w:r>
              <w:rPr>
                <w:b/>
                <w:sz w:val="24"/>
              </w:rPr>
              <w:t xml:space="preserve"> M5 Production of waste water at 50°C by high field magnets</w:t>
            </w:r>
          </w:p>
        </w:tc>
      </w:tr>
    </w:tbl>
    <w:p>
      <w:pPr>
        <w:pStyle w:val="Normal"/>
        <w:pBdr/>
        <w:spacing w:lineRule="auto" w:line="240" w:before="120" w:after="80"/>
        <w:rPr>
          <w:rFonts w:eastAsia="Arial" w:cs="Arial"/>
          <w:color w:val="000000"/>
          <w:szCs w:val="22"/>
        </w:rPr>
      </w:pPr>
      <w:r>
        <w:rPr>
          <w:rFonts w:eastAsia="Arial" w:cs="Arial"/>
          <w:color w:val="000000"/>
          <w:szCs w:val="22"/>
        </w:rPr>
      </w:r>
    </w:p>
    <w:p>
      <w:pPr>
        <w:pStyle w:val="Heading1"/>
        <w:numPr>
          <w:ilvl w:val="0"/>
          <w:numId w:val="0"/>
        </w:numPr>
        <w:ind w:hanging="0" w:left="0"/>
        <w:rPr/>
      </w:pPr>
      <w:bookmarkStart w:id="1" w:name="_Toc202968078"/>
      <w:r>
        <w:rPr/>
        <w:t>Document Control Sheet</w:t>
      </w:r>
      <w:bookmarkEnd w:id="1"/>
    </w:p>
    <w:tbl>
      <w:tblPr>
        <w:tblStyle w:val="a0"/>
        <w:tblW w:w="9265"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7"/>
        <w:gridCol w:w="1788"/>
        <w:gridCol w:w="4450"/>
      </w:tblGrid>
      <w:tr>
        <w:trPr>
          <w:trHeight w:val="233" w:hRule="atLeast"/>
        </w:trPr>
        <w:tc>
          <w:tcPr>
            <w:tcW w:w="3027" w:type="dxa"/>
            <w:vMerge w:val="restart"/>
            <w:tcBorders>
              <w:top w:val="single" w:sz="4" w:space="0" w:color="999999"/>
              <w:left w:val="single" w:sz="4" w:space="0" w:color="999999"/>
              <w:bottom w:val="single" w:sz="4" w:space="0" w:color="999999"/>
              <w:right w:val="single" w:sz="4" w:space="0" w:color="999999"/>
            </w:tcBorders>
          </w:tcPr>
          <w:p>
            <w:pPr>
              <w:pStyle w:val="Normal"/>
              <w:rPr>
                <w:sz w:val="24"/>
              </w:rPr>
            </w:pPr>
            <w:r>
              <w:rPr>
                <w:sz w:val="24"/>
              </w:rPr>
              <w:t>Document</w:t>
            </w:r>
          </w:p>
        </w:tc>
        <w:tc>
          <w:tcPr>
            <w:tcW w:w="6238" w:type="dxa"/>
            <w:gridSpan w:val="2"/>
            <w:tcBorders>
              <w:top w:val="single" w:sz="4" w:space="0" w:color="999999"/>
              <w:left w:val="single" w:sz="4" w:space="0" w:color="999999"/>
              <w:bottom w:val="single" w:sz="4" w:space="0" w:color="999999"/>
              <w:right w:val="single" w:sz="4" w:space="0" w:color="999999"/>
            </w:tcBorders>
          </w:tcPr>
          <w:p>
            <w:pPr>
              <w:pStyle w:val="Normal"/>
              <w:rPr>
                <w:sz w:val="24"/>
              </w:rPr>
            </w:pPr>
            <w:r>
              <w:rPr>
                <w:sz w:val="24"/>
              </w:rPr>
              <w:t xml:space="preserve">Title: </w:t>
            </w:r>
            <w:r>
              <w:rPr>
                <w:b/>
                <w:sz w:val="24"/>
              </w:rPr>
              <w:t>M5 Production of waste water at 50°C by high field magnets</w:t>
            </w:r>
          </w:p>
        </w:tc>
      </w:tr>
      <w:tr>
        <w:trPr/>
        <w:tc>
          <w:tcPr>
            <w:tcW w:w="3027" w:type="dxa"/>
            <w:vMerge w:val="continue"/>
            <w:tcBorders>
              <w:top w:val="single" w:sz="4" w:space="0" w:color="999999"/>
              <w:left w:val="single" w:sz="4" w:space="0" w:color="999999"/>
              <w:bottom w:val="single" w:sz="4" w:space="0" w:color="999999"/>
              <w:right w:val="single" w:sz="4" w:space="0" w:color="999999"/>
            </w:tcBorders>
          </w:tcPr>
          <w:p>
            <w:pPr>
              <w:pStyle w:val="Normal"/>
              <w:widowControl w:val="false"/>
              <w:pBdr/>
              <w:spacing w:lineRule="auto" w:line="276"/>
              <w:jc w:val="left"/>
              <w:rPr>
                <w:sz w:val="24"/>
              </w:rPr>
            </w:pPr>
            <w:r>
              <w:rPr>
                <w:sz w:val="24"/>
              </w:rPr>
            </w:r>
          </w:p>
        </w:tc>
        <w:tc>
          <w:tcPr>
            <w:tcW w:w="6238" w:type="dxa"/>
            <w:gridSpan w:val="2"/>
            <w:tcBorders>
              <w:top w:val="single" w:sz="4" w:space="0" w:color="999999"/>
              <w:left w:val="single" w:sz="4" w:space="0" w:color="999999"/>
              <w:bottom w:val="single" w:sz="4" w:space="0" w:color="999999"/>
              <w:right w:val="single" w:sz="4" w:space="0" w:color="999999"/>
            </w:tcBorders>
          </w:tcPr>
          <w:p>
            <w:pPr>
              <w:pStyle w:val="Normal"/>
              <w:rPr>
                <w:sz w:val="24"/>
              </w:rPr>
            </w:pPr>
            <w:r>
              <w:rPr>
                <w:sz w:val="24"/>
              </w:rPr>
              <w:t xml:space="preserve">Version: </w:t>
            </w:r>
            <w:r>
              <w:rPr>
                <w:b/>
                <w:sz w:val="24"/>
              </w:rPr>
              <w:t>v.20250714</w:t>
            </w:r>
            <w:bookmarkStart w:id="2" w:name="_GoBack"/>
            <w:bookmarkEnd w:id="2"/>
          </w:p>
        </w:tc>
      </w:tr>
      <w:tr>
        <w:trPr>
          <w:trHeight w:val="283" w:hRule="atLeast"/>
        </w:trPr>
        <w:tc>
          <w:tcPr>
            <w:tcW w:w="3027" w:type="dxa"/>
            <w:vMerge w:val="continue"/>
            <w:tcBorders>
              <w:top w:val="single" w:sz="4" w:space="0" w:color="999999"/>
              <w:left w:val="single" w:sz="4" w:space="0" w:color="999999"/>
              <w:bottom w:val="single" w:sz="4" w:space="0" w:color="999999"/>
              <w:right w:val="single" w:sz="4" w:space="0" w:color="999999"/>
            </w:tcBorders>
          </w:tcPr>
          <w:p>
            <w:pPr>
              <w:pStyle w:val="Normal"/>
              <w:widowControl w:val="false"/>
              <w:pBdr/>
              <w:spacing w:lineRule="auto" w:line="276"/>
              <w:jc w:val="left"/>
              <w:rPr>
                <w:sz w:val="24"/>
              </w:rPr>
            </w:pPr>
            <w:r>
              <w:rPr>
                <w:sz w:val="24"/>
              </w:rPr>
            </w:r>
          </w:p>
        </w:tc>
        <w:tc>
          <w:tcPr>
            <w:tcW w:w="6238" w:type="dxa"/>
            <w:gridSpan w:val="2"/>
            <w:tcBorders>
              <w:top w:val="single" w:sz="4" w:space="0" w:color="999999"/>
              <w:left w:val="single" w:sz="4" w:space="0" w:color="999999"/>
              <w:bottom w:val="single" w:sz="4" w:space="0" w:color="999999"/>
              <w:right w:val="single" w:sz="4" w:space="0" w:color="999999"/>
            </w:tcBorders>
          </w:tcPr>
          <w:p>
            <w:pPr>
              <w:pStyle w:val="Normal"/>
              <w:rPr>
                <w:b/>
                <w:sz w:val="24"/>
              </w:rPr>
            </w:pPr>
            <w:r>
              <w:rPr>
                <w:sz w:val="24"/>
              </w:rPr>
              <w:t xml:space="preserve">Available at: </w:t>
            </w:r>
            <w:r>
              <w:rPr>
                <w:b/>
                <w:sz w:val="24"/>
              </w:rPr>
              <w:t>N/A</w:t>
            </w:r>
          </w:p>
        </w:tc>
      </w:tr>
      <w:tr>
        <w:trPr>
          <w:trHeight w:val="316" w:hRule="atLeast"/>
        </w:trPr>
        <w:tc>
          <w:tcPr>
            <w:tcW w:w="3027" w:type="dxa"/>
            <w:vMerge w:val="continue"/>
            <w:tcBorders>
              <w:top w:val="single" w:sz="4" w:space="0" w:color="999999"/>
              <w:left w:val="single" w:sz="4" w:space="0" w:color="999999"/>
              <w:bottom w:val="single" w:sz="4" w:space="0" w:color="999999"/>
              <w:right w:val="single" w:sz="4" w:space="0" w:color="999999"/>
            </w:tcBorders>
          </w:tcPr>
          <w:p>
            <w:pPr>
              <w:pStyle w:val="Normal"/>
              <w:widowControl w:val="false"/>
              <w:pBdr/>
              <w:spacing w:lineRule="auto" w:line="276"/>
              <w:jc w:val="left"/>
              <w:rPr>
                <w:sz w:val="24"/>
              </w:rPr>
            </w:pPr>
            <w:r>
              <w:rPr>
                <w:sz w:val="24"/>
              </w:rPr>
            </w:r>
          </w:p>
        </w:tc>
        <w:tc>
          <w:tcPr>
            <w:tcW w:w="6238" w:type="dxa"/>
            <w:gridSpan w:val="2"/>
            <w:tcBorders>
              <w:top w:val="single" w:sz="4" w:space="0" w:color="999999"/>
              <w:left w:val="single" w:sz="4" w:space="0" w:color="999999"/>
              <w:bottom w:val="single" w:sz="4" w:space="0" w:color="999999"/>
              <w:right w:val="single" w:sz="4" w:space="0" w:color="999999"/>
            </w:tcBorders>
          </w:tcPr>
          <w:p>
            <w:pPr>
              <w:pStyle w:val="Normal"/>
              <w:rPr>
                <w:sz w:val="24"/>
              </w:rPr>
            </w:pPr>
            <w:r>
              <w:rPr>
                <w:sz w:val="24"/>
              </w:rPr>
              <w:t xml:space="preserve">Files: </w:t>
            </w:r>
            <w:r>
              <w:rPr>
                <w:b/>
                <w:sz w:val="24"/>
              </w:rPr>
              <w:t>1</w:t>
            </w:r>
          </w:p>
        </w:tc>
      </w:tr>
      <w:tr>
        <w:trPr/>
        <w:tc>
          <w:tcPr>
            <w:tcW w:w="3027" w:type="dxa"/>
            <w:vMerge w:val="restart"/>
            <w:tcBorders>
              <w:top w:val="single" w:sz="4" w:space="0" w:color="999999"/>
              <w:left w:val="single" w:sz="4" w:space="0" w:color="999999"/>
              <w:bottom w:val="single" w:sz="4" w:space="0" w:color="999999"/>
              <w:right w:val="single" w:sz="4" w:space="0" w:color="999999"/>
            </w:tcBorders>
          </w:tcPr>
          <w:p>
            <w:pPr>
              <w:pStyle w:val="Normal"/>
              <w:rPr>
                <w:sz w:val="24"/>
              </w:rPr>
            </w:pPr>
            <w:r>
              <w:rPr>
                <w:sz w:val="24"/>
              </w:rPr>
              <w:t>Authorship</w:t>
            </w:r>
          </w:p>
        </w:tc>
        <w:tc>
          <w:tcPr>
            <w:tcW w:w="1788" w:type="dxa"/>
            <w:tcBorders>
              <w:top w:val="single" w:sz="4" w:space="0" w:color="999999"/>
              <w:left w:val="single" w:sz="4" w:space="0" w:color="999999"/>
              <w:bottom w:val="single" w:sz="4" w:space="0" w:color="999999"/>
              <w:right w:val="single" w:sz="4" w:space="0" w:color="999999"/>
            </w:tcBorders>
          </w:tcPr>
          <w:p>
            <w:pPr>
              <w:pStyle w:val="Normal"/>
              <w:rPr>
                <w:sz w:val="24"/>
              </w:rPr>
            </w:pPr>
            <w:r>
              <w:rPr>
                <w:sz w:val="24"/>
              </w:rPr>
              <w:t>Written by</w:t>
            </w:r>
          </w:p>
        </w:tc>
        <w:tc>
          <w:tcPr>
            <w:tcW w:w="4450" w:type="dxa"/>
            <w:tcBorders>
              <w:top w:val="single" w:sz="4" w:space="0" w:color="999999"/>
              <w:left w:val="single" w:sz="4" w:space="0" w:color="999999"/>
              <w:bottom w:val="single" w:sz="4" w:space="0" w:color="999999"/>
              <w:right w:val="single" w:sz="4" w:space="0" w:color="999999"/>
            </w:tcBorders>
          </w:tcPr>
          <w:p>
            <w:pPr>
              <w:pStyle w:val="Normal"/>
              <w:rPr>
                <w:b/>
                <w:sz w:val="24"/>
                <w:lang w:val="de-DE"/>
              </w:rPr>
            </w:pPr>
            <w:r>
              <w:rPr>
                <w:b/>
                <w:sz w:val="24"/>
                <w:lang w:val="de-DE"/>
              </w:rPr>
              <w:t>François Debray and Uli Zeitler</w:t>
            </w:r>
          </w:p>
        </w:tc>
      </w:tr>
      <w:tr>
        <w:trPr/>
        <w:tc>
          <w:tcPr>
            <w:tcW w:w="3027" w:type="dxa"/>
            <w:vMerge w:val="continue"/>
            <w:tcBorders>
              <w:top w:val="single" w:sz="4" w:space="0" w:color="999999"/>
              <w:left w:val="single" w:sz="4" w:space="0" w:color="999999"/>
              <w:bottom w:val="single" w:sz="4" w:space="0" w:color="999999"/>
              <w:right w:val="single" w:sz="4" w:space="0" w:color="999999"/>
            </w:tcBorders>
          </w:tcPr>
          <w:p>
            <w:pPr>
              <w:pStyle w:val="Normal"/>
              <w:widowControl w:val="false"/>
              <w:pBdr/>
              <w:spacing w:lineRule="auto" w:line="276"/>
              <w:jc w:val="left"/>
              <w:rPr>
                <w:sz w:val="24"/>
                <w:lang w:val="de-DE"/>
              </w:rPr>
            </w:pPr>
            <w:r>
              <w:rPr>
                <w:sz w:val="24"/>
                <w:lang w:val="de-DE"/>
              </w:rPr>
            </w:r>
          </w:p>
        </w:tc>
        <w:tc>
          <w:tcPr>
            <w:tcW w:w="1788" w:type="dxa"/>
            <w:tcBorders>
              <w:top w:val="single" w:sz="4" w:space="0" w:color="999999"/>
              <w:left w:val="single" w:sz="4" w:space="0" w:color="999999"/>
              <w:bottom w:val="single" w:sz="4" w:space="0" w:color="999999"/>
              <w:right w:val="single" w:sz="4" w:space="0" w:color="999999"/>
            </w:tcBorders>
          </w:tcPr>
          <w:p>
            <w:pPr>
              <w:pStyle w:val="Normal"/>
              <w:rPr>
                <w:sz w:val="24"/>
              </w:rPr>
            </w:pPr>
            <w:r>
              <w:rPr>
                <w:sz w:val="24"/>
              </w:rPr>
              <w:t>Contributors</w:t>
            </w:r>
          </w:p>
        </w:tc>
        <w:tc>
          <w:tcPr>
            <w:tcW w:w="4450" w:type="dxa"/>
            <w:tcBorders>
              <w:top w:val="single" w:sz="4" w:space="0" w:color="999999"/>
              <w:left w:val="single" w:sz="4" w:space="0" w:color="999999"/>
              <w:bottom w:val="single" w:sz="4" w:space="0" w:color="999999"/>
              <w:right w:val="single" w:sz="4" w:space="0" w:color="999999"/>
            </w:tcBorders>
          </w:tcPr>
          <w:p>
            <w:pPr>
              <w:pStyle w:val="Normal"/>
              <w:rPr>
                <w:b/>
                <w:sz w:val="24"/>
              </w:rPr>
            </w:pPr>
            <w:r>
              <w:rPr>
                <w:b/>
                <w:sz w:val="24"/>
              </w:rPr>
              <w:t xml:space="preserve">Femke Bangma and </w:t>
            </w:r>
            <w:r>
              <w:rPr>
                <w:b/>
                <w:sz w:val="24"/>
                <w:lang w:val="de-DE"/>
              </w:rPr>
              <w:t>Frans Wijnen</w:t>
            </w:r>
          </w:p>
        </w:tc>
      </w:tr>
      <w:tr>
        <w:trPr/>
        <w:tc>
          <w:tcPr>
            <w:tcW w:w="3027" w:type="dxa"/>
            <w:vMerge w:val="continue"/>
            <w:tcBorders>
              <w:top w:val="single" w:sz="4" w:space="0" w:color="999999"/>
              <w:left w:val="single" w:sz="4" w:space="0" w:color="999999"/>
              <w:bottom w:val="single" w:sz="4" w:space="0" w:color="999999"/>
              <w:right w:val="single" w:sz="4" w:space="0" w:color="999999"/>
            </w:tcBorders>
          </w:tcPr>
          <w:p>
            <w:pPr>
              <w:pStyle w:val="Normal"/>
              <w:widowControl w:val="false"/>
              <w:pBdr/>
              <w:spacing w:lineRule="auto" w:line="276"/>
              <w:jc w:val="left"/>
              <w:rPr>
                <w:sz w:val="24"/>
              </w:rPr>
            </w:pPr>
            <w:r>
              <w:rPr>
                <w:sz w:val="24"/>
              </w:rPr>
            </w:r>
          </w:p>
        </w:tc>
        <w:tc>
          <w:tcPr>
            <w:tcW w:w="1788" w:type="dxa"/>
            <w:tcBorders>
              <w:top w:val="single" w:sz="4" w:space="0" w:color="999999"/>
              <w:left w:val="single" w:sz="4" w:space="0" w:color="999999"/>
              <w:bottom w:val="single" w:sz="4" w:space="0" w:color="999999"/>
              <w:right w:val="single" w:sz="4" w:space="0" w:color="999999"/>
            </w:tcBorders>
          </w:tcPr>
          <w:p>
            <w:pPr>
              <w:pStyle w:val="Normal"/>
              <w:rPr>
                <w:sz w:val="24"/>
              </w:rPr>
            </w:pPr>
            <w:r>
              <w:rPr>
                <w:sz w:val="24"/>
              </w:rPr>
              <w:t>Reviewed by</w:t>
            </w:r>
          </w:p>
        </w:tc>
        <w:tc>
          <w:tcPr>
            <w:tcW w:w="4450" w:type="dxa"/>
            <w:tcBorders>
              <w:top w:val="single" w:sz="4" w:space="0" w:color="999999"/>
              <w:left w:val="single" w:sz="4" w:space="0" w:color="999999"/>
              <w:bottom w:val="single" w:sz="4" w:space="0" w:color="999999"/>
              <w:right w:val="single" w:sz="4" w:space="0" w:color="999999"/>
            </w:tcBorders>
          </w:tcPr>
          <w:p>
            <w:pPr>
              <w:pStyle w:val="Normal"/>
              <w:rPr>
                <w:b/>
                <w:sz w:val="24"/>
              </w:rPr>
            </w:pPr>
            <w:r>
              <w:rPr>
                <w:b/>
                <w:sz w:val="24"/>
              </w:rPr>
              <w:t>Discussed in WP5 meeting 10</w:t>
            </w:r>
            <w:r>
              <w:rPr>
                <w:b/>
                <w:sz w:val="24"/>
                <w:vertAlign w:val="superscript"/>
              </w:rPr>
              <w:t>th</w:t>
            </w:r>
            <w:r>
              <w:rPr>
                <w:b/>
                <w:sz w:val="24"/>
              </w:rPr>
              <w:t xml:space="preserve"> July 2025</w:t>
            </w:r>
          </w:p>
        </w:tc>
      </w:tr>
      <w:tr>
        <w:trPr/>
        <w:tc>
          <w:tcPr>
            <w:tcW w:w="3027" w:type="dxa"/>
            <w:vMerge w:val="continue"/>
            <w:tcBorders>
              <w:top w:val="single" w:sz="4" w:space="0" w:color="999999"/>
              <w:left w:val="single" w:sz="4" w:space="0" w:color="999999"/>
              <w:bottom w:val="single" w:sz="4" w:space="0" w:color="999999"/>
              <w:right w:val="single" w:sz="4" w:space="0" w:color="999999"/>
            </w:tcBorders>
          </w:tcPr>
          <w:p>
            <w:pPr>
              <w:pStyle w:val="Normal"/>
              <w:widowControl w:val="false"/>
              <w:pBdr/>
              <w:spacing w:lineRule="auto" w:line="276"/>
              <w:jc w:val="left"/>
              <w:rPr>
                <w:sz w:val="24"/>
              </w:rPr>
            </w:pPr>
            <w:r>
              <w:rPr>
                <w:sz w:val="24"/>
              </w:rPr>
            </w:r>
          </w:p>
        </w:tc>
        <w:tc>
          <w:tcPr>
            <w:tcW w:w="1788" w:type="dxa"/>
            <w:tcBorders>
              <w:top w:val="single" w:sz="4" w:space="0" w:color="999999"/>
              <w:left w:val="single" w:sz="4" w:space="0" w:color="999999"/>
              <w:bottom w:val="single" w:sz="4" w:space="0" w:color="999999"/>
              <w:right w:val="single" w:sz="4" w:space="0" w:color="999999"/>
            </w:tcBorders>
          </w:tcPr>
          <w:p>
            <w:pPr>
              <w:pStyle w:val="Normal"/>
              <w:rPr>
                <w:sz w:val="24"/>
              </w:rPr>
            </w:pPr>
            <w:r>
              <w:rPr>
                <w:sz w:val="24"/>
              </w:rPr>
              <w:t>Approved</w:t>
            </w:r>
          </w:p>
        </w:tc>
        <w:tc>
          <w:tcPr>
            <w:tcW w:w="4450" w:type="dxa"/>
            <w:tcBorders>
              <w:top w:val="single" w:sz="4" w:space="0" w:color="999999"/>
              <w:left w:val="single" w:sz="4" w:space="0" w:color="999999"/>
              <w:bottom w:val="single" w:sz="4" w:space="0" w:color="999999"/>
              <w:right w:val="single" w:sz="4" w:space="0" w:color="999999"/>
            </w:tcBorders>
          </w:tcPr>
          <w:p>
            <w:pPr>
              <w:pStyle w:val="Normal"/>
              <w:rPr>
                <w:b/>
                <w:sz w:val="24"/>
              </w:rPr>
            </w:pPr>
            <w:r>
              <w:rPr>
                <w:b/>
                <w:sz w:val="24"/>
              </w:rPr>
              <w:t>FlexRICAN Steering Board</w:t>
            </w:r>
          </w:p>
        </w:tc>
      </w:tr>
    </w:tbl>
    <w:p>
      <w:pPr>
        <w:pStyle w:val="Normal"/>
        <w:pBdr/>
        <w:spacing w:lineRule="auto" w:line="240" w:before="120" w:after="80"/>
        <w:rPr>
          <w:rFonts w:eastAsia="Arial" w:cs="Arial"/>
          <w:color w:val="000000"/>
          <w:szCs w:val="22"/>
        </w:rPr>
      </w:pPr>
      <w:r>
        <w:rPr>
          <w:rFonts w:eastAsia="Arial" w:cs="Arial"/>
          <w:color w:val="000000"/>
          <w:szCs w:val="22"/>
        </w:rPr>
      </w:r>
    </w:p>
    <w:p>
      <w:pPr>
        <w:pStyle w:val="Normal"/>
        <w:pBdr/>
        <w:spacing w:lineRule="auto" w:line="240" w:before="120" w:after="80"/>
        <w:rPr>
          <w:rFonts w:eastAsia="Arial" w:cs="Arial"/>
          <w:color w:val="000000"/>
          <w:szCs w:val="22"/>
        </w:rPr>
      </w:pPr>
      <w:r>
        <w:rPr>
          <w:rFonts w:eastAsia="Arial" w:cs="Arial"/>
          <w:color w:val="000000"/>
          <w:szCs w:val="22"/>
        </w:rPr>
      </w:r>
    </w:p>
    <w:p>
      <w:pPr>
        <w:pStyle w:val="Normal"/>
        <w:pBdr/>
        <w:spacing w:lineRule="auto" w:line="240" w:before="120" w:after="80"/>
        <w:rPr>
          <w:rFonts w:eastAsia="Arial" w:cs="Arial"/>
          <w:color w:val="000000"/>
          <w:szCs w:val="22"/>
        </w:rPr>
      </w:pPr>
      <w:r>
        <w:rPr>
          <w:rFonts w:eastAsia="Arial" w:cs="Arial"/>
          <w:color w:val="000000"/>
          <w:szCs w:val="22"/>
        </w:rPr>
      </w:r>
    </w:p>
    <w:p>
      <w:pPr>
        <w:pStyle w:val="Normal"/>
        <w:rPr>
          <w:rFonts w:eastAsia="맑은 고딕" w:cs="Calibri" w:eastAsiaTheme="majorEastAsia"/>
          <w:b/>
          <w:color w:val="2098D3"/>
          <w:sz w:val="28"/>
          <w:szCs w:val="26"/>
          <w:highlight w:val="lightGray"/>
          <w:lang w:val="en-GB"/>
        </w:rPr>
      </w:pPr>
      <w:r>
        <w:rPr>
          <w:rFonts w:eastAsia="맑은 고딕" w:cs="Calibri" w:eastAsiaTheme="majorEastAsia"/>
          <w:b/>
          <w:color w:val="2098D3"/>
          <w:sz w:val="28"/>
          <w:szCs w:val="26"/>
          <w:highlight w:val="lightGray"/>
          <w:lang w:val="en-GB"/>
        </w:rPr>
      </w:r>
      <w:r>
        <w:br w:type="page"/>
      </w:r>
    </w:p>
    <w:p>
      <w:pPr>
        <w:pStyle w:val="Heading1"/>
        <w:numPr>
          <w:ilvl w:val="0"/>
          <w:numId w:val="0"/>
        </w:numPr>
        <w:spacing w:before="0" w:after="240"/>
        <w:ind w:hanging="0" w:left="0"/>
        <w:rPr/>
      </w:pPr>
      <w:bookmarkStart w:id="3" w:name="_Toc202968079"/>
      <w:r>
        <w:rPr/>
        <w:t>List of Abbreviations and Acronyms</w:t>
      </w:r>
      <w:bookmarkEnd w:id="3"/>
    </w:p>
    <w:tbl>
      <w:tblPr>
        <w:tblStyle w:val="a1"/>
        <w:tblW w:w="9056"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1275"/>
        <w:gridCol w:w="7780"/>
      </w:tblGrid>
      <w:tr>
        <w:trPr/>
        <w:tc>
          <w:tcPr>
            <w:tcW w:w="1275" w:type="dxa"/>
            <w:tcBorders>
              <w:right w:val="single" w:sz="4" w:space="0" w:color="000000"/>
            </w:tcBorders>
          </w:tcPr>
          <w:p>
            <w:pPr>
              <w:pStyle w:val="Normal"/>
              <w:spacing w:before="80" w:after="80"/>
              <w:rPr>
                <w:color w:val="000000"/>
                <w:sz w:val="24"/>
              </w:rPr>
            </w:pPr>
            <w:r>
              <w:rPr>
                <w:color w:val="000000"/>
                <w:sz w:val="24"/>
              </w:rPr>
              <w:t>AL</w:t>
            </w:r>
          </w:p>
        </w:tc>
        <w:tc>
          <w:tcPr>
            <w:tcW w:w="7780" w:type="dxa"/>
            <w:tcBorders>
              <w:left w:val="single" w:sz="4" w:space="0" w:color="000000"/>
            </w:tcBorders>
          </w:tcPr>
          <w:p>
            <w:pPr>
              <w:pStyle w:val="Normal"/>
              <w:spacing w:before="80" w:after="80"/>
              <w:ind w:left="177"/>
              <w:rPr>
                <w:color w:val="000000"/>
                <w:sz w:val="24"/>
              </w:rPr>
            </w:pPr>
            <w:r>
              <w:rPr>
                <w:color w:val="000000"/>
                <w:sz w:val="24"/>
              </w:rPr>
              <w:t>Alfa Laval</w:t>
            </w:r>
          </w:p>
        </w:tc>
      </w:tr>
      <w:tr>
        <w:trPr/>
        <w:tc>
          <w:tcPr>
            <w:tcW w:w="1275" w:type="dxa"/>
            <w:tcBorders>
              <w:right w:val="single" w:sz="4" w:space="0" w:color="000000"/>
            </w:tcBorders>
          </w:tcPr>
          <w:p>
            <w:pPr>
              <w:pStyle w:val="Normal"/>
              <w:spacing w:before="80" w:after="80"/>
              <w:rPr>
                <w:color w:val="000000"/>
                <w:sz w:val="24"/>
              </w:rPr>
            </w:pPr>
            <w:r>
              <w:rPr>
                <w:color w:val="000000"/>
                <w:sz w:val="24"/>
              </w:rPr>
              <w:t>ATES</w:t>
            </w:r>
          </w:p>
        </w:tc>
        <w:tc>
          <w:tcPr>
            <w:tcW w:w="7780" w:type="dxa"/>
            <w:tcBorders>
              <w:left w:val="single" w:sz="4" w:space="0" w:color="000000"/>
            </w:tcBorders>
          </w:tcPr>
          <w:p>
            <w:pPr>
              <w:pStyle w:val="Normal"/>
              <w:spacing w:before="80" w:after="80"/>
              <w:ind w:left="177"/>
              <w:rPr>
                <w:color w:val="000000"/>
                <w:sz w:val="24"/>
              </w:rPr>
            </w:pPr>
            <w:r>
              <w:rPr>
                <w:color w:val="000000"/>
                <w:sz w:val="24"/>
                <w:lang w:val="en-GB"/>
              </w:rPr>
              <w:t>Aquifer Thermal Energy Storage</w:t>
            </w:r>
          </w:p>
        </w:tc>
      </w:tr>
      <w:tr>
        <w:trPr/>
        <w:tc>
          <w:tcPr>
            <w:tcW w:w="1275" w:type="dxa"/>
            <w:tcBorders>
              <w:right w:val="single" w:sz="4" w:space="0" w:color="000000"/>
            </w:tcBorders>
          </w:tcPr>
          <w:p>
            <w:pPr>
              <w:pStyle w:val="Normal"/>
              <w:spacing w:before="80" w:after="80"/>
              <w:rPr>
                <w:color w:val="000000"/>
                <w:sz w:val="24"/>
              </w:rPr>
            </w:pPr>
            <w:r>
              <w:rPr>
                <w:color w:val="000000"/>
                <w:sz w:val="24"/>
              </w:rPr>
              <w:t>CNRS</w:t>
            </w:r>
          </w:p>
        </w:tc>
        <w:tc>
          <w:tcPr>
            <w:tcW w:w="7780" w:type="dxa"/>
            <w:tcBorders>
              <w:left w:val="single" w:sz="4" w:space="0" w:color="000000"/>
            </w:tcBorders>
          </w:tcPr>
          <w:p>
            <w:pPr>
              <w:pStyle w:val="Normal"/>
              <w:spacing w:before="80" w:after="80"/>
              <w:ind w:left="177"/>
              <w:rPr>
                <w:color w:val="000000"/>
                <w:sz w:val="24"/>
                <w:lang w:val="fr-FR"/>
              </w:rPr>
            </w:pPr>
            <w:r>
              <w:rPr>
                <w:color w:val="000000"/>
                <w:sz w:val="24"/>
                <w:lang w:val="fr-FR"/>
              </w:rPr>
              <w:t>Centre national de la recherche scientifique</w:t>
            </w:r>
          </w:p>
        </w:tc>
      </w:tr>
      <w:tr>
        <w:trPr/>
        <w:tc>
          <w:tcPr>
            <w:tcW w:w="1275" w:type="dxa"/>
            <w:tcBorders>
              <w:right w:val="single" w:sz="4" w:space="0" w:color="000000"/>
            </w:tcBorders>
          </w:tcPr>
          <w:p>
            <w:pPr>
              <w:pStyle w:val="Normal"/>
              <w:spacing w:before="80" w:after="80"/>
              <w:rPr>
                <w:color w:val="000000"/>
                <w:sz w:val="24"/>
              </w:rPr>
            </w:pPr>
            <w:r>
              <w:rPr>
                <w:color w:val="000000"/>
                <w:sz w:val="24"/>
              </w:rPr>
              <w:t>ELI</w:t>
            </w:r>
          </w:p>
        </w:tc>
        <w:tc>
          <w:tcPr>
            <w:tcW w:w="7780" w:type="dxa"/>
            <w:tcBorders>
              <w:left w:val="single" w:sz="4" w:space="0" w:color="000000"/>
            </w:tcBorders>
          </w:tcPr>
          <w:p>
            <w:pPr>
              <w:pStyle w:val="Normal"/>
              <w:spacing w:before="80" w:after="80"/>
              <w:ind w:left="177"/>
              <w:rPr>
                <w:color w:val="000000"/>
                <w:sz w:val="24"/>
              </w:rPr>
            </w:pPr>
            <w:r>
              <w:rPr>
                <w:color w:val="000000"/>
                <w:sz w:val="24"/>
              </w:rPr>
              <w:t>The Extreme Light Infrastructure ERIC</w:t>
            </w:r>
          </w:p>
        </w:tc>
      </w:tr>
      <w:tr>
        <w:trPr/>
        <w:tc>
          <w:tcPr>
            <w:tcW w:w="1275" w:type="dxa"/>
            <w:tcBorders>
              <w:right w:val="single" w:sz="4" w:space="0" w:color="000000"/>
            </w:tcBorders>
          </w:tcPr>
          <w:p>
            <w:pPr>
              <w:pStyle w:val="Normal"/>
              <w:spacing w:before="80" w:after="80"/>
              <w:rPr>
                <w:color w:val="000000"/>
                <w:sz w:val="24"/>
              </w:rPr>
            </w:pPr>
            <w:r>
              <w:rPr>
                <w:color w:val="000000"/>
                <w:sz w:val="24"/>
              </w:rPr>
              <w:t>EMFL</w:t>
            </w:r>
          </w:p>
        </w:tc>
        <w:tc>
          <w:tcPr>
            <w:tcW w:w="7780" w:type="dxa"/>
            <w:tcBorders>
              <w:left w:val="single" w:sz="4" w:space="0" w:color="000000"/>
            </w:tcBorders>
          </w:tcPr>
          <w:p>
            <w:pPr>
              <w:pStyle w:val="Normal"/>
              <w:spacing w:before="80" w:after="80"/>
              <w:ind w:left="177"/>
              <w:rPr>
                <w:color w:val="000000"/>
                <w:sz w:val="24"/>
              </w:rPr>
            </w:pPr>
            <w:r>
              <w:rPr>
                <w:color w:val="000000"/>
                <w:sz w:val="24"/>
              </w:rPr>
              <w:t>European Magnetic Field Laboratory</w:t>
            </w:r>
          </w:p>
        </w:tc>
      </w:tr>
      <w:tr>
        <w:trPr/>
        <w:tc>
          <w:tcPr>
            <w:tcW w:w="1275" w:type="dxa"/>
            <w:tcBorders>
              <w:right w:val="single" w:sz="4" w:space="0" w:color="000000"/>
            </w:tcBorders>
          </w:tcPr>
          <w:p>
            <w:pPr>
              <w:pStyle w:val="Normal"/>
              <w:spacing w:before="80" w:after="80"/>
              <w:rPr>
                <w:color w:val="000000"/>
                <w:sz w:val="24"/>
              </w:rPr>
            </w:pPr>
            <w:r>
              <w:rPr>
                <w:color w:val="000000"/>
                <w:sz w:val="24"/>
              </w:rPr>
              <w:t>EP</w:t>
            </w:r>
          </w:p>
        </w:tc>
        <w:tc>
          <w:tcPr>
            <w:tcW w:w="7780" w:type="dxa"/>
            <w:tcBorders>
              <w:left w:val="single" w:sz="4" w:space="0" w:color="000000"/>
            </w:tcBorders>
          </w:tcPr>
          <w:p>
            <w:pPr>
              <w:pStyle w:val="Normal"/>
              <w:spacing w:before="80" w:after="80"/>
              <w:ind w:left="177"/>
              <w:rPr>
                <w:color w:val="000000"/>
                <w:sz w:val="24"/>
              </w:rPr>
            </w:pPr>
            <w:r>
              <w:rPr>
                <w:color w:val="000000"/>
                <w:sz w:val="24"/>
              </w:rPr>
              <w:t>Energy Pool</w:t>
            </w:r>
          </w:p>
        </w:tc>
      </w:tr>
      <w:tr>
        <w:trPr/>
        <w:tc>
          <w:tcPr>
            <w:tcW w:w="1275" w:type="dxa"/>
            <w:tcBorders>
              <w:right w:val="single" w:sz="4" w:space="0" w:color="000000"/>
            </w:tcBorders>
          </w:tcPr>
          <w:p>
            <w:pPr>
              <w:pStyle w:val="Normal"/>
              <w:spacing w:before="80" w:after="80"/>
              <w:rPr>
                <w:color w:val="000000"/>
                <w:sz w:val="24"/>
              </w:rPr>
            </w:pPr>
            <w:r>
              <w:rPr>
                <w:color w:val="000000"/>
                <w:sz w:val="24"/>
              </w:rPr>
              <w:t>ESRF</w:t>
            </w:r>
          </w:p>
        </w:tc>
        <w:tc>
          <w:tcPr>
            <w:tcW w:w="7780" w:type="dxa"/>
            <w:tcBorders>
              <w:left w:val="single" w:sz="4" w:space="0" w:color="000000"/>
            </w:tcBorders>
          </w:tcPr>
          <w:p>
            <w:pPr>
              <w:pStyle w:val="Normal"/>
              <w:spacing w:before="80" w:after="80"/>
              <w:ind w:left="177"/>
              <w:rPr>
                <w:color w:val="000000"/>
                <w:sz w:val="24"/>
              </w:rPr>
            </w:pPr>
            <w:r>
              <w:rPr>
                <w:color w:val="000000"/>
                <w:sz w:val="24"/>
              </w:rPr>
              <w:t>European Synchrotron Radiation Facility</w:t>
            </w:r>
          </w:p>
        </w:tc>
      </w:tr>
      <w:tr>
        <w:trPr/>
        <w:tc>
          <w:tcPr>
            <w:tcW w:w="1275" w:type="dxa"/>
            <w:tcBorders>
              <w:right w:val="single" w:sz="4" w:space="0" w:color="000000"/>
            </w:tcBorders>
          </w:tcPr>
          <w:p>
            <w:pPr>
              <w:pStyle w:val="Normal"/>
              <w:spacing w:before="80" w:after="80"/>
              <w:rPr>
                <w:color w:val="000000"/>
                <w:sz w:val="24"/>
              </w:rPr>
            </w:pPr>
            <w:r>
              <w:rPr>
                <w:color w:val="000000"/>
                <w:sz w:val="24"/>
              </w:rPr>
              <w:t>ESS</w:t>
            </w:r>
          </w:p>
        </w:tc>
        <w:tc>
          <w:tcPr>
            <w:tcW w:w="7780" w:type="dxa"/>
            <w:tcBorders>
              <w:left w:val="single" w:sz="4" w:space="0" w:color="000000"/>
            </w:tcBorders>
          </w:tcPr>
          <w:p>
            <w:pPr>
              <w:pStyle w:val="Normal"/>
              <w:spacing w:before="80" w:after="80"/>
              <w:ind w:left="177"/>
              <w:rPr>
                <w:color w:val="000000"/>
                <w:sz w:val="24"/>
              </w:rPr>
            </w:pPr>
            <w:r>
              <w:rPr>
                <w:color w:val="000000"/>
                <w:sz w:val="24"/>
              </w:rPr>
              <w:t>European Spallation Source ERIC</w:t>
            </w:r>
          </w:p>
        </w:tc>
      </w:tr>
      <w:tr>
        <w:trPr/>
        <w:tc>
          <w:tcPr>
            <w:tcW w:w="1275" w:type="dxa"/>
            <w:tcBorders>
              <w:right w:val="single" w:sz="4" w:space="0" w:color="000000"/>
            </w:tcBorders>
          </w:tcPr>
          <w:p>
            <w:pPr>
              <w:pStyle w:val="Normal"/>
              <w:spacing w:before="80" w:after="80"/>
              <w:rPr>
                <w:color w:val="000000"/>
                <w:sz w:val="24"/>
              </w:rPr>
            </w:pPr>
            <w:r>
              <w:rPr>
                <w:color w:val="000000"/>
                <w:sz w:val="24"/>
              </w:rPr>
              <w:t>EU</w:t>
            </w:r>
          </w:p>
        </w:tc>
        <w:tc>
          <w:tcPr>
            <w:tcW w:w="7780" w:type="dxa"/>
            <w:tcBorders>
              <w:left w:val="single" w:sz="4" w:space="0" w:color="000000"/>
            </w:tcBorders>
          </w:tcPr>
          <w:p>
            <w:pPr>
              <w:pStyle w:val="Normal"/>
              <w:spacing w:before="80" w:after="80"/>
              <w:ind w:left="177"/>
              <w:rPr>
                <w:color w:val="000000"/>
                <w:sz w:val="24"/>
              </w:rPr>
            </w:pPr>
            <w:r>
              <w:rPr>
                <w:color w:val="000000"/>
                <w:sz w:val="24"/>
              </w:rPr>
              <w:t>European Union</w:t>
            </w:r>
          </w:p>
        </w:tc>
      </w:tr>
      <w:tr>
        <w:trPr/>
        <w:tc>
          <w:tcPr>
            <w:tcW w:w="1275" w:type="dxa"/>
            <w:tcBorders>
              <w:right w:val="single" w:sz="4" w:space="0" w:color="000000"/>
            </w:tcBorders>
          </w:tcPr>
          <w:p>
            <w:pPr>
              <w:pStyle w:val="Normal"/>
              <w:spacing w:before="80" w:after="80"/>
              <w:rPr>
                <w:color w:val="000000"/>
                <w:sz w:val="24"/>
              </w:rPr>
            </w:pPr>
            <w:r>
              <w:rPr>
                <w:color w:val="000000"/>
                <w:sz w:val="24"/>
              </w:rPr>
              <w:t>GA</w:t>
            </w:r>
          </w:p>
        </w:tc>
        <w:tc>
          <w:tcPr>
            <w:tcW w:w="7780" w:type="dxa"/>
            <w:tcBorders>
              <w:left w:val="single" w:sz="4" w:space="0" w:color="000000"/>
            </w:tcBorders>
          </w:tcPr>
          <w:p>
            <w:pPr>
              <w:pStyle w:val="Normal"/>
              <w:spacing w:before="80" w:after="80"/>
              <w:ind w:left="177"/>
              <w:rPr>
                <w:color w:val="000000"/>
                <w:sz w:val="24"/>
              </w:rPr>
            </w:pPr>
            <w:r>
              <w:rPr>
                <w:color w:val="000000"/>
                <w:sz w:val="24"/>
              </w:rPr>
              <w:t>General Assembly</w:t>
            </w:r>
          </w:p>
        </w:tc>
      </w:tr>
      <w:tr>
        <w:trPr/>
        <w:tc>
          <w:tcPr>
            <w:tcW w:w="1275" w:type="dxa"/>
            <w:tcBorders>
              <w:right w:val="single" w:sz="4" w:space="0" w:color="000000"/>
            </w:tcBorders>
          </w:tcPr>
          <w:p>
            <w:pPr>
              <w:pStyle w:val="Normal"/>
              <w:spacing w:before="80" w:after="80"/>
              <w:rPr>
                <w:color w:val="000000"/>
                <w:sz w:val="24"/>
              </w:rPr>
            </w:pPr>
            <w:r>
              <w:rPr>
                <w:color w:val="000000"/>
                <w:sz w:val="24"/>
              </w:rPr>
              <w:t>HFML</w:t>
            </w:r>
          </w:p>
        </w:tc>
        <w:tc>
          <w:tcPr>
            <w:tcW w:w="7780" w:type="dxa"/>
            <w:tcBorders>
              <w:left w:val="single" w:sz="4" w:space="0" w:color="000000"/>
            </w:tcBorders>
          </w:tcPr>
          <w:p>
            <w:pPr>
              <w:pStyle w:val="Normal"/>
              <w:spacing w:before="80" w:after="80"/>
              <w:ind w:left="177"/>
              <w:rPr>
                <w:color w:val="000000"/>
                <w:sz w:val="24"/>
              </w:rPr>
            </w:pPr>
            <w:r>
              <w:rPr>
                <w:color w:val="000000"/>
                <w:sz w:val="24"/>
              </w:rPr>
              <w:t>High Field Magnet Laboratory</w:t>
            </w:r>
          </w:p>
        </w:tc>
      </w:tr>
      <w:tr>
        <w:trPr/>
        <w:tc>
          <w:tcPr>
            <w:tcW w:w="1275" w:type="dxa"/>
            <w:tcBorders>
              <w:right w:val="single" w:sz="4" w:space="0" w:color="000000"/>
            </w:tcBorders>
          </w:tcPr>
          <w:p>
            <w:pPr>
              <w:pStyle w:val="Normal"/>
              <w:spacing w:before="80" w:after="80"/>
              <w:rPr>
                <w:color w:val="000000"/>
                <w:sz w:val="24"/>
              </w:rPr>
            </w:pPr>
            <w:r>
              <w:rPr>
                <w:color w:val="000000"/>
                <w:sz w:val="24"/>
              </w:rPr>
              <w:t>HZDR</w:t>
            </w:r>
          </w:p>
        </w:tc>
        <w:tc>
          <w:tcPr>
            <w:tcW w:w="7780" w:type="dxa"/>
            <w:tcBorders>
              <w:left w:val="single" w:sz="4" w:space="0" w:color="000000"/>
            </w:tcBorders>
          </w:tcPr>
          <w:p>
            <w:pPr>
              <w:pStyle w:val="Normal"/>
              <w:spacing w:before="80" w:after="80"/>
              <w:ind w:left="177"/>
              <w:rPr>
                <w:color w:val="000000"/>
                <w:sz w:val="24"/>
                <w:lang w:val="de-DE"/>
              </w:rPr>
            </w:pPr>
            <w:r>
              <w:rPr>
                <w:color w:val="000000"/>
                <w:sz w:val="24"/>
                <w:lang w:val="de-DE"/>
              </w:rPr>
              <w:t>Helmholtz-Zentrum Dresden-Rossendorf</w:t>
            </w:r>
          </w:p>
        </w:tc>
      </w:tr>
      <w:tr>
        <w:trPr/>
        <w:tc>
          <w:tcPr>
            <w:tcW w:w="1275" w:type="dxa"/>
            <w:tcBorders>
              <w:right w:val="single" w:sz="4" w:space="0" w:color="000000"/>
            </w:tcBorders>
          </w:tcPr>
          <w:p>
            <w:pPr>
              <w:pStyle w:val="Normal"/>
              <w:spacing w:before="80" w:after="80"/>
              <w:rPr>
                <w:b/>
                <w:color w:val="000000"/>
                <w:sz w:val="24"/>
              </w:rPr>
            </w:pPr>
            <w:r>
              <w:rPr>
                <w:color w:val="000000"/>
                <w:sz w:val="24"/>
              </w:rPr>
              <w:t>LCA</w:t>
            </w:r>
          </w:p>
        </w:tc>
        <w:tc>
          <w:tcPr>
            <w:tcW w:w="7780" w:type="dxa"/>
            <w:tcBorders>
              <w:left w:val="single" w:sz="4" w:space="0" w:color="000000"/>
            </w:tcBorders>
          </w:tcPr>
          <w:p>
            <w:pPr>
              <w:pStyle w:val="Normal"/>
              <w:spacing w:before="80" w:after="80"/>
              <w:ind w:left="177"/>
              <w:rPr>
                <w:color w:val="000000"/>
                <w:sz w:val="24"/>
                <w:lang w:val="de-DE"/>
              </w:rPr>
            </w:pPr>
            <w:r>
              <w:rPr>
                <w:color w:val="000000"/>
                <w:sz w:val="24"/>
                <w:lang w:val="de-DE"/>
              </w:rPr>
              <w:t>Life Cycle Assessment</w:t>
            </w:r>
          </w:p>
        </w:tc>
      </w:tr>
      <w:tr>
        <w:trPr/>
        <w:tc>
          <w:tcPr>
            <w:tcW w:w="1275" w:type="dxa"/>
            <w:tcBorders>
              <w:right w:val="single" w:sz="4" w:space="0" w:color="000000"/>
            </w:tcBorders>
          </w:tcPr>
          <w:p>
            <w:pPr>
              <w:pStyle w:val="Normal"/>
              <w:spacing w:before="80" w:after="80"/>
              <w:rPr>
                <w:color w:val="000000"/>
                <w:sz w:val="24"/>
              </w:rPr>
            </w:pPr>
            <w:r>
              <w:rPr>
                <w:color w:val="000000"/>
                <w:sz w:val="24"/>
              </w:rPr>
              <w:t>LCNMI</w:t>
            </w:r>
          </w:p>
        </w:tc>
        <w:tc>
          <w:tcPr>
            <w:tcW w:w="7780" w:type="dxa"/>
            <w:tcBorders>
              <w:left w:val="single" w:sz="4" w:space="0" w:color="000000"/>
            </w:tcBorders>
          </w:tcPr>
          <w:p>
            <w:pPr>
              <w:pStyle w:val="Normal"/>
              <w:spacing w:before="80" w:after="80"/>
              <w:ind w:left="177"/>
              <w:rPr>
                <w:color w:val="000000"/>
                <w:sz w:val="24"/>
                <w:lang w:val="fr-FR"/>
              </w:rPr>
            </w:pPr>
            <w:r>
              <w:rPr>
                <w:color w:val="000000"/>
                <w:sz w:val="24"/>
                <w:lang w:val="fr-FR"/>
              </w:rPr>
              <w:t>Le Laboratoire National des Champs Magnétiques Intenses</w:t>
            </w:r>
          </w:p>
        </w:tc>
      </w:tr>
      <w:tr>
        <w:trPr/>
        <w:tc>
          <w:tcPr>
            <w:tcW w:w="1275" w:type="dxa"/>
            <w:tcBorders>
              <w:right w:val="single" w:sz="4" w:space="0" w:color="000000"/>
            </w:tcBorders>
          </w:tcPr>
          <w:p>
            <w:pPr>
              <w:pStyle w:val="Normal"/>
              <w:spacing w:before="80" w:after="80"/>
              <w:rPr>
                <w:color w:val="000000"/>
                <w:sz w:val="24"/>
              </w:rPr>
            </w:pPr>
            <w:r>
              <w:rPr>
                <w:color w:val="000000"/>
                <w:sz w:val="24"/>
              </w:rPr>
              <w:t>MW</w:t>
            </w:r>
          </w:p>
        </w:tc>
        <w:tc>
          <w:tcPr>
            <w:tcW w:w="7780" w:type="dxa"/>
            <w:tcBorders>
              <w:left w:val="single" w:sz="4" w:space="0" w:color="000000"/>
            </w:tcBorders>
          </w:tcPr>
          <w:p>
            <w:pPr>
              <w:pStyle w:val="Normal"/>
              <w:spacing w:before="80" w:after="80"/>
              <w:ind w:left="177"/>
              <w:rPr>
                <w:color w:val="000000"/>
                <w:sz w:val="24"/>
                <w:lang w:val="fr-FR"/>
              </w:rPr>
            </w:pPr>
            <w:r>
              <w:rPr>
                <w:color w:val="000000"/>
                <w:sz w:val="24"/>
                <w:lang w:val="fr-FR"/>
              </w:rPr>
              <w:t>Megawatt</w:t>
            </w:r>
          </w:p>
        </w:tc>
      </w:tr>
      <w:tr>
        <w:trPr/>
        <w:tc>
          <w:tcPr>
            <w:tcW w:w="1275" w:type="dxa"/>
            <w:tcBorders>
              <w:right w:val="single" w:sz="4" w:space="0" w:color="000000"/>
            </w:tcBorders>
          </w:tcPr>
          <w:p>
            <w:pPr>
              <w:pStyle w:val="Normal"/>
              <w:spacing w:before="80" w:after="80"/>
              <w:rPr>
                <w:color w:val="000000"/>
                <w:sz w:val="24"/>
              </w:rPr>
            </w:pPr>
            <w:r>
              <w:rPr>
                <w:color w:val="000000"/>
                <w:sz w:val="24"/>
              </w:rPr>
              <w:t>RA</w:t>
            </w:r>
          </w:p>
        </w:tc>
        <w:tc>
          <w:tcPr>
            <w:tcW w:w="7780" w:type="dxa"/>
            <w:tcBorders>
              <w:left w:val="single" w:sz="4" w:space="0" w:color="000000"/>
            </w:tcBorders>
          </w:tcPr>
          <w:p>
            <w:pPr>
              <w:pStyle w:val="Normal"/>
              <w:spacing w:before="80" w:after="80"/>
              <w:ind w:left="177"/>
              <w:rPr>
                <w:color w:val="000000"/>
                <w:sz w:val="24"/>
              </w:rPr>
            </w:pPr>
            <w:r>
              <w:rPr>
                <w:color w:val="000000"/>
                <w:sz w:val="24"/>
              </w:rPr>
              <w:t>Radboud University</w:t>
            </w:r>
          </w:p>
        </w:tc>
      </w:tr>
      <w:tr>
        <w:trPr/>
        <w:tc>
          <w:tcPr>
            <w:tcW w:w="1275" w:type="dxa"/>
            <w:tcBorders>
              <w:right w:val="single" w:sz="4" w:space="0" w:color="000000"/>
            </w:tcBorders>
          </w:tcPr>
          <w:p>
            <w:pPr>
              <w:pStyle w:val="Normal"/>
              <w:spacing w:before="80" w:after="80"/>
              <w:rPr>
                <w:color w:val="000000"/>
                <w:sz w:val="24"/>
              </w:rPr>
            </w:pPr>
            <w:r>
              <w:rPr>
                <w:color w:val="000000"/>
                <w:sz w:val="24"/>
              </w:rPr>
              <w:t>RI</w:t>
            </w:r>
          </w:p>
        </w:tc>
        <w:tc>
          <w:tcPr>
            <w:tcW w:w="7780" w:type="dxa"/>
            <w:tcBorders>
              <w:left w:val="single" w:sz="4" w:space="0" w:color="000000"/>
            </w:tcBorders>
          </w:tcPr>
          <w:p>
            <w:pPr>
              <w:pStyle w:val="Normal"/>
              <w:spacing w:before="80" w:after="80"/>
              <w:ind w:left="177"/>
              <w:rPr>
                <w:color w:val="000000"/>
                <w:sz w:val="24"/>
              </w:rPr>
            </w:pPr>
            <w:r>
              <w:rPr>
                <w:color w:val="000000"/>
                <w:sz w:val="24"/>
              </w:rPr>
              <w:t>Research Infrastructure</w:t>
            </w:r>
          </w:p>
        </w:tc>
      </w:tr>
      <w:tr>
        <w:trPr/>
        <w:tc>
          <w:tcPr>
            <w:tcW w:w="1275" w:type="dxa"/>
            <w:tcBorders>
              <w:right w:val="single" w:sz="4" w:space="0" w:color="000000"/>
            </w:tcBorders>
          </w:tcPr>
          <w:p>
            <w:pPr>
              <w:pStyle w:val="Normal"/>
              <w:spacing w:before="80" w:after="80"/>
              <w:rPr>
                <w:color w:val="000000"/>
                <w:sz w:val="24"/>
              </w:rPr>
            </w:pPr>
            <w:r>
              <w:rPr>
                <w:color w:val="000000"/>
                <w:sz w:val="24"/>
              </w:rPr>
              <w:t>SB</w:t>
            </w:r>
          </w:p>
        </w:tc>
        <w:tc>
          <w:tcPr>
            <w:tcW w:w="7780" w:type="dxa"/>
            <w:tcBorders>
              <w:left w:val="single" w:sz="4" w:space="0" w:color="000000"/>
            </w:tcBorders>
          </w:tcPr>
          <w:p>
            <w:pPr>
              <w:pStyle w:val="Normal"/>
              <w:spacing w:before="80" w:after="80"/>
              <w:ind w:left="177"/>
              <w:rPr>
                <w:color w:val="000000"/>
                <w:sz w:val="24"/>
              </w:rPr>
            </w:pPr>
            <w:r>
              <w:rPr>
                <w:color w:val="000000"/>
                <w:sz w:val="24"/>
              </w:rPr>
              <w:t>Steering Board</w:t>
            </w:r>
          </w:p>
        </w:tc>
      </w:tr>
      <w:tr>
        <w:trPr/>
        <w:tc>
          <w:tcPr>
            <w:tcW w:w="1275" w:type="dxa"/>
            <w:tcBorders>
              <w:right w:val="single" w:sz="4" w:space="0" w:color="000000"/>
            </w:tcBorders>
          </w:tcPr>
          <w:p>
            <w:pPr>
              <w:pStyle w:val="Normal"/>
              <w:spacing w:before="80" w:after="80"/>
              <w:rPr>
                <w:color w:val="000000"/>
                <w:sz w:val="24"/>
              </w:rPr>
            </w:pPr>
            <w:r>
              <w:rPr>
                <w:color w:val="000000"/>
                <w:sz w:val="24"/>
              </w:rPr>
              <w:t>WP</w:t>
            </w:r>
          </w:p>
        </w:tc>
        <w:tc>
          <w:tcPr>
            <w:tcW w:w="7780" w:type="dxa"/>
            <w:tcBorders>
              <w:left w:val="single" w:sz="4" w:space="0" w:color="000000"/>
            </w:tcBorders>
          </w:tcPr>
          <w:p>
            <w:pPr>
              <w:pStyle w:val="Normal"/>
              <w:spacing w:before="80" w:after="80"/>
              <w:ind w:left="177"/>
              <w:rPr>
                <w:color w:val="000000"/>
                <w:sz w:val="24"/>
              </w:rPr>
            </w:pPr>
            <w:r>
              <w:rPr>
                <w:color w:val="000000"/>
                <w:sz w:val="24"/>
              </w:rPr>
              <w:t>Work Package</w:t>
            </w:r>
          </w:p>
        </w:tc>
      </w:tr>
    </w:tbl>
    <w:p>
      <w:pPr>
        <w:pStyle w:val="Normal"/>
        <w:rPr>
          <w:sz w:val="24"/>
        </w:rPr>
      </w:pPr>
      <w:r>
        <w:rPr>
          <w:sz w:val="24"/>
        </w:rPr>
      </w:r>
      <w:r>
        <w:br w:type="page"/>
      </w:r>
    </w:p>
    <w:p>
      <w:pPr>
        <w:pStyle w:val="Heading1"/>
        <w:numPr>
          <w:ilvl w:val="0"/>
          <w:numId w:val="4"/>
        </w:numPr>
        <w:spacing w:before="0" w:after="240"/>
        <w:rPr>
          <w:rFonts w:cs="Arial"/>
        </w:rPr>
      </w:pPr>
      <w:r>
        <w:rPr>
          <w:rFonts w:cs="Arial"/>
        </w:rPr>
        <w:t>Milestone 5: Production of outlet water at 50°C by high field magnets</w:t>
      </w:r>
    </w:p>
    <w:p>
      <w:pPr>
        <w:pStyle w:val="Normal"/>
        <w:rPr>
          <w:rFonts w:cs="Arial"/>
          <w:lang w:val="en-NZ"/>
        </w:rPr>
      </w:pPr>
      <w:r>
        <w:rPr>
          <w:rFonts w:cs="Arial"/>
          <w:lang w:val="en-NZ"/>
        </w:rPr>
        <w:t>The original idea of establishing this milestone was to investigate if the outlet temperature at the DC magnets could be increased to 50°C so that this waste heat could be used, either directly or indirectly, for a district or a local heating network.</w:t>
      </w:r>
    </w:p>
    <w:p>
      <w:pPr>
        <w:pStyle w:val="Normal"/>
        <w:rPr>
          <w:rFonts w:cs="Arial"/>
          <w:lang w:val="en-NZ"/>
        </w:rPr>
      </w:pPr>
      <w:r>
        <w:rPr>
          <w:rFonts w:cs="Arial"/>
          <w:lang w:val="en-NZ"/>
        </w:rPr>
      </w:r>
    </w:p>
    <w:p>
      <w:pPr>
        <w:pStyle w:val="Normal"/>
        <w:rPr>
          <w:rFonts w:cs="Arial"/>
          <w:lang w:val="en-NZ"/>
        </w:rPr>
      </w:pPr>
      <w:r>
        <w:rPr>
          <w:rFonts w:cs="Arial"/>
          <w:lang w:val="en-NZ"/>
        </w:rPr>
        <w:t>We have now shown that indeed a water outlet temperature above 45°C can be produced in the two European DC high field facilities of the EMFL (HFML Nijmegen and LNCMI Grenoble), (see Fig. 1 and Fig. 2 for two recent typical high-power experiments.</w:t>
      </w:r>
    </w:p>
    <w:p>
      <w:pPr>
        <w:pStyle w:val="Heading1"/>
        <w:numPr>
          <w:ilvl w:val="0"/>
          <w:numId w:val="4"/>
        </w:numPr>
        <w:rPr>
          <w:rFonts w:cs="Arial"/>
        </w:rPr>
      </w:pPr>
      <w:r>
        <w:rPr>
          <w:rFonts w:cs="Arial"/>
        </w:rPr>
        <w:t xml:space="preserve">HMFL-Nijmegen State of the Art </w:t>
      </w:r>
    </w:p>
    <w:p>
      <w:pPr>
        <w:pStyle w:val="Normal"/>
        <w:spacing w:before="120" w:after="0"/>
        <w:rPr>
          <w:rFonts w:cs="Arial"/>
          <w:lang w:val="en-NZ"/>
        </w:rPr>
      </w:pPr>
      <w:r>
        <w:rPr/>
        <w:drawing>
          <wp:inline distT="0" distB="0" distL="0" distR="0">
            <wp:extent cx="5721350" cy="2611120"/>
            <wp:effectExtent l="0" t="0" r="0" b="0"/>
            <wp:docPr id="1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
                    <pic:cNvPicPr>
                      <a:picLocks noChangeAspect="1" noChangeArrowheads="1"/>
                    </pic:cNvPicPr>
                  </pic:nvPicPr>
                  <pic:blipFill>
                    <a:blip r:embed="rId4"/>
                    <a:stretch>
                      <a:fillRect/>
                    </a:stretch>
                  </pic:blipFill>
                  <pic:spPr bwMode="auto">
                    <a:xfrm>
                      <a:off x="0" y="0"/>
                      <a:ext cx="5721350" cy="2611120"/>
                    </a:xfrm>
                    <a:prstGeom prst="rect">
                      <a:avLst/>
                    </a:prstGeom>
                  </pic:spPr>
                </pic:pic>
              </a:graphicData>
            </a:graphic>
          </wp:inline>
        </w:drawing>
      </w:r>
    </w:p>
    <w:p>
      <w:pPr>
        <w:pStyle w:val="Normal"/>
        <w:spacing w:lineRule="auto" w:line="288" w:before="120" w:after="0"/>
        <w:rPr>
          <w:rFonts w:cs="Arial"/>
          <w:sz w:val="24"/>
          <w:lang w:val="en-NZ"/>
        </w:rPr>
      </w:pPr>
      <w:r>
        <w:rPr>
          <w:rFonts w:cs="Arial"/>
          <w:b/>
          <w:lang w:val="en-NZ"/>
        </w:rPr>
        <w:t>Fig. 1:</w:t>
      </w:r>
      <w:r>
        <w:rPr>
          <w:rFonts w:cs="Arial"/>
          <w:color w:val="FF0000"/>
          <w:lang w:val="en-NZ"/>
        </w:rPr>
        <w:t xml:space="preserve">  </w:t>
      </w:r>
      <w:r>
        <w:rPr>
          <w:rFonts w:cs="Arial"/>
          <w:lang w:val="en-NZ"/>
        </w:rPr>
        <w:t>Magnet water outlet temperature at high power at the Nijmegen high field facility on the 21</w:t>
      </w:r>
      <w:r>
        <w:rPr>
          <w:rFonts w:cs="Arial"/>
          <w:vertAlign w:val="superscript"/>
          <w:lang w:val="en-NZ"/>
        </w:rPr>
        <w:t>st</w:t>
      </w:r>
      <w:r>
        <w:rPr>
          <w:rFonts w:cs="Arial"/>
          <w:lang w:val="en-NZ"/>
        </w:rPr>
        <w:t xml:space="preserve"> of June 2025. For this experiment cell 1 was powered with 18 MW (30 T) at a water flow of 140 l/s. The magnet inlet temperature was </w:t>
      </w:r>
      <w:r>
        <w:rPr>
          <w:rFonts w:cs="Arial"/>
          <w:sz w:val="24"/>
          <w:lang w:val="en-NZ"/>
        </w:rPr>
        <w:t>15°C.</w:t>
      </w:r>
    </w:p>
    <w:p>
      <w:pPr>
        <w:pStyle w:val="Normal"/>
        <w:spacing w:lineRule="auto" w:line="288" w:before="120" w:after="0"/>
        <w:rPr>
          <w:rFonts w:cs="Arial"/>
          <w:lang w:val="en-NZ"/>
        </w:rPr>
      </w:pPr>
      <w:r>
        <w:rPr>
          <w:rFonts w:cs="Arial"/>
          <w:lang w:val="en-NZ"/>
        </w:rPr>
      </w:r>
    </w:p>
    <w:p>
      <w:pPr>
        <w:pStyle w:val="Normal"/>
        <w:rPr>
          <w:rFonts w:cs="Arial"/>
          <w:lang w:val="en-NZ"/>
        </w:rPr>
      </w:pPr>
      <w:r>
        <w:rPr>
          <w:rFonts w:cs="Arial"/>
          <w:lang w:val="en-NZ"/>
        </w:rPr>
        <w:t>Technically, the magnet outlet temperature for cell 1 at HFML Nijmegen (Fig. 1) could be straightforwardly increased to above 50°C by either increasing the inlet temperature to 20°C or reducing the water flow to 120 l/s.</w:t>
      </w:r>
    </w:p>
    <w:p>
      <w:pPr>
        <w:pStyle w:val="Normal"/>
        <w:rPr>
          <w:rFonts w:cs="Arial"/>
          <w:lang w:val="en-NZ"/>
        </w:rPr>
      </w:pPr>
      <w:r>
        <w:rPr>
          <w:rFonts w:cs="Arial"/>
          <w:lang w:val="en-NZ"/>
        </w:rPr>
      </w:r>
    </w:p>
    <w:p>
      <w:pPr>
        <w:pStyle w:val="Normal"/>
        <w:rPr>
          <w:rFonts w:cs="Arial"/>
          <w:lang w:val="en-NZ"/>
        </w:rPr>
      </w:pPr>
      <w:r>
        <w:rPr>
          <w:rFonts w:cs="Arial"/>
          <w:lang w:val="en-NZ"/>
        </w:rPr>
        <w:t>In this respect, the milestone “Production of outlet water at 50°C by high field magnets” has been (nearly) reached.</w:t>
      </w:r>
    </w:p>
    <w:p>
      <w:pPr>
        <w:pStyle w:val="Heading1"/>
        <w:numPr>
          <w:ilvl w:val="0"/>
          <w:numId w:val="4"/>
        </w:numPr>
        <w:rPr>
          <w:rFonts w:cs="Arial"/>
        </w:rPr>
      </w:pPr>
      <w:r>
        <w:rPr>
          <w:rFonts w:cs="Arial"/>
        </w:rPr>
        <w:t xml:space="preserve">LNCMI-Grenoble State of the Art </w:t>
      </w:r>
    </w:p>
    <w:p>
      <w:pPr>
        <w:pStyle w:val="Normal"/>
        <w:spacing w:lineRule="auto" w:line="288" w:before="120" w:after="0"/>
        <w:rPr>
          <w:rFonts w:cs="Arial"/>
          <w:sz w:val="24"/>
          <w:lang w:val="en-NZ"/>
        </w:rPr>
      </w:pPr>
      <w:r>
        <w:rPr/>
        <w:drawing>
          <wp:inline distT="0" distB="0" distL="0" distR="0">
            <wp:extent cx="6158865" cy="2216785"/>
            <wp:effectExtent l="0" t="0" r="0" b="0"/>
            <wp:docPr id="1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3" descr=""/>
                    <pic:cNvPicPr>
                      <a:picLocks noChangeAspect="1" noChangeArrowheads="1"/>
                    </pic:cNvPicPr>
                  </pic:nvPicPr>
                  <pic:blipFill>
                    <a:blip r:embed="rId5"/>
                    <a:srcRect l="6165" t="0" r="567" b="0"/>
                    <a:stretch>
                      <a:fillRect/>
                    </a:stretch>
                  </pic:blipFill>
                  <pic:spPr bwMode="auto">
                    <a:xfrm>
                      <a:off x="0" y="0"/>
                      <a:ext cx="6158865" cy="2216785"/>
                    </a:xfrm>
                    <a:prstGeom prst="rect">
                      <a:avLst/>
                    </a:prstGeom>
                  </pic:spPr>
                </pic:pic>
              </a:graphicData>
            </a:graphic>
          </wp:inline>
        </w:drawing>
      </w:r>
    </w:p>
    <w:p>
      <w:pPr>
        <w:pStyle w:val="Normal"/>
        <w:spacing w:lineRule="auto" w:line="288" w:before="120" w:after="0"/>
        <w:rPr>
          <w:rFonts w:cs="Arial"/>
          <w:lang w:val="en-NZ"/>
        </w:rPr>
      </w:pPr>
      <w:r>
        <w:rPr>
          <w:rFonts w:cs="Arial"/>
          <w:b/>
          <w:lang w:val="en-NZ"/>
        </w:rPr>
        <w:t>Fig. 2:</w:t>
      </w:r>
      <w:r>
        <w:rPr>
          <w:rFonts w:cs="Arial"/>
          <w:color w:val="FF0000"/>
          <w:lang w:val="en-NZ"/>
        </w:rPr>
        <w:t xml:space="preserve">  </w:t>
      </w:r>
      <w:r>
        <w:rPr>
          <w:rFonts w:cs="Arial"/>
          <w:lang w:val="en-NZ"/>
        </w:rPr>
        <w:t>High field experiment at LNCMI-Grenoble on the 30</w:t>
      </w:r>
      <w:r>
        <w:rPr>
          <w:rFonts w:cs="Arial"/>
          <w:vertAlign w:val="superscript"/>
          <w:lang w:val="en-NZ"/>
        </w:rPr>
        <w:t>th</w:t>
      </w:r>
      <w:r>
        <w:rPr>
          <w:rFonts w:cs="Arial"/>
          <w:lang w:val="en-NZ"/>
        </w:rPr>
        <w:t xml:space="preserve"> of May 2025.</w:t>
      </w:r>
    </w:p>
    <w:p>
      <w:pPr>
        <w:pStyle w:val="Normal"/>
        <w:spacing w:lineRule="auto" w:line="288" w:before="120" w:after="0"/>
        <w:rPr>
          <w:rFonts w:cs="Arial"/>
          <w:lang w:val="en-NZ"/>
        </w:rPr>
      </w:pPr>
      <w:r>
        <w:rPr>
          <w:rFonts w:cs="Arial"/>
          <w:color w:val="615BC9"/>
          <w:lang w:val="en-NZ"/>
        </w:rPr>
        <w:t>Dark Blue</w:t>
      </w:r>
      <w:r>
        <w:rPr>
          <w:rFonts w:cs="Arial"/>
          <w:lang w:val="en-NZ"/>
        </w:rPr>
        <w:t xml:space="preserve">: Outlet Temp (Max 43.4°C) </w:t>
      </w:r>
      <w:r>
        <w:rPr>
          <w:rFonts w:cs="Arial"/>
          <w:color w:val="00B0F0"/>
          <w:lang w:val="en-NZ"/>
        </w:rPr>
        <w:t>Light Blue</w:t>
      </w:r>
      <w:r>
        <w:rPr>
          <w:rFonts w:cs="Arial"/>
          <w:lang w:val="en-NZ"/>
        </w:rPr>
        <w:t xml:space="preserve">: Magnetic Field (maximum 37 T), </w:t>
      </w:r>
      <w:r>
        <w:rPr>
          <w:rFonts w:cs="Arial"/>
          <w:color w:val="11E47B"/>
          <w:lang w:val="en-NZ"/>
        </w:rPr>
        <w:t>Green</w:t>
      </w:r>
      <w:r>
        <w:rPr>
          <w:rFonts w:cs="Arial"/>
          <w:lang w:val="en-NZ"/>
        </w:rPr>
        <w:t>: electrical power (maximum 25.5 MW). The scale on the right is common to the three parameters. A variable flowrate is set (90 to 255 l/s).</w:t>
      </w:r>
    </w:p>
    <w:p>
      <w:pPr>
        <w:pStyle w:val="Normal"/>
        <w:spacing w:lineRule="auto" w:line="288" w:before="120" w:after="0"/>
        <w:rPr>
          <w:rFonts w:cs="Arial"/>
          <w:lang w:val="en-NZ"/>
        </w:rPr>
      </w:pPr>
      <w:r>
        <w:rPr>
          <w:rFonts w:cs="Arial"/>
          <w:lang w:val="en-NZ"/>
        </w:rPr>
      </w:r>
    </w:p>
    <w:p>
      <w:pPr>
        <w:pStyle w:val="Normal"/>
        <w:rPr>
          <w:rFonts w:cs="Arial"/>
          <w:lang w:val="en-NZ"/>
        </w:rPr>
      </w:pPr>
      <w:r>
        <w:rPr>
          <w:rFonts w:cs="Arial"/>
          <w:lang w:val="en-NZ"/>
        </w:rPr>
        <w:t>Similar data can be obtained for LNCMI-Grenoble (Fig. 2) with a water outlet temperature in excess of 40°C but only when using the installation at high electrical power. Obviously, the same consideration also holds for HFML-Nijmegen.</w:t>
      </w:r>
    </w:p>
    <w:p>
      <w:pPr>
        <w:pStyle w:val="Heading1"/>
        <w:numPr>
          <w:ilvl w:val="0"/>
          <w:numId w:val="4"/>
        </w:numPr>
        <w:rPr>
          <w:rFonts w:cs="Arial"/>
        </w:rPr>
      </w:pPr>
      <w:r>
        <w:rPr>
          <w:rFonts w:cs="Arial"/>
        </w:rPr>
        <w:t xml:space="preserve">Output of the milestone  </w:t>
      </w:r>
    </w:p>
    <w:p>
      <w:pPr>
        <w:pStyle w:val="Normal"/>
        <w:rPr>
          <w:rFonts w:cs="Arial"/>
          <w:lang w:val="en-NZ"/>
        </w:rPr>
      </w:pPr>
      <w:r>
        <w:rPr>
          <w:rFonts w:cs="Arial"/>
          <w:lang w:val="en-NZ"/>
        </w:rPr>
        <w:t>For both installations, outlet temperatures in excess of 40°C could be produced on larger time scales and a larger range of power by optimising or developing variable cooling rates on the primary and/or the secondary cooling loop of each process.</w:t>
      </w:r>
    </w:p>
    <w:p>
      <w:pPr>
        <w:pStyle w:val="Normal"/>
        <w:rPr>
          <w:rFonts w:cs="Arial"/>
          <w:lang w:val="en-NZ"/>
        </w:rPr>
      </w:pPr>
      <w:r>
        <w:rPr>
          <w:rFonts w:cs="Arial"/>
          <w:lang w:val="en-NZ"/>
        </w:rPr>
      </w:r>
    </w:p>
    <w:p>
      <w:pPr>
        <w:pStyle w:val="Normal"/>
        <w:rPr>
          <w:rFonts w:cs="Arial"/>
          <w:lang w:val="en-NZ"/>
        </w:rPr>
      </w:pPr>
      <w:r>
        <w:rPr>
          <w:rFonts w:cs="Arial"/>
          <w:lang w:val="en-NZ"/>
        </w:rPr>
        <w:t>However, the following risks were identified during this work which make these solutions less attractive:</w:t>
      </w:r>
    </w:p>
    <w:p>
      <w:pPr>
        <w:pStyle w:val="ListParagraph"/>
        <w:numPr>
          <w:ilvl w:val="0"/>
          <w:numId w:val="3"/>
        </w:numPr>
        <w:rPr>
          <w:rFonts w:cs="Arial"/>
          <w:lang w:val="en-NZ"/>
        </w:rPr>
      </w:pPr>
      <w:r>
        <w:rPr>
          <w:rFonts w:cs="Arial"/>
          <w:lang w:val="en-NZ"/>
        </w:rPr>
        <w:t xml:space="preserve">A higher average magnet temperature will </w:t>
      </w:r>
      <w:r>
        <w:rPr>
          <w:rFonts w:cs="Arial"/>
          <w:b/>
          <w:lang w:val="en-NZ"/>
        </w:rPr>
        <w:t>reduce the life time of the coils</w:t>
      </w:r>
      <w:r>
        <w:rPr>
          <w:rFonts w:cs="Arial"/>
          <w:lang w:val="en-NZ"/>
        </w:rPr>
        <w:t xml:space="preserve"> by adding thermal constraints to the magnetic pressure</w:t>
      </w:r>
    </w:p>
    <w:p>
      <w:pPr>
        <w:pStyle w:val="ListParagraph"/>
        <w:numPr>
          <w:ilvl w:val="0"/>
          <w:numId w:val="3"/>
        </w:numPr>
        <w:rPr>
          <w:rFonts w:cs="Arial"/>
          <w:lang w:val="en-NZ"/>
        </w:rPr>
      </w:pPr>
      <w:r>
        <w:rPr>
          <w:rFonts w:cs="Arial"/>
          <w:lang w:val="en-NZ"/>
        </w:rPr>
        <w:t xml:space="preserve">The </w:t>
      </w:r>
      <w:r>
        <w:rPr>
          <w:rFonts w:cs="Arial"/>
          <w:b/>
          <w:lang w:val="en-NZ"/>
        </w:rPr>
        <w:t>power consumption</w:t>
      </w:r>
      <w:r>
        <w:rPr>
          <w:rFonts w:cs="Arial"/>
          <w:lang w:val="en-NZ"/>
        </w:rPr>
        <w:t xml:space="preserve"> </w:t>
      </w:r>
      <w:r>
        <w:rPr>
          <w:rFonts w:cs="Arial"/>
          <w:b/>
          <w:lang w:val="en-NZ"/>
        </w:rPr>
        <w:t>of the coils will increase</w:t>
      </w:r>
      <w:r>
        <w:rPr>
          <w:rFonts w:cs="Arial"/>
          <w:lang w:val="en-NZ"/>
        </w:rPr>
        <w:t xml:space="preserve"> due to the larger electrical resistance of copper at higher temperatures (~ 1% of extra power for each 3°C).</w:t>
      </w:r>
    </w:p>
    <w:p>
      <w:pPr>
        <w:pStyle w:val="Normal"/>
        <w:rPr>
          <w:rFonts w:cs="Arial"/>
          <w:b/>
          <w:lang w:val="en-NZ"/>
        </w:rPr>
      </w:pPr>
      <w:r>
        <w:rPr>
          <w:rFonts w:cs="Arial"/>
          <w:lang w:val="en-NZ"/>
        </w:rPr>
        <w:t>Therefore, as stated in our milestone prolongation request to the EU (Feb. 2025), 50°C on the magnet outlet would be energetically unfavourable for an optimal magnet performance and could ruin the Life Cycle Assessment (LCA) of the high field magnets considering heating services (see also</w:t>
      </w:r>
      <w:r>
        <w:rPr>
          <w:rFonts w:cs="Arial"/>
          <w:b/>
          <w:lang w:val="en-NZ"/>
        </w:rPr>
        <w:t xml:space="preserve"> D.7.3 due in month 35</w:t>
      </w:r>
      <w:r>
        <w:rPr>
          <w:rFonts w:cs="Arial"/>
          <w:lang w:val="en-NZ"/>
        </w:rPr>
        <w:t>)</w:t>
      </w:r>
      <w:r>
        <w:rPr>
          <w:rFonts w:cs="Arial"/>
          <w:b/>
          <w:lang w:val="en-NZ"/>
        </w:rPr>
        <w:t>.</w:t>
      </w:r>
    </w:p>
    <w:p>
      <w:pPr>
        <w:pStyle w:val="Normal"/>
        <w:rPr>
          <w:rFonts w:cs="Arial"/>
          <w:lang w:val="en-NZ"/>
        </w:rPr>
      </w:pPr>
      <w:r>
        <w:rPr>
          <w:rFonts w:cs="Arial"/>
          <w:lang w:val="en-NZ"/>
        </w:rPr>
      </w:r>
    </w:p>
    <w:p>
      <w:pPr>
        <w:pStyle w:val="Normal"/>
        <w:rPr>
          <w:rFonts w:cs="Arial"/>
          <w:lang w:val="en-NZ"/>
        </w:rPr>
      </w:pPr>
      <w:r>
        <w:rPr>
          <w:rFonts w:cs="Arial"/>
          <w:lang w:val="en-NZ"/>
        </w:rPr>
        <w:t xml:space="preserve">Additionally, on the two high field facilities the magnet outlet temperature averaged over several hours at an average power of 6 MW only amounts to ~25°C. </w:t>
      </w:r>
    </w:p>
    <w:p>
      <w:pPr>
        <w:pStyle w:val="Normal"/>
        <w:rPr>
          <w:rFonts w:cs="Arial"/>
          <w:lang w:val="en-NZ"/>
        </w:rPr>
      </w:pPr>
      <w:r>
        <w:rPr>
          <w:rFonts w:cs="Arial"/>
          <w:lang w:val="en-NZ"/>
        </w:rPr>
        <w:t xml:space="preserve">Therefore, while outlet temperatures in the range 40° to 50°C are technically reachable, it will be not efficient to rely on this number for long-term heating applications. </w:t>
      </w:r>
    </w:p>
    <w:p>
      <w:pPr>
        <w:pStyle w:val="Heading1"/>
        <w:numPr>
          <w:ilvl w:val="0"/>
          <w:numId w:val="4"/>
        </w:numPr>
        <w:rPr>
          <w:rFonts w:cs="Arial"/>
        </w:rPr>
      </w:pPr>
      <w:r>
        <w:rPr>
          <w:rFonts w:cs="Arial"/>
        </w:rPr>
        <w:t>Conclusion</w:t>
      </w:r>
    </w:p>
    <w:p>
      <w:pPr>
        <w:pStyle w:val="Normal"/>
        <w:rPr>
          <w:rFonts w:cs="Arial"/>
          <w:lang w:val="en-NZ"/>
        </w:rPr>
      </w:pPr>
      <w:r>
        <w:rPr>
          <w:rFonts w:cs="Arial"/>
          <w:lang w:val="en-NZ"/>
        </w:rPr>
        <w:t xml:space="preserve">The work for the establishment of this milestone has modified our reasoning on heat recovery development. The present milestone was at the beginning based on the question “what is required from outside the RIs?” (namely 50°C water for district or local heating applications). In the FlexRICAN project we are now moving to a more global view which considers the RIs and the heating districts managers as stakeholders of a common project. </w:t>
      </w:r>
    </w:p>
    <w:p>
      <w:pPr>
        <w:pStyle w:val="Normal"/>
        <w:rPr>
          <w:rFonts w:cs="Arial"/>
          <w:lang w:val="en-NZ"/>
        </w:rPr>
      </w:pPr>
      <w:r>
        <w:rPr>
          <w:rFonts w:cs="Arial"/>
          <w:lang w:val="en-NZ"/>
        </w:rPr>
      </w:r>
    </w:p>
    <w:p>
      <w:pPr>
        <w:pStyle w:val="Normal"/>
        <w:rPr>
          <w:rFonts w:cs="Arial"/>
          <w:lang w:val="en-NZ"/>
        </w:rPr>
      </w:pPr>
      <w:r>
        <w:rPr>
          <w:rFonts w:cs="Arial"/>
          <w:lang w:val="en-NZ"/>
        </w:rPr>
        <w:t>Therefore, it implies to develop parametric studies on outlet temperature to study the global Life Cycle Assessment of the heat valorisation process. The open access Software OMEGAlpes is now used in the project for this purpose.</w:t>
      </w:r>
    </w:p>
    <w:p>
      <w:pPr>
        <w:pStyle w:val="Normal"/>
        <w:rPr>
          <w:rFonts w:cs="Arial"/>
          <w:lang w:val="en-NZ"/>
        </w:rPr>
      </w:pPr>
      <w:r>
        <w:rPr>
          <w:rFonts w:cs="Arial"/>
          <w:lang w:val="en-NZ"/>
        </w:rPr>
      </w:r>
    </w:p>
    <w:p>
      <w:pPr>
        <w:pStyle w:val="Normal"/>
        <w:rPr>
          <w:rFonts w:cs="Arial"/>
          <w:lang w:val="en-NZ"/>
        </w:rPr>
      </w:pPr>
      <w:r>
        <w:rPr>
          <w:rFonts w:cs="Arial"/>
          <w:lang w:val="en-NZ"/>
        </w:rPr>
        <w:t xml:space="preserve">OMEGAlpes Energetic Notebooks developed to prepare </w:t>
      </w:r>
      <w:r>
        <w:rPr>
          <w:rFonts w:cs="Arial"/>
          <w:b/>
          <w:lang w:val="en-NZ"/>
        </w:rPr>
        <w:t xml:space="preserve">D.6. 1 </w:t>
      </w:r>
      <w:r>
        <w:rPr>
          <w:rFonts w:cs="Arial"/>
          <w:lang w:val="en-NZ"/>
        </w:rPr>
        <w:t>(due month 35) are including the specific environment of each RI. Consequently, they will be a valuable tool to contribute to develop the global approach by integrating in the energetical model:</w:t>
      </w:r>
    </w:p>
    <w:p>
      <w:pPr>
        <w:pStyle w:val="ListParagraph"/>
        <w:numPr>
          <w:ilvl w:val="0"/>
          <w:numId w:val="2"/>
        </w:numPr>
        <w:rPr>
          <w:rFonts w:cs="Arial"/>
          <w:lang w:val="en-NZ"/>
        </w:rPr>
      </w:pPr>
      <w:r>
        <w:rPr>
          <w:rFonts w:cs="Arial"/>
          <w:lang w:val="en-NZ"/>
        </w:rPr>
        <w:t xml:space="preserve">the aquifer thermal energy storage (ATES) in operation in Nijmegen, </w:t>
      </w:r>
    </w:p>
    <w:p>
      <w:pPr>
        <w:pStyle w:val="ListParagraph"/>
        <w:numPr>
          <w:ilvl w:val="0"/>
          <w:numId w:val="2"/>
        </w:numPr>
        <w:rPr>
          <w:rFonts w:cs="Arial"/>
          <w:lang w:val="en-NZ"/>
        </w:rPr>
      </w:pPr>
      <w:r>
        <w:rPr>
          <w:rFonts w:cs="Arial"/>
          <w:lang w:val="en-NZ"/>
        </w:rPr>
        <w:t xml:space="preserve">the potential development of an interseasonal storage in Grenoble in collaboration with the ESRF and the city district. </w:t>
      </w:r>
    </w:p>
    <w:p>
      <w:pPr>
        <w:pStyle w:val="Normal"/>
        <w:rPr>
          <w:rFonts w:cs="Arial"/>
        </w:rPr>
      </w:pPr>
      <w:r>
        <w:rPr>
          <w:rFonts w:cs="Arial"/>
        </w:rPr>
        <w:t xml:space="preserve">Systems such as these typically only require water temperatures of ~25°C, which is then the heat source for heat pumps that warm buildings. RIs often can easily access this temperature level and provide vast quantities of valuable heat. Indeed, this has been shown in Nijmegen with the ATES that heats the university buildings. </w:t>
      </w:r>
    </w:p>
    <w:p>
      <w:pPr>
        <w:pStyle w:val="Normal"/>
        <w:rPr>
          <w:rFonts w:cs="Arial"/>
        </w:rPr>
      </w:pPr>
      <w:r>
        <w:rPr>
          <w:rFonts w:cs="Arial"/>
        </w:rPr>
      </w:r>
    </w:p>
    <w:p>
      <w:pPr>
        <w:pStyle w:val="Normal"/>
        <w:rPr>
          <w:rFonts w:cs="Arial"/>
        </w:rPr>
      </w:pPr>
      <w:r>
        <w:rPr>
          <w:rFonts w:cs="Arial"/>
        </w:rPr>
        <w:t xml:space="preserve">This way RIs can offer an important example in sustainability, which stimulates industry, such as data centers, to follow suit. Our FlexRICAN partner Alfa Laval has, in parallel, proven this very same point, see, e.g </w:t>
      </w:r>
    </w:p>
    <w:p>
      <w:pPr>
        <w:pStyle w:val="Normal"/>
        <w:rPr>
          <w:rFonts w:cs="Arial"/>
          <w:szCs w:val="22"/>
        </w:rPr>
      </w:pPr>
      <w:hyperlink r:id="rId6">
        <w:r>
          <w:rPr>
            <w:rStyle w:val="Hyperlink"/>
            <w:rFonts w:cs="Arial"/>
            <w:szCs w:val="22"/>
          </w:rPr>
          <w:t>https://sustainability.fb.com/wp-content/uploads/2020/12/FB_Denmark-Data-Center-to-Warm-Local-Community.pdf</w:t>
        </w:r>
      </w:hyperlink>
      <w:r>
        <w:rPr>
          <w:rFonts w:cs="Arial"/>
          <w:szCs w:val="22"/>
        </w:rPr>
        <w:t>.</w:t>
      </w:r>
    </w:p>
    <w:p>
      <w:pPr>
        <w:pStyle w:val="Normal"/>
        <w:rPr>
          <w:rFonts w:cs="Arial"/>
        </w:rPr>
      </w:pPr>
      <w:r>
        <w:rPr>
          <w:rFonts w:cs="Arial"/>
        </w:rPr>
        <w:t xml:space="preserve">As such, this is already on its own an important outcome of the FlexRICAN project and our investigations to establish milestone 5. </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18" w:right="1474" w:gutter="0" w:header="720" w:top="846" w:footer="720" w:bottom="1440"/>
      <w:pgNumType w:start="0"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Arial">
    <w:charset w:val="01"/>
    <w:family w:val="swiss"/>
    <w:pitch w:val="variable"/>
  </w:font>
  <w:font w:name="Calibri">
    <w:charset w:val="01"/>
    <w:family w:val="swiss"/>
    <w:pitch w:val="variable"/>
  </w:font>
  <w:font w:name="Cambria">
    <w:charset w:val="01"/>
    <w:family w:val="swiss"/>
    <w:pitch w:val="variable"/>
  </w:font>
  <w:font w:name="Segoe UI">
    <w:charset w:val="01"/>
    <w:family w:val="swiss"/>
    <w:pitch w:val="variable"/>
  </w:font>
  <w:font w:name="Carlito">
    <w:altName w:val="Calibri"/>
    <w:charset w:val="01"/>
    <w:family w:val="swiss"/>
    <w:pitch w:val="variable"/>
  </w:font>
  <w:font w:name="Times New Roman">
    <w:charset w:val="01"/>
    <w:family w:val="roman"/>
    <w:pitch w:val="variable"/>
  </w:font>
  <w:font w:name="Georgia">
    <w:charset w:val="01"/>
    <w:family w:val="roman"/>
    <w:pitch w:val="variable"/>
  </w:font>
  <w:font w:name="OpenSymbol">
    <w:altName w:val="Arial Unicode MS"/>
    <w:charset w:val="01"/>
    <w:family w:val="auto"/>
    <w:pitch w:val="default"/>
  </w:font>
  <w:font w:name="TimesNewRomanPSMT">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spacing w:lineRule="auto" w:line="240"/>
      <w:jc w:val="center"/>
      <w:rPr>
        <w:rFonts w:eastAsia="Arial" w:cs="Arial"/>
        <w:color w:val="000000"/>
        <w:szCs w:val="22"/>
      </w:rPr>
    </w:pPr>
    <w:r>
      <w:rPr>
        <w:rFonts w:eastAsia="Arial" w:cs="Arial"/>
        <w:color w:val="000000"/>
        <w:szCs w:val="22"/>
      </w:rPr>
      <w:fldChar w:fldCharType="begin"/>
    </w:r>
    <w:r>
      <w:rPr>
        <w:szCs w:val="22"/>
        <w:rFonts w:eastAsia="Arial" w:cs="Arial"/>
        <w:color w:val="000000"/>
      </w:rPr>
      <w:instrText xml:space="preserve"> PAGE </w:instrText>
    </w:r>
    <w:r>
      <w:rPr>
        <w:szCs w:val="22"/>
        <w:rFonts w:eastAsia="Arial" w:cs="Arial"/>
        <w:color w:val="000000"/>
      </w:rPr>
      <w:fldChar w:fldCharType="separate"/>
    </w:r>
    <w:r>
      <w:rPr>
        <w:szCs w:val="22"/>
        <w:rFonts w:eastAsia="Arial" w:cs="Arial"/>
        <w:color w:val="000000"/>
      </w:rPr>
      <w:t>0</w:t>
    </w:r>
    <w:r>
      <w:rPr>
        <w:szCs w:val="22"/>
        <w:rFonts w:eastAsia="Arial" w:cs="Arial"/>
        <w:color w:val="000000"/>
      </w:rPr>
      <w:fldChar w:fldCharType="end"/>
    </w:r>
  </w:p>
  <w:p>
    <w:pPr>
      <w:pStyle w:val="Normal"/>
      <w:pBdr/>
      <w:tabs>
        <w:tab w:val="clear" w:pos="720"/>
        <w:tab w:val="center" w:pos="4320" w:leader="none"/>
        <w:tab w:val="right" w:pos="8640" w:leader="none"/>
      </w:tabs>
      <w:spacing w:lineRule="auto" w:line="240"/>
      <w:rPr>
        <w:rFonts w:eastAsia="Arial" w:cs="Arial"/>
        <w:color w:val="000000"/>
        <w:szCs w:val="22"/>
      </w:rPr>
    </w:pPr>
    <w:r>
      <w:rPr>
        <w:rFonts w:eastAsia="Arial" w:cs="Arial"/>
        <w:color w:val="000000"/>
        <w:szCs w:val="22"/>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spacing w:lineRule="auto" w:line="240"/>
      <w:jc w:val="center"/>
      <w:rPr>
        <w:rFonts w:eastAsia="Arial" w:cs="Arial"/>
        <w:color w:val="000000"/>
        <w:szCs w:val="22"/>
      </w:rPr>
    </w:pPr>
    <w:r>
      <w:rPr>
        <w:rFonts w:eastAsia="Arial" w:cs="Arial"/>
        <w:color w:val="000000"/>
        <w:szCs w:val="22"/>
      </w:rPr>
      <w:fldChar w:fldCharType="begin"/>
    </w:r>
    <w:r>
      <w:rPr>
        <w:szCs w:val="22"/>
        <w:rFonts w:eastAsia="Arial" w:cs="Arial"/>
        <w:color w:val="000000"/>
      </w:rPr>
      <w:instrText xml:space="preserve"> PAGE </w:instrText>
    </w:r>
    <w:r>
      <w:rPr>
        <w:szCs w:val="22"/>
        <w:rFonts w:eastAsia="Arial" w:cs="Arial"/>
        <w:color w:val="000000"/>
      </w:rPr>
      <w:fldChar w:fldCharType="separate"/>
    </w:r>
    <w:r>
      <w:rPr>
        <w:szCs w:val="22"/>
        <w:rFonts w:eastAsia="Arial" w:cs="Arial"/>
        <w:color w:val="000000"/>
      </w:rPr>
      <w:t>6</w:t>
    </w:r>
    <w:r>
      <w:rPr>
        <w:szCs w:val="22"/>
        <w:rFonts w:eastAsia="Arial" w:cs="Arial"/>
        <w:color w:val="000000"/>
      </w:rPr>
      <w:fldChar w:fldCharType="end"/>
    </w:r>
  </w:p>
  <w:p>
    <w:pPr>
      <w:pStyle w:val="Normal"/>
      <w:pBdr/>
      <w:tabs>
        <w:tab w:val="clear" w:pos="720"/>
        <w:tab w:val="center" w:pos="4320" w:leader="none"/>
        <w:tab w:val="right" w:pos="8640" w:leader="none"/>
      </w:tabs>
      <w:spacing w:lineRule="auto" w:line="240"/>
      <w:rPr>
        <w:rFonts w:eastAsia="Arial" w:cs="Arial"/>
        <w:color w:val="000000"/>
        <w:szCs w:val="22"/>
      </w:rPr>
    </w:pPr>
    <w:r>
      <w:rPr>
        <w:rFonts w:eastAsia="Arial" w:cs="Arial"/>
        <w:color w:val="000000"/>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spacing w:lineRule="auto" w:line="240"/>
      <w:rPr>
        <w:rFonts w:eastAsia="Arial" w:cs="Arial"/>
        <w:color w:val="000000"/>
        <w:szCs w:val="22"/>
      </w:rPr>
    </w:pPr>
    <w:r>
      <w:rPr>
        <w:rFonts w:eastAsia="Arial" w:cs="Arial"/>
        <w:color w:val="000000"/>
        <w:szCs w:val="22"/>
      </w:rPr>
      <w:t>[Type text][Type text][Type text]</w:t>
    </w:r>
  </w:p>
  <w:p>
    <w:pPr>
      <w:pStyle w:val="Normal"/>
      <w:pBdr/>
      <w:tabs>
        <w:tab w:val="clear" w:pos="720"/>
        <w:tab w:val="center" w:pos="4320" w:leader="none"/>
        <w:tab w:val="right" w:pos="8640" w:leader="none"/>
      </w:tabs>
      <w:spacing w:lineRule="auto" w:line="240"/>
      <w:rPr>
        <w:rFonts w:eastAsia="Arial" w:cs="Arial"/>
        <w:color w:val="000000"/>
        <w:szCs w:val="22"/>
      </w:rPr>
    </w:pPr>
    <w:r>
      <w:rPr>
        <w:rFonts w:eastAsia="Arial" w:cs="Arial"/>
        <w:color w:val="000000"/>
        <w:szCs w:val="22"/>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spacing w:lineRule="auto" w:line="240"/>
      <w:rPr>
        <w:rFonts w:eastAsia="Arial" w:cs="Arial"/>
        <w:color w:val="000000"/>
        <w:sz w:val="20"/>
        <w:szCs w:val="20"/>
      </w:rPr>
    </w:pPr>
    <w:r>
      <w:rPr>
        <w:rFonts w:eastAsia="Arial" w:cs="Arial"/>
        <w:color w:val="000000"/>
        <w:sz w:val="20"/>
        <w:szCs w:val="20"/>
      </w:rPr>
      <w:drawing>
        <wp:anchor behindDoc="1" distT="0" distB="0" distL="114300" distR="114300" simplePos="0" locked="0" layoutInCell="0" allowOverlap="1" relativeHeight="9">
          <wp:simplePos x="0" y="0"/>
          <wp:positionH relativeFrom="column">
            <wp:posOffset>4257040</wp:posOffset>
          </wp:positionH>
          <wp:positionV relativeFrom="paragraph">
            <wp:posOffset>-138430</wp:posOffset>
          </wp:positionV>
          <wp:extent cx="1728470" cy="506095"/>
          <wp:effectExtent l="0" t="0" r="0" b="0"/>
          <wp:wrapSquare wrapText="bothSides"/>
          <wp:docPr id="14"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descr=""/>
                  <pic:cNvPicPr>
                    <a:picLocks noChangeAspect="1" noChangeArrowheads="1"/>
                  </pic:cNvPicPr>
                </pic:nvPicPr>
                <pic:blipFill>
                  <a:blip r:embed="rId1"/>
                  <a:srcRect l="0" t="0" r="5920" b="53604"/>
                  <a:stretch>
                    <a:fillRect/>
                  </a:stretch>
                </pic:blipFill>
                <pic:spPr bwMode="auto">
                  <a:xfrm>
                    <a:off x="0" y="0"/>
                    <a:ext cx="1728470" cy="506095"/>
                  </a:xfrm>
                  <a:prstGeom prst="rect">
                    <a:avLst/>
                  </a:prstGeom>
                </pic:spPr>
              </pic:pic>
            </a:graphicData>
          </a:graphic>
        </wp:anchor>
      </w:drawing>
    </w:r>
    <w:r>
      <w:rPr>
        <w:rFonts w:eastAsia="Arial" w:cs="Arial"/>
        <w:color w:val="000000"/>
        <w:sz w:val="20"/>
        <w:szCs w:val="20"/>
      </w:rPr>
      <w:t xml:space="preserve">Grant Agreement No. 101131516 </w:t>
    </w:r>
  </w:p>
  <w:p>
    <w:pPr>
      <w:pStyle w:val="Normal"/>
      <w:pBdr/>
      <w:tabs>
        <w:tab w:val="clear" w:pos="720"/>
        <w:tab w:val="center" w:pos="4320" w:leader="none"/>
        <w:tab w:val="right" w:pos="8640" w:leader="none"/>
      </w:tabs>
      <w:spacing w:lineRule="auto" w:line="240"/>
      <w:rPr>
        <w:rFonts w:eastAsia="Arial" w:cs="Arial"/>
        <w:color w:val="000000"/>
        <w:szCs w:val="22"/>
      </w:rPr>
    </w:pPr>
    <w:r>
      <w:rPr>
        <w:rFonts w:eastAsia="Arial" w:cs="Arial"/>
        <w:color w:val="000000"/>
        <w:szCs w:val="22"/>
      </w:rPr>
    </w:r>
  </w:p>
  <w:p>
    <w:pPr>
      <w:pStyle w:val="Normal"/>
      <w:pBdr/>
      <w:tabs>
        <w:tab w:val="clear" w:pos="720"/>
        <w:tab w:val="center" w:pos="4320" w:leader="none"/>
        <w:tab w:val="right" w:pos="8640" w:leader="none"/>
      </w:tabs>
      <w:spacing w:lineRule="auto" w:line="240"/>
      <w:rPr>
        <w:rFonts w:eastAsia="Arial" w:cs="Arial"/>
        <w:color w:val="000000"/>
        <w:szCs w:val="22"/>
      </w:rPr>
    </w:pPr>
    <w:r>
      <w:rPr>
        <w:rFonts w:eastAsia="Arial" w:cs="Arial"/>
        <w:color w:val="000000"/>
        <w:szCs w:val="22"/>
      </w:rPr>
    </w:r>
  </w:p>
  <w:p>
    <w:pPr>
      <w:pStyle w:val="Normal"/>
      <w:pBdr/>
      <w:tabs>
        <w:tab w:val="clear" w:pos="720"/>
        <w:tab w:val="center" w:pos="4320" w:leader="none"/>
        <w:tab w:val="right" w:pos="8640" w:leader="none"/>
      </w:tabs>
      <w:spacing w:lineRule="auto" w:line="240"/>
      <w:rPr>
        <w:rFonts w:eastAsia="Arial" w:cs="Arial"/>
        <w:color w:val="000000"/>
        <w:szCs w:val="22"/>
      </w:rPr>
    </w:pPr>
    <w:r>
      <w:rPr>
        <w:rFonts w:eastAsia="Arial" w:cs="Arial"/>
        <w:color w:val="000000"/>
        <w:szCs w:val="2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pStyle w:val="Heading3"/>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numFmt w:val="bullet"/>
      <w:lvlText w:val="-"/>
      <w:lvlJc w:val="left"/>
      <w:pPr>
        <w:tabs>
          <w:tab w:val="num" w:pos="0"/>
        </w:tabs>
        <w:ind w:left="720" w:hanging="360"/>
      </w:pPr>
      <w:rPr>
        <w:rFonts w:ascii="TimesNewRomanPSMT" w:hAnsi="TimesNewRomanPSMT" w:cs="TimesNewRomanPSMT" w:hint="default"/>
        <w:rFonts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Times New Roman" w:hAnsi="Times New Roman" w:cs="Times New Roman" w:hint="default"/>
        <w:b/>
        <w:rFonts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NL"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GB"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6646e4"/>
    <w:pPr>
      <w:widowControl/>
      <w:bidi w:val="0"/>
      <w:spacing w:lineRule="auto" w:line="360" w:before="0" w:after="0"/>
      <w:jc w:val="both"/>
    </w:pPr>
    <w:rPr>
      <w:rFonts w:eastAsia="Times New Roman" w:cs="Times New Roman" w:ascii="Arial" w:hAnsi="Arial"/>
      <w:color w:val="auto"/>
      <w:kern w:val="0"/>
      <w:sz w:val="22"/>
      <w:szCs w:val="24"/>
      <w:lang w:val="en-US" w:eastAsia="en-GB" w:bidi="ar-SA"/>
    </w:rPr>
  </w:style>
  <w:style w:type="paragraph" w:styleId="Heading1">
    <w:name w:val="Heading 1"/>
    <w:basedOn w:val="Normal"/>
    <w:next w:val="Normal"/>
    <w:link w:val="Heading1Char"/>
    <w:uiPriority w:val="9"/>
    <w:qFormat/>
    <w:rsid w:val="00397bd5"/>
    <w:pPr>
      <w:keepNext w:val="true"/>
      <w:keepLines/>
      <w:numPr>
        <w:ilvl w:val="0"/>
        <w:numId w:val="4"/>
      </w:numPr>
      <w:spacing w:before="480" w:after="240"/>
      <w:outlineLvl w:val="0"/>
    </w:pPr>
    <w:rPr>
      <w:rFonts w:eastAsia="맑은 고딕" w:cs="Calibri" w:eastAsiaTheme="majorEastAsia"/>
      <w:b/>
      <w:color w:val="2098D3"/>
      <w:sz w:val="28"/>
      <w:szCs w:val="26"/>
      <w:lang w:val="en-GB"/>
    </w:rPr>
  </w:style>
  <w:style w:type="paragraph" w:styleId="Heading2">
    <w:name w:val="Heading 2"/>
    <w:basedOn w:val="Heading1"/>
    <w:next w:val="TEXT"/>
    <w:link w:val="Heading2Char"/>
    <w:uiPriority w:val="9"/>
    <w:unhideWhenUsed/>
    <w:qFormat/>
    <w:rsid w:val="006646e4"/>
    <w:pPr>
      <w:outlineLvl w:val="1"/>
    </w:pPr>
    <w:rPr/>
  </w:style>
  <w:style w:type="paragraph" w:styleId="Heading3">
    <w:name w:val="Heading 3"/>
    <w:basedOn w:val="Normal"/>
    <w:next w:val="Normal"/>
    <w:link w:val="Heading3Char"/>
    <w:uiPriority w:val="9"/>
    <w:unhideWhenUsed/>
    <w:qFormat/>
    <w:rsid w:val="006646e4"/>
    <w:pPr>
      <w:keepNext w:val="true"/>
      <w:keepLines/>
      <w:numPr>
        <w:ilvl w:val="2"/>
        <w:numId w:val="1"/>
      </w:numPr>
      <w:spacing w:before="240" w:after="120"/>
      <w:ind w:hanging="709" w:left="709"/>
      <w:outlineLvl w:val="2"/>
    </w:pPr>
    <w:rPr>
      <w:rFonts w:eastAsia="맑은 고딕" w:cs="Calibri" w:eastAsiaTheme="majorEastAsia"/>
      <w:b/>
      <w:color w:val="2098D3"/>
      <w:sz w:val="24"/>
      <w:szCs w:val="22"/>
      <w:lang w:val="en-GB"/>
    </w:rPr>
  </w:style>
  <w:style w:type="paragraph" w:styleId="Heading4">
    <w:name w:val="Heading 4"/>
    <w:next w:val="Normal"/>
    <w:link w:val="Heading4Char"/>
    <w:uiPriority w:val="9"/>
    <w:unhideWhenUsed/>
    <w:qFormat/>
    <w:rsid w:val="004b4335"/>
    <w:pPr>
      <w:widowControl/>
      <w:bidi w:val="0"/>
      <w:spacing w:lineRule="auto" w:line="360" w:before="0" w:after="0"/>
      <w:ind w:hanging="932" w:left="993"/>
      <w:jc w:val="both"/>
      <w:outlineLvl w:val="3"/>
    </w:pPr>
    <w:rPr>
      <w:rFonts w:eastAsia="맑은 고딕" w:cs="Calibri" w:eastAsiaTheme="majorEastAsia" w:ascii="Arial" w:hAnsi="Arial"/>
      <w:i/>
      <w:color w:val="2098D3"/>
      <w:kern w:val="0"/>
      <w:sz w:val="20"/>
      <w:szCs w:val="22"/>
      <w:lang w:val="en-GB" w:eastAsia="en-GB" w:bidi="ar-SA"/>
    </w:rPr>
  </w:style>
  <w:style w:type="paragraph" w:styleId="Heading5">
    <w:name w:val="Heading 5"/>
    <w:basedOn w:val="Normal"/>
    <w:next w:val="Normal"/>
    <w:link w:val="Heading5Char"/>
    <w:uiPriority w:val="9"/>
    <w:semiHidden/>
    <w:unhideWhenUsed/>
    <w:qFormat/>
    <w:rsid w:val="00a65807"/>
    <w:pPr>
      <w:keepNext w:val="true"/>
      <w:keepLines/>
      <w:spacing w:before="40" w:after="0"/>
      <w:outlineLvl w:val="4"/>
    </w:pPr>
    <w:rPr>
      <w:rFonts w:ascii="Calibri" w:hAnsi="Calibri" w:eastAsia="맑은 고딕" w:cs="" w:asciiTheme="majorHAnsi" w:cstheme="majorBidi" w:eastAsiaTheme="majorEastAsia" w:hAnsiTheme="majorHAnsi"/>
      <w:color w:themeColor="accent1" w:themeShade="bf" w:val="365F91"/>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4c5ce0"/>
    <w:rPr>
      <w:rFonts w:ascii="Calibri" w:hAnsi="Calibri" w:eastAsia="Times New Roman" w:cs="Times New Roman"/>
      <w:szCs w:val="24"/>
    </w:rPr>
  </w:style>
  <w:style w:type="character" w:styleId="FooterChar" w:customStyle="1">
    <w:name w:val="Footer Char"/>
    <w:basedOn w:val="DefaultParagraphFont"/>
    <w:link w:val="Footer"/>
    <w:uiPriority w:val="99"/>
    <w:qFormat/>
    <w:rsid w:val="004c5ce0"/>
    <w:rPr>
      <w:rFonts w:ascii="Calibri" w:hAnsi="Calibri" w:eastAsia="Times New Roman" w:cs="Times New Roman"/>
      <w:szCs w:val="24"/>
    </w:rPr>
  </w:style>
  <w:style w:type="character" w:styleId="PageNumber">
    <w:name w:val="Page Number"/>
    <w:basedOn w:val="DefaultParagraphFont"/>
    <w:uiPriority w:val="99"/>
    <w:semiHidden/>
    <w:unhideWhenUsed/>
    <w:rsid w:val="004c5ce0"/>
    <w:rPr/>
  </w:style>
  <w:style w:type="character" w:styleId="NoSpacingChar" w:customStyle="1">
    <w:name w:val="No Spacing Char"/>
    <w:basedOn w:val="DefaultParagraphFont"/>
    <w:link w:val="NoSpacing"/>
    <w:uiPriority w:val="1"/>
    <w:qFormat/>
    <w:rsid w:val="004b2a5e"/>
    <w:rPr>
      <w:rFonts w:ascii="Cambria" w:hAnsi="Cambria" w:asciiTheme="minorHAnsi" w:hAnsiTheme="minorHAnsi"/>
      <w:lang w:eastAsia="zh-CN"/>
    </w:rPr>
  </w:style>
  <w:style w:type="character" w:styleId="EndnoteTextChar" w:customStyle="1">
    <w:name w:val="Endnote Text Char"/>
    <w:basedOn w:val="DefaultParagraphFont"/>
    <w:link w:val="EndnoteText"/>
    <w:uiPriority w:val="99"/>
    <w:semiHidden/>
    <w:qFormat/>
    <w:rsid w:val="00b146b4"/>
    <w:rPr>
      <w:rFonts w:ascii="Calibri" w:hAnsi="Calibri" w:eastAsia="Times New Roman" w:cs="Times New Roman"/>
      <w:sz w:val="20"/>
      <w:szCs w:val="20"/>
    </w:rPr>
  </w:style>
  <w:style w:type="character" w:styleId="EndnoteCharacters">
    <w:name w:val="Endnote Characters"/>
    <w:basedOn w:val="DefaultParagraphFont"/>
    <w:uiPriority w:val="99"/>
    <w:semiHidden/>
    <w:unhideWhenUsed/>
    <w:qFormat/>
    <w:rsid w:val="00b146b4"/>
    <w:rPr>
      <w:vertAlign w:val="superscript"/>
    </w:rPr>
  </w:style>
  <w:style w:type="character" w:styleId="EndnoteReference">
    <w:name w:val="Endnote Reference"/>
    <w:rPr>
      <w:vertAlign w:val="superscript"/>
    </w:rPr>
  </w:style>
  <w:style w:type="character" w:styleId="FootnoteTextChar" w:customStyle="1">
    <w:name w:val="Footnote Text Char"/>
    <w:basedOn w:val="DefaultParagraphFont"/>
    <w:link w:val="FootnoteText"/>
    <w:uiPriority w:val="99"/>
    <w:semiHidden/>
    <w:qFormat/>
    <w:rsid w:val="00b146b4"/>
    <w:rPr>
      <w:rFonts w:ascii="Calibri" w:hAnsi="Calibri" w:eastAsia="Times New Roman" w:cs="Times New Roman"/>
      <w:sz w:val="20"/>
      <w:szCs w:val="20"/>
    </w:rPr>
  </w:style>
  <w:style w:type="character" w:styleId="FootnoteCharacters">
    <w:name w:val="Footnote Characters"/>
    <w:basedOn w:val="DefaultParagraphFont"/>
    <w:uiPriority w:val="99"/>
    <w:semiHidden/>
    <w:unhideWhenUsed/>
    <w:qFormat/>
    <w:rsid w:val="00b146b4"/>
    <w:rPr>
      <w:vertAlign w:val="superscript"/>
    </w:rPr>
  </w:style>
  <w:style w:type="character" w:styleId="FootnoteReference">
    <w:name w:val="Footnote Reference"/>
    <w:rPr>
      <w:vertAlign w:val="superscript"/>
    </w:rPr>
  </w:style>
  <w:style w:type="character" w:styleId="Heading1Char" w:customStyle="1">
    <w:name w:val="Heading 1 Char"/>
    <w:basedOn w:val="DefaultParagraphFont"/>
    <w:link w:val="Heading1"/>
    <w:uiPriority w:val="9"/>
    <w:qFormat/>
    <w:rsid w:val="00397bd5"/>
    <w:rPr>
      <w:rFonts w:eastAsia="맑은 고딕" w:cs="Calibri" w:eastAsiaTheme="majorEastAsia"/>
      <w:b/>
      <w:color w:val="2098D3"/>
      <w:sz w:val="28"/>
      <w:szCs w:val="26"/>
      <w:lang w:val="en-GB"/>
    </w:rPr>
  </w:style>
  <w:style w:type="character" w:styleId="Heading3Char" w:customStyle="1">
    <w:name w:val="Heading 3 Char"/>
    <w:basedOn w:val="DefaultParagraphFont"/>
    <w:link w:val="Heading3"/>
    <w:uiPriority w:val="9"/>
    <w:qFormat/>
    <w:rsid w:val="006646e4"/>
    <w:rPr>
      <w:rFonts w:ascii="Arial" w:hAnsi="Arial" w:eastAsia="맑은 고딕" w:cs="Calibri" w:eastAsiaTheme="majorEastAsia"/>
      <w:b/>
      <w:color w:val="2098D3"/>
      <w:sz w:val="24"/>
      <w:lang w:val="en-GB"/>
    </w:rPr>
  </w:style>
  <w:style w:type="character" w:styleId="Heading4Char" w:customStyle="1">
    <w:name w:val="Heading 4 Char"/>
    <w:basedOn w:val="DefaultParagraphFont"/>
    <w:link w:val="Heading4"/>
    <w:uiPriority w:val="9"/>
    <w:qFormat/>
    <w:rsid w:val="004b4335"/>
    <w:rPr>
      <w:rFonts w:ascii="Arial" w:hAnsi="Arial" w:eastAsia="맑은 고딕" w:cs="Calibri" w:eastAsiaTheme="majorEastAsia"/>
      <w:i/>
      <w:color w:val="2098D3"/>
      <w:sz w:val="20"/>
      <w:lang w:val="en-GB"/>
    </w:rPr>
  </w:style>
  <w:style w:type="character" w:styleId="TitleChar" w:customStyle="1">
    <w:name w:val="Title Char"/>
    <w:basedOn w:val="DefaultParagraphFont"/>
    <w:link w:val="Title"/>
    <w:uiPriority w:val="10"/>
    <w:qFormat/>
    <w:rsid w:val="00dd13cd"/>
    <w:rPr>
      <w:rFonts w:ascii="Arial" w:hAnsi="Arial" w:eastAsia="맑은 고딕" w:cs="" w:cstheme="majorBidi" w:eastAsiaTheme="majorEastAsia"/>
      <w:b/>
      <w:color w:val="2098D3"/>
      <w:spacing w:val="-10"/>
      <w:kern w:val="2"/>
      <w:sz w:val="28"/>
      <w:szCs w:val="56"/>
    </w:rPr>
  </w:style>
  <w:style w:type="character" w:styleId="Hyperlink">
    <w:name w:val="Hyperlink"/>
    <w:basedOn w:val="DefaultParagraphFont"/>
    <w:uiPriority w:val="99"/>
    <w:unhideWhenUsed/>
    <w:rsid w:val="00a65807"/>
    <w:rPr>
      <w:color w:themeColor="hyperlink" w:val="0000FF"/>
      <w:u w:val="single"/>
    </w:rPr>
  </w:style>
  <w:style w:type="character" w:styleId="Heading2Char" w:customStyle="1">
    <w:name w:val="Heading 2 Char"/>
    <w:basedOn w:val="DefaultParagraphFont"/>
    <w:link w:val="Heading2"/>
    <w:uiPriority w:val="9"/>
    <w:qFormat/>
    <w:rsid w:val="006646e4"/>
    <w:rPr>
      <w:rFonts w:ascii="Arial" w:hAnsi="Arial" w:eastAsia="맑은 고딕" w:cs="Calibri" w:eastAsiaTheme="majorEastAsia"/>
      <w:b/>
      <w:color w:val="2098D3"/>
      <w:sz w:val="28"/>
      <w:szCs w:val="26"/>
      <w:lang w:val="en-GB"/>
    </w:rPr>
  </w:style>
  <w:style w:type="character" w:styleId="Heading5Char" w:customStyle="1">
    <w:name w:val="Heading 5 Char"/>
    <w:basedOn w:val="DefaultParagraphFont"/>
    <w:link w:val="Heading5"/>
    <w:uiPriority w:val="9"/>
    <w:semiHidden/>
    <w:qFormat/>
    <w:rsid w:val="00a65807"/>
    <w:rPr>
      <w:rFonts w:ascii="Calibri" w:hAnsi="Calibri" w:eastAsia="맑은 고딕" w:cs="" w:asciiTheme="majorHAnsi" w:cstheme="majorBidi" w:eastAsiaTheme="majorEastAsia" w:hAnsiTheme="majorHAnsi"/>
      <w:color w:themeColor="accent1" w:themeShade="bf" w:val="365F91"/>
      <w:szCs w:val="24"/>
    </w:rPr>
  </w:style>
  <w:style w:type="character" w:styleId="apple-converted-space" w:customStyle="1">
    <w:name w:val="apple-converted-space"/>
    <w:basedOn w:val="DefaultParagraphFont"/>
    <w:qFormat/>
    <w:rsid w:val="004a3a0a"/>
    <w:rPr/>
  </w:style>
  <w:style w:type="character" w:styleId="UnresolvedMention">
    <w:name w:val="Unresolved Mention"/>
    <w:basedOn w:val="DefaultParagraphFont"/>
    <w:uiPriority w:val="99"/>
    <w:semiHidden/>
    <w:unhideWhenUsed/>
    <w:qFormat/>
    <w:rsid w:val="00d47f1f"/>
    <w:rPr>
      <w:color w:val="605E5C"/>
      <w:shd w:fill="E1DFDD" w:val="clear"/>
    </w:rPr>
  </w:style>
  <w:style w:type="character" w:styleId="BalloonTextChar" w:customStyle="1">
    <w:name w:val="Balloon Text Char"/>
    <w:basedOn w:val="DefaultParagraphFont"/>
    <w:link w:val="BalloonText"/>
    <w:uiPriority w:val="99"/>
    <w:semiHidden/>
    <w:qFormat/>
    <w:rsid w:val="00a23406"/>
    <w:rPr>
      <w:rFonts w:ascii="Segoe UI" w:hAnsi="Segoe UI" w:eastAsia="Times New Roman" w:cs="Segoe UI"/>
      <w:sz w:val="18"/>
      <w:szCs w:val="18"/>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next w:val="Normal"/>
    <w:uiPriority w:val="35"/>
    <w:unhideWhenUsed/>
    <w:qFormat/>
    <w:rsid w:val="004b4335"/>
    <w:pPr>
      <w:spacing w:lineRule="auto" w:line="240" w:before="0" w:after="200"/>
    </w:pPr>
    <w:rPr>
      <w:i/>
      <w:iCs/>
      <w:color w:themeColor="text2" w:val="1F497D"/>
      <w:sz w:val="18"/>
      <w:szCs w:val="18"/>
    </w:rPr>
  </w:style>
  <w:style w:type="paragraph" w:styleId="Index">
    <w:name w:val="Index"/>
    <w:basedOn w:val="Normal"/>
    <w:qFormat/>
    <w:pPr>
      <w:suppressLineNumbers/>
    </w:pPr>
    <w:rPr>
      <w:rFonts w:cs="Noto Sans"/>
    </w:rPr>
  </w:style>
  <w:style w:type="paragraph" w:styleId="Title">
    <w:name w:val="Title"/>
    <w:basedOn w:val="Normal"/>
    <w:next w:val="Normal"/>
    <w:link w:val="TitleChar"/>
    <w:uiPriority w:val="10"/>
    <w:qFormat/>
    <w:rsid w:val="00dd13cd"/>
    <w:pPr>
      <w:spacing w:before="0" w:after="0"/>
      <w:contextualSpacing/>
    </w:pPr>
    <w:rPr>
      <w:rFonts w:eastAsia="맑은 고딕" w:cs="" w:cstheme="majorBidi" w:eastAsiaTheme="majorEastAsia"/>
      <w:b/>
      <w:color w:val="2098D3"/>
      <w:spacing w:val="-10"/>
      <w:kern w:val="2"/>
      <w:sz w:val="28"/>
      <w:szCs w:val="56"/>
    </w:rPr>
  </w:style>
  <w:style w:type="paragraph" w:styleId="HeaderandFooter">
    <w:name w:val="Header and Footer"/>
    <w:basedOn w:val="Normal"/>
    <w:qFormat/>
    <w:pPr/>
    <w:rPr/>
  </w:style>
  <w:style w:type="paragraph" w:styleId="Header">
    <w:name w:val="Header"/>
    <w:basedOn w:val="Normal"/>
    <w:link w:val="HeaderChar"/>
    <w:uiPriority w:val="99"/>
    <w:unhideWhenUsed/>
    <w:rsid w:val="004c5ce0"/>
    <w:pPr>
      <w:tabs>
        <w:tab w:val="clear" w:pos="720"/>
        <w:tab w:val="center" w:pos="4320" w:leader="none"/>
        <w:tab w:val="right" w:pos="8640" w:leader="none"/>
      </w:tabs>
      <w:spacing w:lineRule="auto" w:line="240"/>
    </w:pPr>
    <w:rPr/>
  </w:style>
  <w:style w:type="paragraph" w:styleId="Footer">
    <w:name w:val="Footer"/>
    <w:basedOn w:val="Normal"/>
    <w:link w:val="FooterChar"/>
    <w:uiPriority w:val="99"/>
    <w:unhideWhenUsed/>
    <w:rsid w:val="004c5ce0"/>
    <w:pPr>
      <w:tabs>
        <w:tab w:val="clear" w:pos="720"/>
        <w:tab w:val="center" w:pos="4320" w:leader="none"/>
        <w:tab w:val="right" w:pos="8640" w:leader="none"/>
      </w:tabs>
      <w:spacing w:lineRule="auto" w:line="240"/>
    </w:pPr>
    <w:rPr/>
  </w:style>
  <w:style w:type="paragraph" w:styleId="NoSpacing">
    <w:name w:val="No Spacing"/>
    <w:link w:val="NoSpacingChar"/>
    <w:uiPriority w:val="1"/>
    <w:qFormat/>
    <w:rsid w:val="004b2a5e"/>
    <w:pPr>
      <w:widowControl/>
      <w:bidi w:val="0"/>
      <w:spacing w:lineRule="auto" w:line="360" w:before="0" w:after="0"/>
      <w:jc w:val="both"/>
    </w:pPr>
    <w:rPr>
      <w:rFonts w:ascii="Cambria" w:hAnsi="Cambria" w:asciiTheme="minorHAnsi" w:hAnsiTheme="minorHAnsi" w:eastAsia="Arial" w:cs="Arial"/>
      <w:color w:val="auto"/>
      <w:kern w:val="0"/>
      <w:sz w:val="22"/>
      <w:szCs w:val="22"/>
      <w:lang w:eastAsia="zh-CN" w:val="en-US" w:bidi="ar-SA"/>
    </w:rPr>
  </w:style>
  <w:style w:type="paragraph" w:styleId="EndnoteText">
    <w:name w:val="Endnote Text"/>
    <w:basedOn w:val="Normal"/>
    <w:link w:val="EndnoteTextChar"/>
    <w:uiPriority w:val="99"/>
    <w:semiHidden/>
    <w:unhideWhenUsed/>
    <w:rsid w:val="00b146b4"/>
    <w:pPr>
      <w:spacing w:lineRule="auto" w:line="240"/>
    </w:pPr>
    <w:rPr>
      <w:sz w:val="20"/>
      <w:szCs w:val="20"/>
    </w:rPr>
  </w:style>
  <w:style w:type="paragraph" w:styleId="Default" w:customStyle="1">
    <w:name w:val="Default"/>
    <w:qFormat/>
    <w:rsid w:val="00b146b4"/>
    <w:pPr>
      <w:widowControl/>
      <w:bidi w:val="0"/>
      <w:spacing w:lineRule="auto" w:line="360" w:before="0" w:after="0"/>
      <w:jc w:val="both"/>
    </w:pPr>
    <w:rPr>
      <w:rFonts w:ascii="Arial" w:hAnsi="Arial" w:eastAsia="Arial" w:cs="Arial"/>
      <w:color w:val="000000"/>
      <w:kern w:val="0"/>
      <w:sz w:val="24"/>
      <w:szCs w:val="24"/>
      <w:lang w:val="en-US" w:eastAsia="en-GB" w:bidi="ar-SA"/>
    </w:rPr>
  </w:style>
  <w:style w:type="paragraph" w:styleId="FootnoteText">
    <w:name w:val="Footnote Text"/>
    <w:basedOn w:val="Normal"/>
    <w:link w:val="FootnoteTextChar"/>
    <w:uiPriority w:val="99"/>
    <w:semiHidden/>
    <w:unhideWhenUsed/>
    <w:rsid w:val="00b146b4"/>
    <w:pPr>
      <w:spacing w:lineRule="auto" w:line="240"/>
    </w:pPr>
    <w:rPr>
      <w:sz w:val="20"/>
      <w:szCs w:val="20"/>
    </w:rPr>
  </w:style>
  <w:style w:type="paragraph" w:styleId="TEXT" w:customStyle="1">
    <w:name w:val="TEXT"/>
    <w:basedOn w:val="Normal"/>
    <w:qFormat/>
    <w:rsid w:val="00ed1f44"/>
    <w:pPr>
      <w:spacing w:lineRule="auto" w:line="240" w:before="120" w:after="80"/>
    </w:pPr>
    <w:rPr>
      <w:rFonts w:eastAsia="Cambria" w:cs="Calibri" w:eastAsiaTheme="minorHAnsi"/>
      <w:color w:themeColor="text1" w:val="000000"/>
      <w:szCs w:val="22"/>
    </w:rPr>
  </w:style>
  <w:style w:type="paragraph" w:styleId="ListParagraph">
    <w:name w:val="List Paragraph"/>
    <w:basedOn w:val="Normal"/>
    <w:uiPriority w:val="34"/>
    <w:qFormat/>
    <w:rsid w:val="008b029f"/>
    <w:pPr>
      <w:spacing w:before="0" w:after="0"/>
      <w:ind w:left="720"/>
      <w:contextualSpacing/>
    </w:pPr>
    <w:rPr/>
  </w:style>
  <w:style w:type="paragraph" w:styleId="TOC1">
    <w:name w:val="TOC 1"/>
    <w:basedOn w:val="Normal"/>
    <w:next w:val="Normal"/>
    <w:autoRedefine/>
    <w:uiPriority w:val="39"/>
    <w:unhideWhenUsed/>
    <w:rsid w:val="00305258"/>
    <w:pPr>
      <w:tabs>
        <w:tab w:val="clear" w:pos="720"/>
        <w:tab w:val="left" w:pos="440" w:leader="none"/>
        <w:tab w:val="right" w:pos="9338" w:leader="dot"/>
      </w:tabs>
      <w:spacing w:before="120" w:after="120"/>
      <w:jc w:val="left"/>
    </w:pPr>
    <w:rPr>
      <w:rFonts w:ascii="Cambria" w:hAnsi="Cambria" w:asciiTheme="minorHAnsi" w:hAnsiTheme="minorHAnsi"/>
      <w:b/>
      <w:bCs/>
      <w:caps/>
      <w:sz w:val="20"/>
      <w:szCs w:val="20"/>
    </w:rPr>
  </w:style>
  <w:style w:type="paragraph" w:styleId="TOC2">
    <w:name w:val="TOC 2"/>
    <w:basedOn w:val="Normal"/>
    <w:next w:val="Normal"/>
    <w:autoRedefine/>
    <w:uiPriority w:val="39"/>
    <w:unhideWhenUsed/>
    <w:rsid w:val="00a65807"/>
    <w:pPr>
      <w:ind w:left="220"/>
      <w:jc w:val="left"/>
    </w:pPr>
    <w:rPr>
      <w:rFonts w:ascii="Cambria" w:hAnsi="Cambria" w:asciiTheme="minorHAnsi" w:hAnsiTheme="minorHAnsi"/>
      <w:smallCaps/>
      <w:sz w:val="20"/>
      <w:szCs w:val="20"/>
    </w:rPr>
  </w:style>
  <w:style w:type="paragraph" w:styleId="TOC3">
    <w:name w:val="TOC 3"/>
    <w:basedOn w:val="Normal"/>
    <w:next w:val="Normal"/>
    <w:autoRedefine/>
    <w:uiPriority w:val="39"/>
    <w:unhideWhenUsed/>
    <w:rsid w:val="00a65807"/>
    <w:pPr>
      <w:ind w:left="440"/>
      <w:jc w:val="left"/>
    </w:pPr>
    <w:rPr>
      <w:rFonts w:ascii="Cambria" w:hAnsi="Cambria" w:asciiTheme="minorHAnsi" w:hAnsiTheme="minorHAnsi"/>
      <w:i/>
      <w:iCs/>
      <w:sz w:val="20"/>
      <w:szCs w:val="20"/>
    </w:rPr>
  </w:style>
  <w:style w:type="paragraph" w:styleId="TOC4">
    <w:name w:val="TOC 4"/>
    <w:basedOn w:val="Normal"/>
    <w:next w:val="Normal"/>
    <w:autoRedefine/>
    <w:uiPriority w:val="39"/>
    <w:unhideWhenUsed/>
    <w:rsid w:val="00a65807"/>
    <w:pPr>
      <w:ind w:left="660"/>
      <w:jc w:val="left"/>
    </w:pPr>
    <w:rPr>
      <w:rFonts w:ascii="Cambria" w:hAnsi="Cambria" w:asciiTheme="minorHAnsi" w:hAnsiTheme="minorHAnsi"/>
      <w:sz w:val="18"/>
      <w:szCs w:val="18"/>
    </w:rPr>
  </w:style>
  <w:style w:type="paragraph" w:styleId="TOC5">
    <w:name w:val="TOC 5"/>
    <w:basedOn w:val="Normal"/>
    <w:next w:val="Normal"/>
    <w:autoRedefine/>
    <w:uiPriority w:val="39"/>
    <w:unhideWhenUsed/>
    <w:rsid w:val="00a65807"/>
    <w:pPr>
      <w:ind w:left="880"/>
      <w:jc w:val="left"/>
    </w:pPr>
    <w:rPr>
      <w:rFonts w:ascii="Cambria" w:hAnsi="Cambria" w:asciiTheme="minorHAnsi" w:hAnsiTheme="minorHAnsi"/>
      <w:sz w:val="18"/>
      <w:szCs w:val="18"/>
    </w:rPr>
  </w:style>
  <w:style w:type="paragraph" w:styleId="TOC6">
    <w:name w:val="TOC 6"/>
    <w:basedOn w:val="Normal"/>
    <w:next w:val="Normal"/>
    <w:autoRedefine/>
    <w:uiPriority w:val="39"/>
    <w:unhideWhenUsed/>
    <w:rsid w:val="00a65807"/>
    <w:pPr>
      <w:ind w:left="1100"/>
      <w:jc w:val="left"/>
    </w:pPr>
    <w:rPr>
      <w:rFonts w:ascii="Cambria" w:hAnsi="Cambria" w:asciiTheme="minorHAnsi" w:hAnsiTheme="minorHAnsi"/>
      <w:sz w:val="18"/>
      <w:szCs w:val="18"/>
    </w:rPr>
  </w:style>
  <w:style w:type="paragraph" w:styleId="TOC7">
    <w:name w:val="TOC 7"/>
    <w:basedOn w:val="Normal"/>
    <w:next w:val="Normal"/>
    <w:autoRedefine/>
    <w:uiPriority w:val="39"/>
    <w:unhideWhenUsed/>
    <w:rsid w:val="00a65807"/>
    <w:pPr>
      <w:ind w:left="1320"/>
      <w:jc w:val="left"/>
    </w:pPr>
    <w:rPr>
      <w:rFonts w:ascii="Cambria" w:hAnsi="Cambria" w:asciiTheme="minorHAnsi" w:hAnsiTheme="minorHAnsi"/>
      <w:sz w:val="18"/>
      <w:szCs w:val="18"/>
    </w:rPr>
  </w:style>
  <w:style w:type="paragraph" w:styleId="TOC8">
    <w:name w:val="TOC 8"/>
    <w:basedOn w:val="Normal"/>
    <w:next w:val="Normal"/>
    <w:autoRedefine/>
    <w:uiPriority w:val="39"/>
    <w:unhideWhenUsed/>
    <w:rsid w:val="00a65807"/>
    <w:pPr>
      <w:ind w:left="1540"/>
      <w:jc w:val="left"/>
    </w:pPr>
    <w:rPr>
      <w:rFonts w:ascii="Cambria" w:hAnsi="Cambria" w:asciiTheme="minorHAnsi" w:hAnsiTheme="minorHAnsi"/>
      <w:sz w:val="18"/>
      <w:szCs w:val="18"/>
    </w:rPr>
  </w:style>
  <w:style w:type="paragraph" w:styleId="TOC9">
    <w:name w:val="TOC 9"/>
    <w:basedOn w:val="Normal"/>
    <w:next w:val="Normal"/>
    <w:autoRedefine/>
    <w:uiPriority w:val="39"/>
    <w:unhideWhenUsed/>
    <w:rsid w:val="00a65807"/>
    <w:pPr>
      <w:ind w:left="1760"/>
      <w:jc w:val="left"/>
    </w:pPr>
    <w:rPr>
      <w:rFonts w:ascii="Cambria" w:hAnsi="Cambria" w:asciiTheme="minorHAnsi" w:hAnsiTheme="minorHAnsi"/>
      <w:sz w:val="18"/>
      <w:szCs w:val="18"/>
    </w:rPr>
  </w:style>
  <w:style w:type="paragraph" w:styleId="IndexHeading">
    <w:name w:val="Index Heading"/>
    <w:basedOn w:val="Heading"/>
    <w:pPr/>
    <w:rPr/>
  </w:style>
  <w:style w:type="paragraph" w:styleId="TOCHeading">
    <w:name w:val="TOC Heading"/>
    <w:basedOn w:val="Heading1"/>
    <w:next w:val="Normal"/>
    <w:uiPriority w:val="39"/>
    <w:unhideWhenUsed/>
    <w:qFormat/>
    <w:rsid w:val="00a65807"/>
    <w:pPr>
      <w:numPr>
        <w:ilvl w:val="0"/>
        <w:numId w:val="0"/>
      </w:numPr>
      <w:spacing w:lineRule="auto" w:line="276" w:before="480" w:after="0"/>
      <w:jc w:val="left"/>
      <w:outlineLvl w:val="9"/>
    </w:pPr>
    <w:rPr>
      <w:rFonts w:ascii="Calibri" w:hAnsi="Calibri" w:cs="" w:asciiTheme="majorHAnsi" w:cstheme="majorBidi" w:hAnsiTheme="majorHAnsi"/>
      <w:bCs/>
      <w:color w:themeColor="accent1" w:themeShade="bf" w:val="365F91"/>
      <w:szCs w:val="28"/>
      <w:lang w:val="en-US"/>
    </w:rPr>
  </w:style>
  <w:style w:type="paragraph" w:styleId="s3" w:customStyle="1">
    <w:name w:val="s3"/>
    <w:basedOn w:val="Normal"/>
    <w:qFormat/>
    <w:rsid w:val="004a3a0a"/>
    <w:pPr>
      <w:spacing w:lineRule="auto" w:line="240" w:beforeAutospacing="1" w:afterAutospacing="1"/>
      <w:jc w:val="left"/>
    </w:pPr>
    <w:rPr>
      <w:rFonts w:ascii="Times New Roman" w:hAnsi="Times New Roman"/>
      <w:sz w:val="24"/>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BalloonText">
    <w:name w:val="Balloon Text"/>
    <w:basedOn w:val="Normal"/>
    <w:link w:val="BalloonTextChar"/>
    <w:uiPriority w:val="99"/>
    <w:semiHidden/>
    <w:unhideWhenUsed/>
    <w:qFormat/>
    <w:rsid w:val="00a23406"/>
    <w:pPr>
      <w:spacing w:lineRule="auto" w:line="240"/>
    </w:pPr>
    <w:rPr>
      <w:rFonts w:ascii="Segoe UI" w:hAnsi="Segoe UI" w:cs="Segoe UI"/>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4c5ce0"/>
    <w:rPr>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99"/>
    <w:rsid w:val="00d25bdf"/>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5">
    <w:name w:val="Grid Table 3 Accent 5"/>
    <w:basedOn w:val="TableNormal"/>
    <w:uiPriority w:val="48"/>
    <w:rsid w:val="00d25bdf"/>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sz="4" w:space="0"/>
        </w:tcBorders>
      </w:tcPr>
    </w:tblStylePr>
    <w:tblStylePr w:type="nwCell">
      <w:tblPr/>
      <w:tcPr>
        <w:tcBorders>
          <w:bottom w:val="single" w:color="92CDDC" w:themeColor="accent5" w:sz="4" w:space="0"/>
        </w:tcBorders>
      </w:tcPr>
    </w:tblStylePr>
    <w:tblStylePr w:type="seCell">
      <w:tblPr/>
      <w:tcPr>
        <w:tcBorders>
          <w:top w:val="single" w:color="92CDDC" w:themeColor="accent5" w:sz="4" w:space="0"/>
        </w:tcBorders>
      </w:tcPr>
    </w:tblStylePr>
    <w:tblStylePr w:type="swCell">
      <w:tblPr/>
      <w:tcPr>
        <w:tcBorders>
          <w:top w:val="single" w:color="92CDDC" w:themeColor="accent5" w:sz="4" w:space="0"/>
        </w:tcBorders>
      </w:tcPr>
    </w:tblStylePr>
  </w:style>
  <w:style w:type="table" w:styleId="GridTable2-Accent5">
    <w:name w:val="Grid Table 2 Accent 5"/>
    <w:basedOn w:val="TableNormal"/>
    <w:uiPriority w:val="47"/>
    <w:rsid w:val="00d25bdf"/>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sz="12" w:space="0"/>
          <w:insideH w:val="nil"/>
          <w:insideV w:val="nil"/>
        </w:tcBorders>
        <w:shd w:val="clear" w:color="auto" w:fill="FFFFFF" w:themeFill="background1"/>
      </w:tcPr>
    </w:tblStylePr>
    <w:tblStylePr w:type="lastRow">
      <w:rPr>
        <w:b/>
        <w:bCs/>
      </w:rPr>
      <w:tblPr/>
      <w:tcPr>
        <w:tcBorders>
          <w:top w:val="double" w:color="92CDDC" w:themeColor="accent5"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99"/>
    <w:rsid w:val="00f72743"/>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sustainability.fb.com/wp-content/uploads/2020/12/FB_Denmark-Data-Center-to-Warm-Local-Community.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e0nhM5j9wuTQ6/kQVKG6BboAHkA==">CgMxLjAyCGguZ2pkZ3hzMgloLjMwajB6bGwyCWguMWZvYjl0ZTIJaC4zem55c2g3MgloLjJldDkycDAyCGgudHlqY3d0MgloLjNkeTZ2a20yCWguMXQzaDVzZjIJaC40ZDM0b2c4MgloLjJzOGV5bzEyCWguMTdkcDh2dTIJaC4zcmRjcmpuOAByITE2Y18tNHM3eU4xT1hjMUlmR09BQWhBWjh2b3NlZk5GLQ==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Collabora_Office/24.04.16.3$Linux_X86_64 LibreOffice_project/74780936283c3969f1f141b3a179c743ec84a56e</Application>
  <AppVersion>15.0000</AppVersion>
  <Pages>5</Pages>
  <Words>1019</Words>
  <Characters>5489</Characters>
  <CharactersWithSpaces>6419</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2025-07-14T10:37:00Z</dcterms:created>
  <dc:creator>ESS User</dc:creator>
  <dc:description/>
  <dc:language>en-US</dc:language>
  <cp:lastModifiedBy>zeitler</cp:lastModifiedBy>
  <dcterms:modified xsi:type="dcterms:W3CDTF">2025-07-14T10:46:00Z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