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DD" w:rsidRPr="002838B7" w:rsidRDefault="00F05B4A" w:rsidP="003211DD">
      <w:pPr>
        <w:spacing w:before="100" w:beforeAutospacing="1" w:after="100" w:afterAutospacing="1" w:line="240" w:lineRule="auto"/>
        <w:jc w:val="center"/>
        <w:rPr>
          <w:rFonts w:eastAsia="Times New Roman" w:cs="Times New Roman"/>
          <w:b/>
          <w:sz w:val="32"/>
          <w:szCs w:val="32"/>
          <w:u w:val="single"/>
          <w:lang w:eastAsia="en-GB"/>
        </w:rPr>
      </w:pPr>
      <w:r w:rsidRPr="002838B7">
        <w:rPr>
          <w:rFonts w:eastAsia="Times New Roman" w:cs="Times New Roman"/>
          <w:b/>
          <w:sz w:val="32"/>
          <w:szCs w:val="32"/>
          <w:u w:val="single"/>
          <w:lang w:eastAsia="en-GB"/>
        </w:rPr>
        <w:t>FRINDOC User Guide</w:t>
      </w:r>
    </w:p>
    <w:p w:rsidR="003654A2" w:rsidRPr="00DF65DE" w:rsidRDefault="003654A2" w:rsidP="00C10027">
      <w:pPr>
        <w:rPr>
          <w:rFonts w:eastAsia="Times New Roman" w:cs="Times New Roman"/>
          <w:b/>
          <w:u w:val="single"/>
          <w:lang w:eastAsia="en-GB"/>
        </w:rPr>
      </w:pPr>
      <w:r w:rsidRPr="00DF65DE">
        <w:rPr>
          <w:rFonts w:eastAsia="Times New Roman" w:cs="Times New Roman"/>
          <w:b/>
          <w:u w:val="single"/>
          <w:lang w:eastAsia="en-GB"/>
        </w:rPr>
        <w:t>Background</w:t>
      </w:r>
    </w:p>
    <w:p w:rsidR="007C451E" w:rsidRPr="000D2F56" w:rsidRDefault="007C451E" w:rsidP="007C451E">
      <w:r>
        <w:rPr>
          <w:rFonts w:eastAsia="Times New Roman" w:cs="Times New Roman"/>
          <w:lang w:eastAsia="en-GB"/>
        </w:rPr>
        <w:t>The FRINDOC project is</w:t>
      </w:r>
      <w:r w:rsidRPr="000757FF">
        <w:t xml:space="preserve"> managed by a consortium of six partners, coordinated by EUA, and consisting of the University of Hong Kong, Stellenbosch University, Imperial College London, the University of Bergen and the University of </w:t>
      </w:r>
      <w:proofErr w:type="spellStart"/>
      <w:r w:rsidRPr="000757FF">
        <w:t>Camerino</w:t>
      </w:r>
      <w:proofErr w:type="spellEnd"/>
      <w:r w:rsidRPr="000757FF">
        <w:t xml:space="preserve">. </w:t>
      </w:r>
      <w:r>
        <w:t>The project</w:t>
      </w:r>
      <w:r w:rsidR="00EA633E">
        <w:t xml:space="preserve"> is supported by the</w:t>
      </w:r>
      <w:r w:rsidRPr="000757FF">
        <w:t xml:space="preserve"> Erasmus Mundus </w:t>
      </w:r>
      <w:r w:rsidR="00EA633E">
        <w:t>programme of the European Commission.</w:t>
      </w:r>
    </w:p>
    <w:p w:rsidR="000757FF" w:rsidRDefault="00C10027" w:rsidP="00C10027">
      <w:pPr>
        <w:rPr>
          <w:rFonts w:eastAsia="Times New Roman" w:cs="Times New Roman"/>
          <w:lang w:eastAsia="en-GB"/>
        </w:rPr>
      </w:pPr>
      <w:r w:rsidRPr="00C10027">
        <w:rPr>
          <w:rFonts w:eastAsia="Times New Roman" w:cs="Times New Roman"/>
          <w:lang w:eastAsia="en-GB"/>
        </w:rPr>
        <w:t>The Framework for</w:t>
      </w:r>
      <w:r w:rsidR="000757FF">
        <w:rPr>
          <w:rFonts w:eastAsia="Times New Roman" w:cs="Times New Roman"/>
          <w:lang w:eastAsia="en-GB"/>
        </w:rPr>
        <w:t xml:space="preserve"> the</w:t>
      </w:r>
      <w:r w:rsidRPr="00C10027">
        <w:rPr>
          <w:rFonts w:eastAsia="Times New Roman" w:cs="Times New Roman"/>
          <w:lang w:eastAsia="en-GB"/>
        </w:rPr>
        <w:t xml:space="preserve"> Internationalisation of Doctoral Education (FRINDOC) project aims at providing a comprehensive overview of good practices and valuable experiences for universities.</w:t>
      </w:r>
      <w:r w:rsidR="003D1F3F" w:rsidRPr="000D2F56">
        <w:rPr>
          <w:rFonts w:eastAsia="Times New Roman" w:cs="Times New Roman"/>
          <w:lang w:eastAsia="en-GB"/>
        </w:rPr>
        <w:t xml:space="preserve"> The project is developing a framework containing a statement of good practice on internationalisation and this online tool for universities to aid </w:t>
      </w:r>
      <w:r w:rsidR="000757FF">
        <w:rPr>
          <w:rFonts w:eastAsia="Times New Roman" w:cs="Times New Roman"/>
          <w:lang w:eastAsia="en-GB"/>
        </w:rPr>
        <w:t xml:space="preserve">the </w:t>
      </w:r>
      <w:r w:rsidR="003D1F3F" w:rsidRPr="000D2F56">
        <w:rPr>
          <w:rFonts w:eastAsia="Times New Roman" w:cs="Times New Roman"/>
          <w:lang w:eastAsia="en-GB"/>
        </w:rPr>
        <w:t xml:space="preserve">planning and implementation of internationalisation strategies for doctoral education. </w:t>
      </w:r>
    </w:p>
    <w:p w:rsidR="00A842C7" w:rsidRPr="000D2F56" w:rsidRDefault="006226BA" w:rsidP="00C10027">
      <w:r w:rsidRPr="000D2F56">
        <w:t xml:space="preserve">Doctoral candidates are one of, if not the, most mobile group within universities. Therefore, the strategic importance of doctoral education in successfully implementing visions for internationalisation is very high. Successful internationalisation of doctoral education strengthens research, teaching and international outreach of universities. It is hence essential that universities have access to the information and resources necessary to implement their internationalisation strategies for doctoral education. </w:t>
      </w:r>
    </w:p>
    <w:p w:rsidR="00DF65DE" w:rsidRPr="00DA746F" w:rsidRDefault="00DA746F" w:rsidP="000D2F56">
      <w:pPr>
        <w:rPr>
          <w:rFonts w:eastAsia="Times New Roman" w:cs="Times New Roman"/>
          <w:b/>
          <w:u w:val="single"/>
          <w:lang w:eastAsia="en-GB"/>
        </w:rPr>
      </w:pPr>
      <w:r w:rsidRPr="00DA746F">
        <w:rPr>
          <w:rFonts w:eastAsia="Times New Roman" w:cs="Times New Roman"/>
          <w:b/>
          <w:u w:val="single"/>
          <w:lang w:eastAsia="en-GB"/>
        </w:rPr>
        <w:t xml:space="preserve">The </w:t>
      </w:r>
      <w:r>
        <w:rPr>
          <w:rFonts w:eastAsia="Times New Roman" w:cs="Times New Roman"/>
          <w:b/>
          <w:u w:val="single"/>
          <w:lang w:eastAsia="en-GB"/>
        </w:rPr>
        <w:t xml:space="preserve">purpose and </w:t>
      </w:r>
      <w:r w:rsidRPr="00DA746F">
        <w:rPr>
          <w:rFonts w:eastAsia="Times New Roman" w:cs="Times New Roman"/>
          <w:b/>
          <w:u w:val="single"/>
          <w:lang w:eastAsia="en-GB"/>
        </w:rPr>
        <w:t xml:space="preserve">format of the </w:t>
      </w:r>
      <w:r>
        <w:rPr>
          <w:rFonts w:eastAsia="Times New Roman" w:cs="Times New Roman"/>
          <w:b/>
          <w:u w:val="single"/>
          <w:lang w:eastAsia="en-GB"/>
        </w:rPr>
        <w:t xml:space="preserve">FRINDOC self-evaluation </w:t>
      </w:r>
      <w:r w:rsidRPr="00DA746F">
        <w:rPr>
          <w:rFonts w:eastAsia="Times New Roman" w:cs="Times New Roman"/>
          <w:b/>
          <w:u w:val="single"/>
          <w:lang w:eastAsia="en-GB"/>
        </w:rPr>
        <w:t>tool</w:t>
      </w:r>
    </w:p>
    <w:p w:rsidR="00DA746F" w:rsidRDefault="00DA746F" w:rsidP="00DA746F">
      <w:pPr>
        <w:rPr>
          <w:rFonts w:eastAsia="Times New Roman" w:cs="Times New Roman"/>
          <w:lang w:eastAsia="en-GB"/>
        </w:rPr>
      </w:pPr>
      <w:r w:rsidRPr="000D2F56">
        <w:t xml:space="preserve">The FRINDOC tool has been designed specifically for </w:t>
      </w:r>
      <w:r w:rsidRPr="000D2F56">
        <w:rPr>
          <w:i/>
        </w:rPr>
        <w:t>self-evaluation purposes</w:t>
      </w:r>
      <w:r>
        <w:rPr>
          <w:i/>
        </w:rPr>
        <w:t xml:space="preserve">. </w:t>
      </w:r>
      <w:r w:rsidRPr="000D2F56">
        <w:t>It sh</w:t>
      </w:r>
      <w:r w:rsidRPr="00C10027">
        <w:rPr>
          <w:rFonts w:eastAsia="Times New Roman" w:cs="Times New Roman"/>
          <w:lang w:eastAsia="en-GB"/>
        </w:rPr>
        <w:t xml:space="preserve">ould function as a strategic tool for planning, promoting and supporting mobility in doctoral programmes enabling universities to attain a united picture of strategic goals, capacity and possibilities to implement the right structures for their particular profile. </w:t>
      </w:r>
      <w:r>
        <w:rPr>
          <w:rFonts w:eastAsia="Times New Roman" w:cs="Times New Roman"/>
          <w:lang w:eastAsia="en-GB"/>
        </w:rPr>
        <w:t xml:space="preserve">The tool is not designed for benchmarking purposes and should be considered as a developmental aid for institutions as they seek to build, implement or revise strategies for the internationalisation of doctoral education. It can be used as a one off exercise or engaged with on repeated occasions. </w:t>
      </w:r>
      <w:r w:rsidR="00E657EB">
        <w:rPr>
          <w:rFonts w:eastAsia="Times New Roman" w:cs="Times New Roman"/>
          <w:lang w:eastAsia="en-GB"/>
        </w:rPr>
        <w:t>The project team are also in the process of developing a</w:t>
      </w:r>
      <w:r>
        <w:rPr>
          <w:rFonts w:eastAsia="Times New Roman" w:cs="Times New Roman"/>
          <w:lang w:eastAsia="en-GB"/>
        </w:rPr>
        <w:t xml:space="preserve"> statement of good practice on internationalisation </w:t>
      </w:r>
      <w:r w:rsidR="00E657EB">
        <w:rPr>
          <w:rFonts w:eastAsia="Times New Roman" w:cs="Times New Roman"/>
          <w:lang w:eastAsia="en-GB"/>
        </w:rPr>
        <w:t>which will eventually be available for users as a</w:t>
      </w:r>
      <w:r>
        <w:rPr>
          <w:rFonts w:eastAsia="Times New Roman" w:cs="Times New Roman"/>
          <w:lang w:eastAsia="en-GB"/>
        </w:rPr>
        <w:t xml:space="preserve"> resource to assist </w:t>
      </w:r>
      <w:r w:rsidR="00E657EB">
        <w:rPr>
          <w:rFonts w:eastAsia="Times New Roman" w:cs="Times New Roman"/>
          <w:lang w:eastAsia="en-GB"/>
        </w:rPr>
        <w:t>them in</w:t>
      </w:r>
      <w:r>
        <w:rPr>
          <w:rFonts w:eastAsia="Times New Roman" w:cs="Times New Roman"/>
          <w:lang w:eastAsia="en-GB"/>
        </w:rPr>
        <w:t xml:space="preserve"> completing the tool.</w:t>
      </w:r>
    </w:p>
    <w:p w:rsidR="00DA746F" w:rsidRPr="00AF729F" w:rsidRDefault="00DA746F" w:rsidP="00DA746F">
      <w:pPr>
        <w:rPr>
          <w:rFonts w:ascii="Calibri" w:hAnsi="Calibri"/>
        </w:rPr>
      </w:pPr>
      <w:r w:rsidRPr="00AF729F">
        <w:rPr>
          <w:rFonts w:ascii="Calibri" w:hAnsi="Calibri"/>
        </w:rPr>
        <w:t>The tool adopts the format of a questionnaire</w:t>
      </w:r>
      <w:r w:rsidR="009F0646" w:rsidRPr="00AF729F">
        <w:rPr>
          <w:rFonts w:ascii="Calibri" w:hAnsi="Calibri"/>
        </w:rPr>
        <w:t xml:space="preserve"> which asks users to consider their current status and corresponding goals in a range of areas</w:t>
      </w:r>
      <w:r w:rsidR="00B754FD" w:rsidRPr="00AF729F">
        <w:rPr>
          <w:rFonts w:ascii="Calibri" w:hAnsi="Calibri"/>
        </w:rPr>
        <w:t xml:space="preserve"> by assigning ratings on a scale of 0-5 (0 meaning a poor rating and 5 meaning excellent)</w:t>
      </w:r>
      <w:r w:rsidR="009F0646" w:rsidRPr="00AF729F">
        <w:rPr>
          <w:rFonts w:ascii="Calibri" w:hAnsi="Calibri"/>
        </w:rPr>
        <w:t>. The questions are divided into four broad areas:</w:t>
      </w:r>
    </w:p>
    <w:p w:rsidR="009F0646" w:rsidRPr="00AF729F" w:rsidRDefault="00A53286" w:rsidP="00A53286">
      <w:pPr>
        <w:pStyle w:val="ListParagraph"/>
        <w:numPr>
          <w:ilvl w:val="0"/>
          <w:numId w:val="4"/>
        </w:numPr>
        <w:rPr>
          <w:rFonts w:ascii="Calibri" w:hAnsi="Calibri"/>
        </w:rPr>
      </w:pPr>
      <w:r w:rsidRPr="00AF729F">
        <w:rPr>
          <w:rFonts w:ascii="Calibri" w:hAnsi="Calibri"/>
        </w:rPr>
        <w:t>Research Capacity</w:t>
      </w:r>
    </w:p>
    <w:p w:rsidR="00A53286" w:rsidRPr="00AF729F" w:rsidRDefault="00A53286" w:rsidP="00A53286">
      <w:pPr>
        <w:pStyle w:val="ListParagraph"/>
        <w:numPr>
          <w:ilvl w:val="0"/>
          <w:numId w:val="4"/>
        </w:numPr>
        <w:rPr>
          <w:rFonts w:ascii="Calibri" w:eastAsia="Times New Roman" w:hAnsi="Calibri" w:cs="Times New Roman"/>
          <w:lang w:eastAsia="en-GB"/>
        </w:rPr>
      </w:pPr>
      <w:r w:rsidRPr="00AF729F">
        <w:rPr>
          <w:rFonts w:ascii="Calibri" w:eastAsia="Times New Roman" w:hAnsi="Calibri" w:cs="Times New Roman"/>
          <w:lang w:eastAsia="en-GB"/>
        </w:rPr>
        <w:t>International Profile</w:t>
      </w:r>
    </w:p>
    <w:p w:rsidR="00A53286" w:rsidRPr="00AF729F" w:rsidRDefault="00A53286" w:rsidP="00A53286">
      <w:pPr>
        <w:pStyle w:val="ListParagraph"/>
        <w:numPr>
          <w:ilvl w:val="0"/>
          <w:numId w:val="4"/>
        </w:numPr>
        <w:rPr>
          <w:rFonts w:ascii="Calibri" w:eastAsia="Times New Roman" w:hAnsi="Calibri" w:cs="Times New Roman"/>
          <w:lang w:eastAsia="en-GB"/>
        </w:rPr>
      </w:pPr>
      <w:r w:rsidRPr="00AF729F">
        <w:rPr>
          <w:rFonts w:ascii="Calibri" w:eastAsia="Times New Roman" w:hAnsi="Calibri" w:cs="Times New Roman"/>
          <w:lang w:eastAsia="en-GB"/>
        </w:rPr>
        <w:t>Institutional Framework</w:t>
      </w:r>
    </w:p>
    <w:p w:rsidR="00A53286" w:rsidRPr="00AF729F" w:rsidRDefault="00A53286" w:rsidP="00A53286">
      <w:pPr>
        <w:pStyle w:val="ListParagraph"/>
        <w:numPr>
          <w:ilvl w:val="0"/>
          <w:numId w:val="4"/>
        </w:numPr>
        <w:rPr>
          <w:rFonts w:ascii="Calibri" w:eastAsia="Times New Roman" w:hAnsi="Calibri" w:cs="Times New Roman"/>
          <w:lang w:eastAsia="en-GB"/>
        </w:rPr>
      </w:pPr>
      <w:r w:rsidRPr="00AF729F">
        <w:rPr>
          <w:rFonts w:ascii="Calibri" w:eastAsia="Times New Roman" w:hAnsi="Calibri" w:cs="Times New Roman"/>
          <w:lang w:eastAsia="en-GB"/>
        </w:rPr>
        <w:t>Mobility</w:t>
      </w:r>
    </w:p>
    <w:p w:rsidR="00DA746F" w:rsidRDefault="00DA746F" w:rsidP="00DA746F">
      <w:pPr>
        <w:pStyle w:val="NormalWeb"/>
        <w:rPr>
          <w:rFonts w:ascii="Calibri" w:hAnsi="Calibri"/>
          <w:sz w:val="22"/>
          <w:szCs w:val="22"/>
        </w:rPr>
      </w:pPr>
      <w:r w:rsidRPr="00AF729F">
        <w:rPr>
          <w:rFonts w:ascii="Calibri" w:hAnsi="Calibri"/>
          <w:sz w:val="22"/>
          <w:szCs w:val="22"/>
        </w:rPr>
        <w:t xml:space="preserve">The ratings </w:t>
      </w:r>
      <w:r w:rsidR="009D0651">
        <w:rPr>
          <w:rFonts w:ascii="Calibri" w:hAnsi="Calibri"/>
          <w:sz w:val="22"/>
          <w:szCs w:val="22"/>
        </w:rPr>
        <w:t>the user chooses</w:t>
      </w:r>
      <w:r w:rsidRPr="00AF729F">
        <w:rPr>
          <w:rFonts w:ascii="Calibri" w:hAnsi="Calibri"/>
          <w:sz w:val="22"/>
          <w:szCs w:val="22"/>
        </w:rPr>
        <w:t xml:space="preserve"> cannot be considered as right or wrong, but it is important that they are selected in a coherent manner. To assist in this, the tool requires that </w:t>
      </w:r>
      <w:r w:rsidR="00B754FD" w:rsidRPr="00AF729F">
        <w:rPr>
          <w:rFonts w:ascii="Calibri" w:hAnsi="Calibri"/>
          <w:sz w:val="22"/>
          <w:szCs w:val="22"/>
        </w:rPr>
        <w:t>the user</w:t>
      </w:r>
      <w:r w:rsidRPr="00AF729F">
        <w:rPr>
          <w:rFonts w:ascii="Calibri" w:hAnsi="Calibri"/>
          <w:sz w:val="22"/>
          <w:szCs w:val="22"/>
        </w:rPr>
        <w:t xml:space="preserve"> complete</w:t>
      </w:r>
      <w:r w:rsidR="00B754FD" w:rsidRPr="00AF729F">
        <w:rPr>
          <w:rFonts w:ascii="Calibri" w:hAnsi="Calibri"/>
          <w:sz w:val="22"/>
          <w:szCs w:val="22"/>
        </w:rPr>
        <w:t>s</w:t>
      </w:r>
      <w:r w:rsidRPr="00AF729F">
        <w:rPr>
          <w:rFonts w:ascii="Calibri" w:hAnsi="Calibri"/>
          <w:sz w:val="22"/>
          <w:szCs w:val="22"/>
        </w:rPr>
        <w:t xml:space="preserve"> all of the information on the first page, ‘General Information’, including selecting and/or defining a </w:t>
      </w:r>
      <w:r w:rsidRPr="00AF729F">
        <w:rPr>
          <w:rFonts w:ascii="Calibri" w:hAnsi="Calibri"/>
          <w:sz w:val="22"/>
          <w:szCs w:val="22"/>
        </w:rPr>
        <w:lastRenderedPageBreak/>
        <w:t xml:space="preserve">context within which </w:t>
      </w:r>
      <w:r w:rsidR="00B754FD" w:rsidRPr="00AF729F">
        <w:rPr>
          <w:rFonts w:ascii="Calibri" w:hAnsi="Calibri"/>
          <w:sz w:val="22"/>
          <w:szCs w:val="22"/>
        </w:rPr>
        <w:t>they</w:t>
      </w:r>
      <w:r w:rsidRPr="00AF729F">
        <w:rPr>
          <w:rFonts w:ascii="Calibri" w:hAnsi="Calibri"/>
          <w:sz w:val="22"/>
          <w:szCs w:val="22"/>
        </w:rPr>
        <w:t xml:space="preserve"> are evaluating </w:t>
      </w:r>
      <w:r w:rsidR="00B754FD" w:rsidRPr="00AF729F">
        <w:rPr>
          <w:rFonts w:ascii="Calibri" w:hAnsi="Calibri"/>
          <w:sz w:val="22"/>
          <w:szCs w:val="22"/>
        </w:rPr>
        <w:t>their</w:t>
      </w:r>
      <w:r w:rsidRPr="00AF729F">
        <w:rPr>
          <w:rFonts w:ascii="Calibri" w:hAnsi="Calibri"/>
          <w:sz w:val="22"/>
          <w:szCs w:val="22"/>
        </w:rPr>
        <w:t xml:space="preserve"> own university. This should help </w:t>
      </w:r>
      <w:r w:rsidR="00B754FD" w:rsidRPr="00AF729F">
        <w:rPr>
          <w:rFonts w:ascii="Calibri" w:hAnsi="Calibri"/>
          <w:sz w:val="22"/>
          <w:szCs w:val="22"/>
        </w:rPr>
        <w:t xml:space="preserve">the user </w:t>
      </w:r>
      <w:r w:rsidRPr="00AF729F">
        <w:rPr>
          <w:rFonts w:ascii="Calibri" w:hAnsi="Calibri"/>
          <w:sz w:val="22"/>
          <w:szCs w:val="22"/>
        </w:rPr>
        <w:t xml:space="preserve">to provide consistent responses and to better interpret the final report the tool will generate. </w:t>
      </w:r>
    </w:p>
    <w:p w:rsidR="009D0651" w:rsidRPr="009D0651" w:rsidRDefault="009D0651" w:rsidP="009D0651">
      <w:pPr>
        <w:pStyle w:val="NormalWeb"/>
        <w:rPr>
          <w:rFonts w:asciiTheme="minorHAnsi" w:hAnsiTheme="minorHAnsi"/>
          <w:sz w:val="22"/>
          <w:szCs w:val="22"/>
        </w:rPr>
      </w:pPr>
      <w:r w:rsidRPr="009D0651">
        <w:rPr>
          <w:rFonts w:asciiTheme="minorHAnsi" w:hAnsiTheme="minorHAnsi"/>
          <w:sz w:val="22"/>
          <w:szCs w:val="22"/>
        </w:rPr>
        <w:t xml:space="preserve">It is also strongly recommended to complete the ‘Comments’ box following each question as this will help to further contextualise the final report generated. In cases where a team cannot reach consensus in terms of the ratings to be assigned, it could then be commented on that an agreement could not be reached on that particular rating and why this is the case. </w:t>
      </w:r>
    </w:p>
    <w:p w:rsidR="009D0651" w:rsidRDefault="009D0651" w:rsidP="00DA746F">
      <w:pPr>
        <w:pStyle w:val="NormalWeb"/>
        <w:rPr>
          <w:rFonts w:ascii="Calibri" w:hAnsi="Calibri"/>
          <w:sz w:val="22"/>
          <w:szCs w:val="22"/>
        </w:rPr>
      </w:pPr>
      <w:r>
        <w:rPr>
          <w:rFonts w:ascii="Calibri" w:hAnsi="Calibri"/>
          <w:sz w:val="22"/>
          <w:szCs w:val="22"/>
        </w:rPr>
        <w:t xml:space="preserve">The final report generated by the tool takes the format of a spider diagram, which visually indicates the current status of the institution in the various areas asked about, as well as a </w:t>
      </w:r>
      <w:r w:rsidR="00CE424E">
        <w:rPr>
          <w:rFonts w:ascii="Calibri" w:hAnsi="Calibri"/>
          <w:sz w:val="22"/>
          <w:szCs w:val="22"/>
        </w:rPr>
        <w:t xml:space="preserve">full account </w:t>
      </w:r>
      <w:r>
        <w:rPr>
          <w:rFonts w:ascii="Calibri" w:hAnsi="Calibri"/>
          <w:sz w:val="22"/>
          <w:szCs w:val="22"/>
        </w:rPr>
        <w:t>of the ratings and comments</w:t>
      </w:r>
      <w:r w:rsidR="00CE424E">
        <w:rPr>
          <w:rFonts w:ascii="Calibri" w:hAnsi="Calibri"/>
          <w:sz w:val="22"/>
          <w:szCs w:val="22"/>
        </w:rPr>
        <w:t xml:space="preserve"> provided by the user. The spider diagram will be based on the framework below:</w:t>
      </w:r>
    </w:p>
    <w:p w:rsidR="00CE424E" w:rsidRDefault="00CE424E" w:rsidP="00DA746F">
      <w:pPr>
        <w:pStyle w:val="NormalWeb"/>
        <w:rPr>
          <w:rFonts w:ascii="Calibri" w:hAnsi="Calibri"/>
          <w:sz w:val="22"/>
          <w:szCs w:val="22"/>
        </w:rPr>
      </w:pPr>
      <w:r>
        <w:rPr>
          <w:rFonts w:ascii="Calibri" w:hAnsi="Calibri"/>
          <w:noProof/>
          <w:sz w:val="22"/>
          <w:szCs w:val="22"/>
        </w:rPr>
        <w:drawing>
          <wp:inline distT="0" distB="0" distL="0" distR="0">
            <wp:extent cx="57245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227726" w:rsidRDefault="00227726" w:rsidP="000D2F56">
      <w:pPr>
        <w:rPr>
          <w:rFonts w:eastAsia="Times New Roman" w:cs="Times New Roman"/>
          <w:lang w:eastAsia="en-GB"/>
        </w:rPr>
      </w:pPr>
      <w:r>
        <w:rPr>
          <w:rFonts w:eastAsia="Times New Roman" w:cs="Times New Roman"/>
          <w:lang w:eastAsia="en-GB"/>
        </w:rPr>
        <w:t>Note that the question responses are weighted and the responses for each heading are aggregated to give an overall score in the final spider diagram</w:t>
      </w:r>
      <w:r w:rsidR="00C72E0E">
        <w:rPr>
          <w:rFonts w:eastAsia="Times New Roman" w:cs="Times New Roman"/>
          <w:lang w:eastAsia="en-GB"/>
        </w:rPr>
        <w:t>, as opposed to showing responses for each individual indicator</w:t>
      </w:r>
      <w:r>
        <w:rPr>
          <w:rFonts w:eastAsia="Times New Roman" w:cs="Times New Roman"/>
          <w:lang w:eastAsia="en-GB"/>
        </w:rPr>
        <w:t xml:space="preserve">. The final scale therefore goes up to 10 as opposed to 5. </w:t>
      </w:r>
    </w:p>
    <w:p w:rsidR="00E91168" w:rsidRPr="00DA746F" w:rsidRDefault="00561BEF" w:rsidP="000D2F56">
      <w:pPr>
        <w:rPr>
          <w:rFonts w:eastAsia="Times New Roman" w:cs="Times New Roman"/>
          <w:b/>
          <w:u w:val="single"/>
          <w:lang w:eastAsia="en-GB"/>
        </w:rPr>
      </w:pPr>
      <w:r w:rsidRPr="00DA746F">
        <w:rPr>
          <w:rFonts w:eastAsia="Times New Roman" w:cs="Times New Roman"/>
          <w:b/>
          <w:u w:val="single"/>
          <w:lang w:eastAsia="en-GB"/>
        </w:rPr>
        <w:t>Tips on how to approach the self-evaluation exercise</w:t>
      </w:r>
      <w:r w:rsidR="001E55A9">
        <w:rPr>
          <w:rFonts w:eastAsia="Times New Roman" w:cs="Times New Roman"/>
          <w:b/>
          <w:u w:val="single"/>
          <w:lang w:eastAsia="en-GB"/>
        </w:rPr>
        <w:t xml:space="preserve"> </w:t>
      </w:r>
      <w:r w:rsidR="0058034B">
        <w:rPr>
          <w:rFonts w:eastAsia="Times New Roman" w:cs="Times New Roman"/>
          <w:b/>
          <w:u w:val="single"/>
          <w:lang w:eastAsia="en-GB"/>
        </w:rPr>
        <w:t>within your institution</w:t>
      </w:r>
    </w:p>
    <w:p w:rsidR="00C10027" w:rsidRDefault="00BA2759" w:rsidP="003654A2">
      <w:r>
        <w:t xml:space="preserve">Having worked with a pilot group of </w:t>
      </w:r>
      <w:r w:rsidR="0058034B">
        <w:t>institutions who shared their experiences of using a draft of the tool</w:t>
      </w:r>
      <w:r>
        <w:t>, the following tips were collated to assist universities in getting the most out of the FRINDOC tool:</w:t>
      </w:r>
    </w:p>
    <w:p w:rsidR="00BA2759" w:rsidRDefault="00184285" w:rsidP="006E2A0E">
      <w:pPr>
        <w:pStyle w:val="ListParagraph"/>
        <w:numPr>
          <w:ilvl w:val="0"/>
          <w:numId w:val="1"/>
        </w:numPr>
      </w:pPr>
      <w:r>
        <w:t>First and foremost, i</w:t>
      </w:r>
      <w:r w:rsidR="001415D2">
        <w:t xml:space="preserve">t is very important to understand the self-evaluation context of the tool. </w:t>
      </w:r>
      <w:r w:rsidR="0064005A">
        <w:t xml:space="preserve">The exercise should be approached </w:t>
      </w:r>
      <w:r w:rsidR="003B6625">
        <w:t xml:space="preserve">with the </w:t>
      </w:r>
      <w:proofErr w:type="spellStart"/>
      <w:r w:rsidR="003B6625">
        <w:t>mindset</w:t>
      </w:r>
      <w:proofErr w:type="spellEnd"/>
      <w:r w:rsidR="003B6625">
        <w:t xml:space="preserve"> of engaging in a quality enhancement project. The tool encourages a focus on processes and</w:t>
      </w:r>
      <w:r w:rsidR="0064005A">
        <w:t>,</w:t>
      </w:r>
      <w:r w:rsidR="003B6625">
        <w:t xml:space="preserve"> </w:t>
      </w:r>
      <w:r w:rsidR="0064005A">
        <w:t>therefore, it would not be particularly useful to place</w:t>
      </w:r>
      <w:r w:rsidR="003B6625">
        <w:t xml:space="preserve"> excessive emphasis on </w:t>
      </w:r>
      <w:r w:rsidR="0064005A">
        <w:t>KPIs</w:t>
      </w:r>
      <w:r w:rsidR="00186487">
        <w:t>. If using the tool is considered as a developmental exercise that can be revisited in the future, the outputs are likely to be more beneficial</w:t>
      </w:r>
    </w:p>
    <w:p w:rsidR="006E2A0E" w:rsidRDefault="006E2A0E" w:rsidP="006E2A0E">
      <w:pPr>
        <w:pStyle w:val="ListParagraph"/>
      </w:pPr>
    </w:p>
    <w:p w:rsidR="006E2A0E" w:rsidRDefault="00126476" w:rsidP="006E2A0E">
      <w:pPr>
        <w:pStyle w:val="ListParagraph"/>
        <w:numPr>
          <w:ilvl w:val="0"/>
          <w:numId w:val="1"/>
        </w:numPr>
      </w:pPr>
      <w:r>
        <w:lastRenderedPageBreak/>
        <w:t xml:space="preserve">It is highly recommended </w:t>
      </w:r>
      <w:r w:rsidR="00AF7AC7">
        <w:t>to adopt a collaborative approach to complete the tool within your institution and to consult with colleagues from various sections before assigning ratings. You can choose to either fill in the tool from the perspective of the entire institution or to set up ‘child accounts’ so that the tool can be completed from the perspective of multiple units. In either case, a coordinator should be</w:t>
      </w:r>
      <w:r>
        <w:t xml:space="preserve"> designated to organise the process. </w:t>
      </w:r>
      <w:r w:rsidR="00AF7AC7">
        <w:t>An example of the approach the coordinator</w:t>
      </w:r>
      <w:r>
        <w:t xml:space="preserve"> could </w:t>
      </w:r>
      <w:r w:rsidR="00AF7AC7">
        <w:t>take is as follows:</w:t>
      </w:r>
    </w:p>
    <w:p w:rsidR="00126476" w:rsidRDefault="00126476" w:rsidP="00126476">
      <w:pPr>
        <w:pStyle w:val="ListParagraph"/>
      </w:pPr>
    </w:p>
    <w:p w:rsidR="00126476" w:rsidRDefault="00AF7AC7" w:rsidP="00126476">
      <w:pPr>
        <w:pStyle w:val="ListParagraph"/>
        <w:numPr>
          <w:ilvl w:val="0"/>
          <w:numId w:val="5"/>
        </w:numPr>
      </w:pPr>
      <w:r>
        <w:t>Identify</w:t>
      </w:r>
      <w:r w:rsidR="00230198">
        <w:t xml:space="preserve"> suitable people to participate in the process</w:t>
      </w:r>
    </w:p>
    <w:p w:rsidR="00230198" w:rsidRDefault="00AF7AC7" w:rsidP="00126476">
      <w:pPr>
        <w:pStyle w:val="ListParagraph"/>
        <w:numPr>
          <w:ilvl w:val="0"/>
          <w:numId w:val="5"/>
        </w:numPr>
      </w:pPr>
      <w:r>
        <w:t>Possibly set</w:t>
      </w:r>
      <w:r w:rsidR="00230198">
        <w:t xml:space="preserve"> up ‘child accounts’ for different departments</w:t>
      </w:r>
    </w:p>
    <w:p w:rsidR="00230198" w:rsidRDefault="00AF7AC7" w:rsidP="00126476">
      <w:pPr>
        <w:pStyle w:val="ListParagraph"/>
        <w:numPr>
          <w:ilvl w:val="0"/>
          <w:numId w:val="5"/>
        </w:numPr>
      </w:pPr>
      <w:r>
        <w:t>Brief</w:t>
      </w:r>
      <w:r w:rsidR="00230198">
        <w:t xml:space="preserve"> senior management and those directly involved in the process</w:t>
      </w:r>
    </w:p>
    <w:p w:rsidR="00230198" w:rsidRDefault="00AF7AC7" w:rsidP="00126476">
      <w:pPr>
        <w:pStyle w:val="ListParagraph"/>
        <w:numPr>
          <w:ilvl w:val="0"/>
          <w:numId w:val="5"/>
        </w:numPr>
      </w:pPr>
      <w:r>
        <w:t>Analyse</w:t>
      </w:r>
      <w:r w:rsidR="00230198">
        <w:t xml:space="preserve"> the questions asked in the tool with a view to deciding on definitions of terms and the data which will be required (suggestions are provided below)</w:t>
      </w:r>
    </w:p>
    <w:p w:rsidR="00230198" w:rsidRDefault="00DF755A" w:rsidP="00126476">
      <w:pPr>
        <w:pStyle w:val="ListParagraph"/>
        <w:numPr>
          <w:ilvl w:val="0"/>
          <w:numId w:val="5"/>
        </w:numPr>
      </w:pPr>
      <w:r>
        <w:t>Organise an information session for all of those involved or selected representatives of various units/faculties</w:t>
      </w:r>
    </w:p>
    <w:p w:rsidR="00DF755A" w:rsidRDefault="00DF755A" w:rsidP="00126476">
      <w:pPr>
        <w:pStyle w:val="ListParagraph"/>
        <w:numPr>
          <w:ilvl w:val="0"/>
          <w:numId w:val="5"/>
        </w:numPr>
      </w:pPr>
      <w:r>
        <w:t>Compile the information submitted and prepare a comprehensive report</w:t>
      </w:r>
    </w:p>
    <w:p w:rsidR="00DF755A" w:rsidRDefault="00DF755A" w:rsidP="00126476">
      <w:pPr>
        <w:pStyle w:val="ListParagraph"/>
        <w:numPr>
          <w:ilvl w:val="0"/>
          <w:numId w:val="5"/>
        </w:numPr>
      </w:pPr>
      <w:r>
        <w:t>Organise a feedback session for all of those involved or selected representatives of various units/faculties to facilitate open discussion of the results</w:t>
      </w:r>
    </w:p>
    <w:p w:rsidR="00AF7AC7" w:rsidRDefault="00AF7AC7" w:rsidP="00AF7AC7">
      <w:pPr>
        <w:pStyle w:val="ListParagraph"/>
      </w:pPr>
    </w:p>
    <w:p w:rsidR="00AB3C68" w:rsidRDefault="001415D2" w:rsidP="008006D1">
      <w:pPr>
        <w:pStyle w:val="ListParagraph"/>
        <w:numPr>
          <w:ilvl w:val="0"/>
          <w:numId w:val="1"/>
        </w:numPr>
        <w:spacing w:before="240" w:after="0"/>
      </w:pPr>
      <w:r>
        <w:t>O</w:t>
      </w:r>
      <w:r w:rsidR="008808F1">
        <w:t>n the General Information page you are asked to select a context within which you are choosing to rate you</w:t>
      </w:r>
      <w:r>
        <w:t xml:space="preserve">r own university and its goals. While the tool has been explicitly designed for self-evaluation </w:t>
      </w:r>
      <w:r w:rsidR="006411BB">
        <w:t xml:space="preserve">purposes, choosing a context within which to </w:t>
      </w:r>
      <w:r w:rsidR="00025322">
        <w:t>evaluate your own university is a way of encouraging</w:t>
      </w:r>
      <w:r w:rsidR="0064005A">
        <w:t xml:space="preserve"> consistency in your responses and ke</w:t>
      </w:r>
      <w:r w:rsidR="003A2AB8">
        <w:t>eping a broader context in mind when interpreting the final report the tool will generate.</w:t>
      </w:r>
      <w:r w:rsidR="00AF7AC7">
        <w:t xml:space="preserve"> </w:t>
      </w:r>
      <w:r w:rsidR="00AB3C68">
        <w:t xml:space="preserve">It is essential that the team completing the tool have a common understanding of the chosen context and try to agree on the </w:t>
      </w:r>
      <w:r w:rsidR="00AF7AC7">
        <w:t xml:space="preserve">interpretation of each question. </w:t>
      </w:r>
      <w:r w:rsidR="00E36B35">
        <w:t xml:space="preserve">Clarifications have been provided in the tool regarding the questions but you are encouraged to interpret the questions according to your institution’s particular needs. </w:t>
      </w:r>
      <w:r w:rsidR="00AF7AC7">
        <w:t xml:space="preserve">It is also strongly recommended to complete the ‘Comments’ box following each question as this will help to further contextualise the final report generated. In cases where a team cannot reach consensus in terms of the ratings to be assigned, it could then be commented on that an agreement could not be reached on that particular rating </w:t>
      </w:r>
      <w:r w:rsidR="001913B9">
        <w:t>and why this is the case</w:t>
      </w:r>
    </w:p>
    <w:p w:rsidR="008006D1" w:rsidRDefault="008006D1" w:rsidP="008006D1">
      <w:pPr>
        <w:pStyle w:val="ListParagraph"/>
        <w:spacing w:before="240" w:after="0"/>
      </w:pPr>
    </w:p>
    <w:p w:rsidR="008006D1" w:rsidRDefault="008006D1" w:rsidP="008006D1">
      <w:pPr>
        <w:pStyle w:val="ListParagraph"/>
        <w:numPr>
          <w:ilvl w:val="0"/>
          <w:numId w:val="1"/>
        </w:numPr>
      </w:pPr>
      <w:r>
        <w:t>When assigning ratings for the goals you are also invited to elaborate on the instruments you could use in order to work towards these goals. The Statement on Int</w:t>
      </w:r>
      <w:r w:rsidR="001913B9">
        <w:t>ernationalisation can be used to provide inspiration in this regard</w:t>
      </w:r>
    </w:p>
    <w:p w:rsidR="00DB2255" w:rsidRDefault="00DB2255" w:rsidP="00DB2255">
      <w:pPr>
        <w:rPr>
          <w:rFonts w:eastAsia="Times New Roman" w:cs="Times New Roman"/>
          <w:b/>
          <w:u w:val="single"/>
          <w:lang w:eastAsia="en-GB"/>
        </w:rPr>
      </w:pPr>
      <w:r>
        <w:rPr>
          <w:rFonts w:eastAsia="Times New Roman" w:cs="Times New Roman"/>
          <w:b/>
          <w:u w:val="single"/>
          <w:lang w:eastAsia="en-GB"/>
        </w:rPr>
        <w:t>Technical considerations</w:t>
      </w:r>
    </w:p>
    <w:p w:rsidR="00DB2255" w:rsidRDefault="00DB2255" w:rsidP="00DB2255">
      <w:pPr>
        <w:rPr>
          <w:rFonts w:eastAsia="Times New Roman" w:cs="Times New Roman"/>
          <w:lang w:eastAsia="en-GB"/>
        </w:rPr>
      </w:pPr>
      <w:r>
        <w:rPr>
          <w:rFonts w:eastAsia="Times New Roman" w:cs="Times New Roman"/>
          <w:lang w:eastAsia="en-GB"/>
        </w:rPr>
        <w:t xml:space="preserve">The tool is user friendly and should not pose difficulties to use. </w:t>
      </w:r>
    </w:p>
    <w:p w:rsidR="000A0073" w:rsidRDefault="000A0073" w:rsidP="00DB2255">
      <w:pPr>
        <w:rPr>
          <w:rFonts w:eastAsia="Times New Roman" w:cs="Times New Roman"/>
          <w:lang w:eastAsia="en-GB"/>
        </w:rPr>
      </w:pPr>
      <w:r>
        <w:rPr>
          <w:rFonts w:eastAsia="Times New Roman" w:cs="Times New Roman"/>
          <w:lang w:eastAsia="en-GB"/>
        </w:rPr>
        <w:t xml:space="preserve">The first step is to register and create your account, which you can do by entering your email address and selecting a password. </w:t>
      </w:r>
    </w:p>
    <w:p w:rsidR="000A0073" w:rsidRDefault="000A0073" w:rsidP="000A0073">
      <w:pPr>
        <w:rPr>
          <w:rFonts w:eastAsia="Times New Roman" w:cs="Times New Roman"/>
          <w:lang w:eastAsia="en-GB"/>
        </w:rPr>
      </w:pPr>
      <w:r>
        <w:rPr>
          <w:rFonts w:eastAsia="Times New Roman" w:cs="Times New Roman"/>
          <w:lang w:eastAsia="en-GB"/>
        </w:rPr>
        <w:t xml:space="preserve">You must complete the General Information page in order to access the rest of the tool. On this page, you will also have the possibility of creating ‘child accounts’ so that multiple people from within the institution can access the tool and answer the questions from the perspective of their </w:t>
      </w:r>
      <w:r>
        <w:rPr>
          <w:rFonts w:eastAsia="Times New Roman" w:cs="Times New Roman"/>
          <w:lang w:eastAsia="en-GB"/>
        </w:rPr>
        <w:lastRenderedPageBreak/>
        <w:t>particular faculty/unit. Different email addresses and passwords are required for each ‘child account’.</w:t>
      </w:r>
    </w:p>
    <w:p w:rsidR="006827FE" w:rsidRDefault="00854F26" w:rsidP="00DB2255">
      <w:pPr>
        <w:rPr>
          <w:rFonts w:eastAsia="Times New Roman" w:cs="Times New Roman"/>
          <w:lang w:eastAsia="en-GB"/>
        </w:rPr>
      </w:pPr>
      <w:r>
        <w:rPr>
          <w:rFonts w:eastAsia="Times New Roman" w:cs="Times New Roman"/>
          <w:lang w:eastAsia="en-GB"/>
        </w:rPr>
        <w:t xml:space="preserve">You can now </w:t>
      </w:r>
      <w:r w:rsidR="00227858">
        <w:rPr>
          <w:rFonts w:eastAsia="Times New Roman" w:cs="Times New Roman"/>
          <w:lang w:eastAsia="en-GB"/>
        </w:rPr>
        <w:t>proceed to the ‘Current Status and Goals’ section where you can select</w:t>
      </w:r>
      <w:r>
        <w:rPr>
          <w:rFonts w:eastAsia="Times New Roman" w:cs="Times New Roman"/>
          <w:lang w:eastAsia="en-GB"/>
        </w:rPr>
        <w:t xml:space="preserve"> ratings corresponding to the </w:t>
      </w:r>
      <w:r w:rsidR="00227858">
        <w:rPr>
          <w:rFonts w:eastAsia="Times New Roman" w:cs="Times New Roman"/>
          <w:lang w:eastAsia="en-GB"/>
        </w:rPr>
        <w:t>current situation and intentions</w:t>
      </w:r>
      <w:r w:rsidR="00F96D1F">
        <w:rPr>
          <w:rFonts w:eastAsia="Times New Roman" w:cs="Times New Roman"/>
          <w:lang w:eastAsia="en-GB"/>
        </w:rPr>
        <w:t xml:space="preserve"> of your institution. In order to select a rating in the tool, hover your mouse over the circles and click on the relevant one. Each question also allows for text entry. You can insert as much text as you like (even though the text box may be small).</w:t>
      </w:r>
      <w:r w:rsidR="006827FE">
        <w:rPr>
          <w:rFonts w:eastAsia="Times New Roman" w:cs="Times New Roman"/>
          <w:lang w:eastAsia="en-GB"/>
        </w:rPr>
        <w:t xml:space="preserve">The scale ranges from 0 – 5 and we suggest </w:t>
      </w:r>
      <w:r w:rsidR="00F96D1F">
        <w:rPr>
          <w:rFonts w:eastAsia="Times New Roman" w:cs="Times New Roman"/>
          <w:lang w:eastAsia="en-GB"/>
        </w:rPr>
        <w:t xml:space="preserve">you bear the </w:t>
      </w:r>
      <w:r w:rsidR="006827FE">
        <w:rPr>
          <w:rFonts w:eastAsia="Times New Roman" w:cs="Times New Roman"/>
          <w:lang w:eastAsia="en-GB"/>
        </w:rPr>
        <w:t>following interpretation</w:t>
      </w:r>
      <w:r w:rsidR="00F96D1F">
        <w:rPr>
          <w:rFonts w:eastAsia="Times New Roman" w:cs="Times New Roman"/>
          <w:lang w:eastAsia="en-GB"/>
        </w:rPr>
        <w:t xml:space="preserve"> in mind when completing the tool</w:t>
      </w:r>
      <w:r w:rsidR="006827FE">
        <w:rPr>
          <w:rFonts w:eastAsia="Times New Roman" w:cs="Times New Roman"/>
          <w:lang w:eastAsia="en-GB"/>
        </w:rPr>
        <w:t>:</w:t>
      </w:r>
    </w:p>
    <w:p w:rsidR="006827FE" w:rsidRDefault="006827FE" w:rsidP="006827FE">
      <w:pPr>
        <w:spacing w:after="0"/>
        <w:rPr>
          <w:rFonts w:eastAsia="Times New Roman" w:cs="Times New Roman"/>
          <w:lang w:eastAsia="en-GB"/>
        </w:rPr>
      </w:pPr>
      <w:r w:rsidRPr="00F96D1F">
        <w:rPr>
          <w:rFonts w:eastAsia="Times New Roman" w:cs="Times New Roman"/>
          <w:b/>
          <w:lang w:eastAsia="en-GB"/>
        </w:rPr>
        <w:t>0 – 1</w:t>
      </w:r>
      <w:r>
        <w:rPr>
          <w:rFonts w:eastAsia="Times New Roman" w:cs="Times New Roman"/>
          <w:lang w:eastAsia="en-GB"/>
        </w:rPr>
        <w:t xml:space="preserve"> = </w:t>
      </w:r>
      <w:proofErr w:type="gramStart"/>
      <w:r>
        <w:rPr>
          <w:rFonts w:eastAsia="Times New Roman" w:cs="Times New Roman"/>
          <w:lang w:eastAsia="en-GB"/>
        </w:rPr>
        <w:t>We</w:t>
      </w:r>
      <w:proofErr w:type="gramEnd"/>
      <w:r>
        <w:rPr>
          <w:rFonts w:eastAsia="Times New Roman" w:cs="Times New Roman"/>
          <w:lang w:eastAsia="en-GB"/>
        </w:rPr>
        <w:t xml:space="preserve"> do worse than the universities within our chosen context</w:t>
      </w:r>
    </w:p>
    <w:p w:rsidR="006827FE" w:rsidRDefault="006827FE" w:rsidP="006827FE">
      <w:pPr>
        <w:spacing w:after="0"/>
        <w:rPr>
          <w:rFonts w:eastAsia="Times New Roman" w:cs="Times New Roman"/>
          <w:lang w:eastAsia="en-GB"/>
        </w:rPr>
      </w:pPr>
      <w:r w:rsidRPr="00F96D1F">
        <w:rPr>
          <w:rFonts w:eastAsia="Times New Roman" w:cs="Times New Roman"/>
          <w:b/>
          <w:lang w:eastAsia="en-GB"/>
        </w:rPr>
        <w:t>2 – 3</w:t>
      </w:r>
      <w:r>
        <w:rPr>
          <w:rFonts w:eastAsia="Times New Roman" w:cs="Times New Roman"/>
          <w:lang w:eastAsia="en-GB"/>
        </w:rPr>
        <w:t xml:space="preserve"> = </w:t>
      </w:r>
      <w:proofErr w:type="gramStart"/>
      <w:r>
        <w:rPr>
          <w:rFonts w:eastAsia="Times New Roman" w:cs="Times New Roman"/>
          <w:lang w:eastAsia="en-GB"/>
        </w:rPr>
        <w:t>We</w:t>
      </w:r>
      <w:proofErr w:type="gramEnd"/>
      <w:r>
        <w:rPr>
          <w:rFonts w:eastAsia="Times New Roman" w:cs="Times New Roman"/>
          <w:lang w:eastAsia="en-GB"/>
        </w:rPr>
        <w:t xml:space="preserve"> do as well as the universities within the chosen context</w:t>
      </w:r>
    </w:p>
    <w:p w:rsidR="006827FE" w:rsidRDefault="006827FE" w:rsidP="006827FE">
      <w:pPr>
        <w:spacing w:after="0"/>
        <w:rPr>
          <w:rFonts w:eastAsia="Times New Roman" w:cs="Times New Roman"/>
          <w:lang w:eastAsia="en-GB"/>
        </w:rPr>
      </w:pPr>
      <w:r w:rsidRPr="00F96D1F">
        <w:rPr>
          <w:rFonts w:eastAsia="Times New Roman" w:cs="Times New Roman"/>
          <w:b/>
          <w:lang w:eastAsia="en-GB"/>
        </w:rPr>
        <w:t>4 – 5</w:t>
      </w:r>
      <w:r>
        <w:rPr>
          <w:rFonts w:eastAsia="Times New Roman" w:cs="Times New Roman"/>
          <w:lang w:eastAsia="en-GB"/>
        </w:rPr>
        <w:t xml:space="preserve"> = </w:t>
      </w:r>
      <w:proofErr w:type="gramStart"/>
      <w:r>
        <w:rPr>
          <w:rFonts w:eastAsia="Times New Roman" w:cs="Times New Roman"/>
          <w:lang w:eastAsia="en-GB"/>
        </w:rPr>
        <w:t>We</w:t>
      </w:r>
      <w:proofErr w:type="gramEnd"/>
      <w:r>
        <w:rPr>
          <w:rFonts w:eastAsia="Times New Roman" w:cs="Times New Roman"/>
          <w:lang w:eastAsia="en-GB"/>
        </w:rPr>
        <w:t xml:space="preserve"> do better than the universities within the chosen context</w:t>
      </w:r>
    </w:p>
    <w:p w:rsidR="006827FE" w:rsidRDefault="006827FE" w:rsidP="006827FE">
      <w:pPr>
        <w:spacing w:after="0"/>
        <w:rPr>
          <w:rFonts w:eastAsia="Times New Roman" w:cs="Times New Roman"/>
          <w:lang w:eastAsia="en-GB"/>
        </w:rPr>
      </w:pPr>
    </w:p>
    <w:p w:rsidR="00DB2255" w:rsidRDefault="00227858" w:rsidP="00DB2255">
      <w:pPr>
        <w:rPr>
          <w:rFonts w:eastAsia="Times New Roman" w:cs="Times New Roman"/>
          <w:lang w:eastAsia="en-GB"/>
        </w:rPr>
      </w:pPr>
      <w:r>
        <w:rPr>
          <w:rFonts w:eastAsia="Times New Roman" w:cs="Times New Roman"/>
          <w:lang w:eastAsia="en-GB"/>
        </w:rPr>
        <w:t xml:space="preserve">To facilitate a collaborative approach to completing the tool within your institution, it is also possible to download all of the questions in Word or PDF format </w:t>
      </w:r>
      <w:r w:rsidR="00B15500">
        <w:rPr>
          <w:rFonts w:eastAsia="Times New Roman" w:cs="Times New Roman"/>
          <w:lang w:eastAsia="en-GB"/>
        </w:rPr>
        <w:t>from the upper right-hand corner of any of the pages</w:t>
      </w:r>
    </w:p>
    <w:p w:rsidR="000A0073" w:rsidRDefault="000A0073" w:rsidP="00DB2255">
      <w:pPr>
        <w:rPr>
          <w:rFonts w:eastAsia="Times New Roman" w:cs="Times New Roman"/>
          <w:lang w:eastAsia="en-GB"/>
        </w:rPr>
      </w:pPr>
      <w:r>
        <w:rPr>
          <w:rFonts w:eastAsia="Times New Roman" w:cs="Times New Roman"/>
          <w:lang w:eastAsia="en-GB"/>
        </w:rPr>
        <w:t>You can move forwards and backwards through the questions as much as you like. Please always click the ‘next’ button at the bottom of each page to ens</w:t>
      </w:r>
      <w:r w:rsidR="00F96D1F">
        <w:rPr>
          <w:rFonts w:eastAsia="Times New Roman" w:cs="Times New Roman"/>
          <w:lang w:eastAsia="en-GB"/>
        </w:rPr>
        <w:t>ure that your answers are saved</w:t>
      </w:r>
      <w:r w:rsidR="008730E2">
        <w:rPr>
          <w:rFonts w:eastAsia="Times New Roman" w:cs="Times New Roman"/>
          <w:lang w:eastAsia="en-GB"/>
        </w:rPr>
        <w:t>.</w:t>
      </w:r>
      <w:r>
        <w:rPr>
          <w:rFonts w:eastAsia="Times New Roman" w:cs="Times New Roman"/>
          <w:lang w:eastAsia="en-GB"/>
        </w:rPr>
        <w:t xml:space="preserve"> </w:t>
      </w:r>
    </w:p>
    <w:p w:rsidR="000A0073" w:rsidRDefault="000A0073" w:rsidP="00DB2255">
      <w:pPr>
        <w:rPr>
          <w:rFonts w:eastAsia="Times New Roman" w:cs="Times New Roman"/>
          <w:lang w:eastAsia="en-GB"/>
        </w:rPr>
      </w:pPr>
      <w:r>
        <w:rPr>
          <w:rFonts w:eastAsia="Times New Roman" w:cs="Times New Roman"/>
          <w:lang w:eastAsia="en-GB"/>
        </w:rPr>
        <w:t xml:space="preserve">Please be aware that the FRINDOC tool requires reflection, communication with colleagues and knowledge of a certain amount of data about your institution, so you may not want to fill it out all at once. All of your work will be saved, and you are free to enter and exit at your own pace. You can return anytime by entering your Username and Password. </w:t>
      </w:r>
    </w:p>
    <w:p w:rsidR="008730E2" w:rsidRDefault="008730E2" w:rsidP="00DB2255">
      <w:pPr>
        <w:rPr>
          <w:rFonts w:eastAsia="Times New Roman" w:cs="Times New Roman"/>
          <w:lang w:eastAsia="en-GB"/>
        </w:rPr>
      </w:pPr>
      <w:r>
        <w:rPr>
          <w:rFonts w:eastAsia="Times New Roman" w:cs="Times New Roman"/>
          <w:lang w:eastAsia="en-GB"/>
        </w:rPr>
        <w:t>When you have completed the tool, you will have the option to print the resulting spider diagram and answers to the questions in PDF format.</w:t>
      </w:r>
    </w:p>
    <w:p w:rsidR="007130BC" w:rsidRDefault="00C326C7" w:rsidP="00C326C7">
      <w:pPr>
        <w:rPr>
          <w:rFonts w:eastAsia="Calibri" w:cs="Times New Roman"/>
          <w:sz w:val="21"/>
          <w:szCs w:val="21"/>
        </w:rPr>
      </w:pPr>
      <w:r>
        <w:rPr>
          <w:rFonts w:eastAsia="Times New Roman" w:cs="Times New Roman"/>
          <w:lang w:eastAsia="en-GB"/>
        </w:rPr>
        <w:t xml:space="preserve">Should you have any technical problems, please contact EUA at </w:t>
      </w:r>
      <w:hyperlink r:id="rId9" w:history="1">
        <w:r w:rsidRPr="006B0AD0">
          <w:rPr>
            <w:rStyle w:val="Hyperlink"/>
            <w:rFonts w:eastAsia="Times New Roman" w:cs="Times New Roman"/>
            <w:lang w:eastAsia="en-GB"/>
          </w:rPr>
          <w:t>joanne.byrne@eua.be</w:t>
        </w:r>
      </w:hyperlink>
      <w:r>
        <w:rPr>
          <w:rFonts w:eastAsia="Times New Roman" w:cs="Times New Roman"/>
          <w:lang w:eastAsia="en-GB"/>
        </w:rPr>
        <w:t xml:space="preserve"> </w:t>
      </w:r>
    </w:p>
    <w:p w:rsidR="007130BC" w:rsidRDefault="007130BC" w:rsidP="007130BC">
      <w:pPr>
        <w:spacing w:after="0"/>
        <w:rPr>
          <w:b/>
          <w:u w:val="single"/>
        </w:rPr>
      </w:pPr>
      <w:r w:rsidRPr="004A4D81">
        <w:rPr>
          <w:b/>
          <w:u w:val="single"/>
        </w:rPr>
        <w:t>Recommended data</w:t>
      </w:r>
      <w:r w:rsidR="005E7195">
        <w:rPr>
          <w:b/>
          <w:u w:val="single"/>
        </w:rPr>
        <w:t xml:space="preserve"> to have at hand when using the tool</w:t>
      </w:r>
    </w:p>
    <w:p w:rsidR="005E7195" w:rsidRPr="004A4D81" w:rsidRDefault="005E7195" w:rsidP="007130BC">
      <w:pPr>
        <w:spacing w:after="0"/>
        <w:rPr>
          <w:b/>
          <w:u w:val="single"/>
        </w:rPr>
      </w:pPr>
    </w:p>
    <w:p w:rsidR="007130BC" w:rsidRDefault="007130BC" w:rsidP="007130BC">
      <w:pPr>
        <w:spacing w:after="0"/>
        <w:rPr>
          <w:i/>
        </w:rPr>
      </w:pPr>
      <w:r>
        <w:rPr>
          <w:i/>
        </w:rPr>
        <w:t xml:space="preserve">In order to fully benefit from the tool, certain data should be fed into it. The list below is not categorical. Neither is it strictly necessary to have all of this information. The institutional coordinator is advised to check the list, make changes and add recommendations for colleagues where s/he thinks they are relevant. </w:t>
      </w:r>
      <w:r w:rsidR="00930103">
        <w:rPr>
          <w:i/>
        </w:rPr>
        <w:t xml:space="preserve">Anecdotal evidence can also be helpful. </w:t>
      </w:r>
      <w:r>
        <w:rPr>
          <w:i/>
        </w:rPr>
        <w:t xml:space="preserve">(Where possible, finding similar information for institutions within the chosen context would also be </w:t>
      </w:r>
      <w:r w:rsidR="00930103">
        <w:rPr>
          <w:i/>
        </w:rPr>
        <w:t>of use</w:t>
      </w:r>
      <w:r>
        <w:rPr>
          <w:i/>
        </w:rPr>
        <w:t>)</w:t>
      </w:r>
    </w:p>
    <w:p w:rsidR="007130BC" w:rsidRDefault="007130BC" w:rsidP="007130BC">
      <w:pPr>
        <w:spacing w:after="0"/>
        <w:rPr>
          <w:i/>
        </w:rPr>
      </w:pPr>
    </w:p>
    <w:p w:rsidR="007130BC" w:rsidRPr="00853F5A" w:rsidRDefault="007130BC" w:rsidP="007130BC">
      <w:pPr>
        <w:spacing w:after="0"/>
        <w:rPr>
          <w:i/>
        </w:rPr>
      </w:pPr>
      <w:r>
        <w:rPr>
          <w:i/>
        </w:rPr>
        <w:t xml:space="preserve">Section </w:t>
      </w:r>
      <w:proofErr w:type="gramStart"/>
      <w:r>
        <w:rPr>
          <w:i/>
        </w:rPr>
        <w:t>A</w:t>
      </w:r>
      <w:proofErr w:type="gramEnd"/>
      <w:r>
        <w:rPr>
          <w:i/>
        </w:rPr>
        <w:t xml:space="preserve"> – Research Capacity</w:t>
      </w:r>
    </w:p>
    <w:p w:rsidR="007130BC" w:rsidRDefault="007130BC" w:rsidP="007130BC">
      <w:pPr>
        <w:pStyle w:val="ListParagraph"/>
        <w:numPr>
          <w:ilvl w:val="0"/>
          <w:numId w:val="2"/>
        </w:numPr>
        <w:spacing w:after="0"/>
      </w:pPr>
      <w:r>
        <w:t>The amount of national and international funding the institution has received in the previous 5 years</w:t>
      </w:r>
    </w:p>
    <w:p w:rsidR="007130BC" w:rsidRDefault="007130BC" w:rsidP="007130BC">
      <w:pPr>
        <w:pStyle w:val="ListParagraph"/>
        <w:numPr>
          <w:ilvl w:val="0"/>
          <w:numId w:val="2"/>
        </w:numPr>
        <w:spacing w:after="0"/>
      </w:pPr>
      <w:r>
        <w:t>Time records of academic staff</w:t>
      </w:r>
    </w:p>
    <w:p w:rsidR="007130BC" w:rsidRDefault="007130BC" w:rsidP="007130BC">
      <w:pPr>
        <w:pStyle w:val="ListParagraph"/>
        <w:numPr>
          <w:ilvl w:val="0"/>
          <w:numId w:val="2"/>
        </w:numPr>
        <w:spacing w:after="0"/>
      </w:pPr>
      <w:r>
        <w:t>Information regarding compulsory and optional training for PhD supervisors in the institution</w:t>
      </w:r>
    </w:p>
    <w:p w:rsidR="007130BC" w:rsidRDefault="007130BC" w:rsidP="007130BC">
      <w:pPr>
        <w:pStyle w:val="ListParagraph"/>
        <w:numPr>
          <w:ilvl w:val="0"/>
          <w:numId w:val="2"/>
        </w:numPr>
        <w:spacing w:after="0"/>
      </w:pPr>
      <w:r>
        <w:t>Supervisor/student ratio</w:t>
      </w:r>
    </w:p>
    <w:p w:rsidR="007130BC" w:rsidRDefault="007130BC" w:rsidP="007130BC">
      <w:pPr>
        <w:pStyle w:val="ListParagraph"/>
        <w:numPr>
          <w:ilvl w:val="0"/>
          <w:numId w:val="2"/>
        </w:numPr>
        <w:spacing w:after="0"/>
      </w:pPr>
      <w:r>
        <w:t>Number of annual doctoral graduations in the institution</w:t>
      </w:r>
    </w:p>
    <w:p w:rsidR="007130BC" w:rsidRDefault="007130BC" w:rsidP="007130BC">
      <w:pPr>
        <w:pStyle w:val="ListParagraph"/>
        <w:numPr>
          <w:ilvl w:val="0"/>
          <w:numId w:val="2"/>
        </w:numPr>
        <w:spacing w:after="0"/>
      </w:pPr>
      <w:r>
        <w:lastRenderedPageBreak/>
        <w:t xml:space="preserve">Research output, for example in </w:t>
      </w:r>
      <w:proofErr w:type="spellStart"/>
      <w:r>
        <w:t>bibliometric</w:t>
      </w:r>
      <w:proofErr w:type="spellEnd"/>
      <w:r>
        <w:t xml:space="preserve"> terms</w:t>
      </w:r>
    </w:p>
    <w:p w:rsidR="007130BC" w:rsidRDefault="007130BC" w:rsidP="007130BC">
      <w:pPr>
        <w:pStyle w:val="ListParagraph"/>
        <w:numPr>
          <w:ilvl w:val="0"/>
          <w:numId w:val="2"/>
        </w:numPr>
        <w:spacing w:after="0"/>
      </w:pPr>
      <w:r>
        <w:t>The amount of competitive external funding received in the previous 5(?) years</w:t>
      </w:r>
    </w:p>
    <w:p w:rsidR="007130BC" w:rsidRDefault="007130BC" w:rsidP="007130BC">
      <w:pPr>
        <w:pStyle w:val="ListParagraph"/>
        <w:numPr>
          <w:ilvl w:val="0"/>
          <w:numId w:val="2"/>
        </w:numPr>
        <w:spacing w:after="0"/>
      </w:pPr>
      <w:r>
        <w:t>The amount of internal funding provided by the institution for doctoral candidates</w:t>
      </w:r>
    </w:p>
    <w:p w:rsidR="007130BC" w:rsidRDefault="007130BC" w:rsidP="007130BC">
      <w:pPr>
        <w:pStyle w:val="ListParagraph"/>
        <w:numPr>
          <w:ilvl w:val="0"/>
          <w:numId w:val="2"/>
        </w:numPr>
        <w:spacing w:after="0"/>
      </w:pPr>
      <w:r>
        <w:t>Results of external research evaluations</w:t>
      </w:r>
    </w:p>
    <w:p w:rsidR="007130BC" w:rsidRDefault="007130BC" w:rsidP="007130BC">
      <w:pPr>
        <w:spacing w:after="0"/>
      </w:pPr>
    </w:p>
    <w:p w:rsidR="007130BC" w:rsidRPr="00853F5A" w:rsidRDefault="007130BC" w:rsidP="007130BC">
      <w:pPr>
        <w:spacing w:after="0"/>
        <w:rPr>
          <w:i/>
        </w:rPr>
      </w:pPr>
      <w:r w:rsidRPr="00853F5A">
        <w:rPr>
          <w:i/>
        </w:rPr>
        <w:t>Section B</w:t>
      </w:r>
      <w:r>
        <w:rPr>
          <w:i/>
        </w:rPr>
        <w:t xml:space="preserve"> – International Profile</w:t>
      </w:r>
    </w:p>
    <w:p w:rsidR="007130BC" w:rsidRDefault="007130BC" w:rsidP="007130BC">
      <w:pPr>
        <w:pStyle w:val="ListParagraph"/>
        <w:numPr>
          <w:ilvl w:val="0"/>
          <w:numId w:val="2"/>
        </w:numPr>
        <w:spacing w:after="0"/>
      </w:pPr>
      <w:r>
        <w:t>The number of international research staff in the institution</w:t>
      </w:r>
    </w:p>
    <w:p w:rsidR="007130BC" w:rsidRDefault="007130BC" w:rsidP="007130BC">
      <w:pPr>
        <w:pStyle w:val="ListParagraph"/>
        <w:numPr>
          <w:ilvl w:val="0"/>
          <w:numId w:val="2"/>
        </w:numPr>
        <w:spacing w:after="0"/>
      </w:pPr>
      <w:r>
        <w:t xml:space="preserve">Number of international doctoral candidates </w:t>
      </w:r>
    </w:p>
    <w:p w:rsidR="007130BC" w:rsidRDefault="007130BC" w:rsidP="007130BC">
      <w:pPr>
        <w:pStyle w:val="ListParagraph"/>
        <w:numPr>
          <w:ilvl w:val="0"/>
          <w:numId w:val="2"/>
        </w:numPr>
        <w:spacing w:after="0"/>
      </w:pPr>
      <w:r>
        <w:t>Opportunities for doctoral candidates to learn the national language/foreign languages</w:t>
      </w:r>
    </w:p>
    <w:p w:rsidR="007130BC" w:rsidRDefault="007130BC" w:rsidP="007130BC">
      <w:pPr>
        <w:pStyle w:val="ListParagraph"/>
        <w:numPr>
          <w:ilvl w:val="0"/>
          <w:numId w:val="2"/>
        </w:numPr>
        <w:spacing w:after="0"/>
      </w:pPr>
      <w:r>
        <w:t>Number of strategic international partnerships, agreements, double degrees etc.</w:t>
      </w:r>
    </w:p>
    <w:p w:rsidR="007130BC" w:rsidRDefault="007130BC" w:rsidP="007130BC">
      <w:pPr>
        <w:pStyle w:val="ListParagraph"/>
        <w:numPr>
          <w:ilvl w:val="0"/>
          <w:numId w:val="2"/>
        </w:numPr>
        <w:spacing w:after="0"/>
      </w:pPr>
      <w:r>
        <w:t>Number of staff engaged in international networks</w:t>
      </w:r>
    </w:p>
    <w:p w:rsidR="007130BC" w:rsidRDefault="007130BC" w:rsidP="007130BC">
      <w:pPr>
        <w:spacing w:after="0"/>
      </w:pPr>
    </w:p>
    <w:p w:rsidR="007130BC" w:rsidRDefault="007130BC" w:rsidP="007130BC">
      <w:pPr>
        <w:spacing w:after="0"/>
        <w:rPr>
          <w:i/>
        </w:rPr>
      </w:pPr>
      <w:r w:rsidRPr="00CA22D3">
        <w:rPr>
          <w:i/>
        </w:rPr>
        <w:t>Section C</w:t>
      </w:r>
      <w:r>
        <w:rPr>
          <w:i/>
        </w:rPr>
        <w:t xml:space="preserve"> – Institutional Framework</w:t>
      </w:r>
    </w:p>
    <w:p w:rsidR="007130BC" w:rsidRDefault="007130BC" w:rsidP="007130BC">
      <w:pPr>
        <w:pStyle w:val="ListParagraph"/>
        <w:numPr>
          <w:ilvl w:val="0"/>
          <w:numId w:val="2"/>
        </w:numPr>
        <w:spacing w:after="0"/>
      </w:pPr>
      <w:r>
        <w:t>Relevant internal quality assurance procedures</w:t>
      </w:r>
    </w:p>
    <w:p w:rsidR="007130BC" w:rsidRDefault="007130BC" w:rsidP="007130BC">
      <w:pPr>
        <w:pStyle w:val="ListParagraph"/>
        <w:numPr>
          <w:ilvl w:val="0"/>
          <w:numId w:val="2"/>
        </w:numPr>
        <w:spacing w:after="0"/>
      </w:pPr>
      <w:r>
        <w:t>Relevant external quality assurance procedures</w:t>
      </w:r>
    </w:p>
    <w:p w:rsidR="007130BC" w:rsidRPr="00B44C55" w:rsidRDefault="007130BC" w:rsidP="007130BC">
      <w:pPr>
        <w:pStyle w:val="ListParagraph"/>
        <w:numPr>
          <w:ilvl w:val="0"/>
          <w:numId w:val="2"/>
        </w:numPr>
        <w:spacing w:after="0"/>
        <w:rPr>
          <w:lang w:val="fr-FR"/>
        </w:rPr>
      </w:pPr>
      <w:r w:rsidRPr="00B44C55">
        <w:rPr>
          <w:lang w:val="fr-FR"/>
        </w:rPr>
        <w:t xml:space="preserve">Management of </w:t>
      </w:r>
      <w:proofErr w:type="spellStart"/>
      <w:r w:rsidRPr="00B44C55">
        <w:rPr>
          <w:lang w:val="fr-FR"/>
        </w:rPr>
        <w:t>travel</w:t>
      </w:r>
      <w:proofErr w:type="spellEnd"/>
      <w:r w:rsidRPr="00B44C55">
        <w:rPr>
          <w:lang w:val="fr-FR"/>
        </w:rPr>
        <w:t xml:space="preserve">, visa applications etc. </w:t>
      </w:r>
    </w:p>
    <w:p w:rsidR="007130BC" w:rsidRDefault="007130BC" w:rsidP="007130BC">
      <w:pPr>
        <w:pStyle w:val="ListParagraph"/>
        <w:numPr>
          <w:ilvl w:val="0"/>
          <w:numId w:val="2"/>
        </w:numPr>
        <w:spacing w:after="0"/>
      </w:pPr>
      <w:r>
        <w:t>Visa rules and restrictions</w:t>
      </w:r>
    </w:p>
    <w:p w:rsidR="007130BC" w:rsidRDefault="007130BC" w:rsidP="007130BC">
      <w:pPr>
        <w:spacing w:after="0"/>
      </w:pPr>
    </w:p>
    <w:p w:rsidR="007130BC" w:rsidRPr="00F4134B" w:rsidRDefault="007130BC" w:rsidP="007130BC">
      <w:pPr>
        <w:spacing w:after="0"/>
        <w:rPr>
          <w:i/>
        </w:rPr>
      </w:pPr>
      <w:r w:rsidRPr="00F4134B">
        <w:rPr>
          <w:i/>
        </w:rPr>
        <w:t>Section D</w:t>
      </w:r>
      <w:r>
        <w:rPr>
          <w:i/>
        </w:rPr>
        <w:t xml:space="preserve"> - Mobility</w:t>
      </w:r>
    </w:p>
    <w:p w:rsidR="007130BC" w:rsidRDefault="007130BC" w:rsidP="007130BC">
      <w:pPr>
        <w:pStyle w:val="ListParagraph"/>
        <w:numPr>
          <w:ilvl w:val="0"/>
          <w:numId w:val="2"/>
        </w:numPr>
        <w:spacing w:after="0"/>
      </w:pPr>
      <w:r>
        <w:t>The frequency with which doctoral candidates engage in mobility (long-term, short-term, conference attendance)</w:t>
      </w:r>
    </w:p>
    <w:p w:rsidR="007130BC" w:rsidRDefault="007130BC" w:rsidP="007130BC">
      <w:pPr>
        <w:pStyle w:val="ListParagraph"/>
        <w:numPr>
          <w:ilvl w:val="0"/>
          <w:numId w:val="2"/>
        </w:numPr>
        <w:spacing w:after="0"/>
      </w:pPr>
      <w:r>
        <w:t xml:space="preserve">Funding available for mobility of doctoral candidates </w:t>
      </w:r>
    </w:p>
    <w:p w:rsidR="007130BC" w:rsidRDefault="007130BC" w:rsidP="007130BC">
      <w:pPr>
        <w:pStyle w:val="ListParagraph"/>
        <w:numPr>
          <w:ilvl w:val="0"/>
          <w:numId w:val="2"/>
        </w:numPr>
        <w:spacing w:after="0"/>
      </w:pPr>
      <w:r>
        <w:t>The frequency with which supervisors engage in mobility</w:t>
      </w:r>
    </w:p>
    <w:p w:rsidR="007130BC" w:rsidRDefault="007130BC" w:rsidP="007130BC">
      <w:pPr>
        <w:spacing w:after="0"/>
      </w:pPr>
    </w:p>
    <w:p w:rsidR="007130BC" w:rsidRDefault="007130BC" w:rsidP="007130BC">
      <w:pPr>
        <w:spacing w:after="0"/>
        <w:rPr>
          <w:b/>
          <w:u w:val="single"/>
        </w:rPr>
      </w:pPr>
      <w:r w:rsidRPr="004A4D81">
        <w:rPr>
          <w:b/>
          <w:u w:val="single"/>
        </w:rPr>
        <w:t>Proposed definitions</w:t>
      </w:r>
      <w:r w:rsidR="005E7195">
        <w:rPr>
          <w:b/>
          <w:u w:val="single"/>
        </w:rPr>
        <w:t xml:space="preserve"> of terms</w:t>
      </w:r>
    </w:p>
    <w:p w:rsidR="005E7195" w:rsidRPr="004A4D81" w:rsidRDefault="005E7195" w:rsidP="007130BC">
      <w:pPr>
        <w:spacing w:after="0"/>
        <w:rPr>
          <w:b/>
          <w:u w:val="single"/>
        </w:rPr>
      </w:pPr>
    </w:p>
    <w:p w:rsidR="007130BC" w:rsidRDefault="007130BC" w:rsidP="007130BC">
      <w:pPr>
        <w:spacing w:after="0"/>
        <w:rPr>
          <w:i/>
        </w:rPr>
      </w:pPr>
      <w:r>
        <w:rPr>
          <w:i/>
        </w:rPr>
        <w:t>The list below is not categorical. Users are free to change definitions to suit different contexts. The institutional coordinator is advised to check the list, make changes and add additional terms where s/he thinks they are relevant for colleagues.</w:t>
      </w:r>
    </w:p>
    <w:p w:rsidR="007130BC" w:rsidRDefault="007130BC" w:rsidP="007130BC">
      <w:pPr>
        <w:spacing w:after="0"/>
        <w:rPr>
          <w:i/>
        </w:rPr>
      </w:pPr>
    </w:p>
    <w:p w:rsidR="007130BC" w:rsidRDefault="007130BC" w:rsidP="007130BC">
      <w:pPr>
        <w:pStyle w:val="ListParagraph"/>
        <w:numPr>
          <w:ilvl w:val="0"/>
          <w:numId w:val="3"/>
        </w:numPr>
        <w:spacing w:after="0"/>
      </w:pPr>
      <w:r w:rsidRPr="00F96725">
        <w:rPr>
          <w:b/>
        </w:rPr>
        <w:t>Doctoral candidate:</w:t>
      </w:r>
      <w:r>
        <w:t xml:space="preserve"> </w:t>
      </w:r>
      <w:r w:rsidR="007F580C">
        <w:rPr>
          <w:lang w:val="en-US"/>
        </w:rPr>
        <w:t>A person conducting research and / or aiming to submit a thesis with the goal of acquiring a doctoral degree</w:t>
      </w:r>
    </w:p>
    <w:p w:rsidR="007130BC" w:rsidRPr="00F96725" w:rsidRDefault="007130BC" w:rsidP="007130BC">
      <w:pPr>
        <w:pStyle w:val="ListParagraph"/>
        <w:numPr>
          <w:ilvl w:val="0"/>
          <w:numId w:val="3"/>
        </w:numPr>
        <w:spacing w:after="0"/>
        <w:rPr>
          <w:b/>
        </w:rPr>
      </w:pPr>
      <w:r w:rsidRPr="00F96725">
        <w:rPr>
          <w:b/>
        </w:rPr>
        <w:t>Staff:</w:t>
      </w:r>
      <w:r w:rsidR="00B14856">
        <w:rPr>
          <w:b/>
        </w:rPr>
        <w:t xml:space="preserve"> </w:t>
      </w:r>
      <w:r w:rsidR="00B14856">
        <w:t>Full-time equivalent research staff employed by the institution, not including doctoral candidates</w:t>
      </w:r>
    </w:p>
    <w:p w:rsidR="007130BC" w:rsidRPr="00F96725" w:rsidRDefault="007130BC" w:rsidP="007130BC">
      <w:pPr>
        <w:pStyle w:val="ListParagraph"/>
        <w:numPr>
          <w:ilvl w:val="0"/>
          <w:numId w:val="3"/>
        </w:numPr>
        <w:spacing w:after="0"/>
        <w:rPr>
          <w:b/>
        </w:rPr>
      </w:pPr>
      <w:r w:rsidRPr="00F96725">
        <w:rPr>
          <w:b/>
        </w:rPr>
        <w:t>Research capacity:</w:t>
      </w:r>
      <w:r w:rsidR="00B14856">
        <w:rPr>
          <w:b/>
        </w:rPr>
        <w:t xml:space="preserve"> </w:t>
      </w:r>
      <w:r w:rsidR="008006D1">
        <w:t xml:space="preserve">The capacity of the institution to carry out research according to internationally recognised standards in terms of trained research staff, equipment and funding </w:t>
      </w:r>
    </w:p>
    <w:p w:rsidR="007130BC" w:rsidRPr="00F96725" w:rsidRDefault="007130BC" w:rsidP="007130BC">
      <w:pPr>
        <w:pStyle w:val="ListParagraph"/>
        <w:numPr>
          <w:ilvl w:val="0"/>
          <w:numId w:val="3"/>
        </w:numPr>
        <w:spacing w:after="0"/>
        <w:rPr>
          <w:b/>
        </w:rPr>
      </w:pPr>
      <w:bookmarkStart w:id="0" w:name="_GoBack"/>
      <w:bookmarkEnd w:id="0"/>
      <w:r w:rsidRPr="00F96725">
        <w:rPr>
          <w:b/>
        </w:rPr>
        <w:t>Institutional reputation:</w:t>
      </w:r>
      <w:r w:rsidR="008006D1">
        <w:rPr>
          <w:b/>
        </w:rPr>
        <w:t xml:space="preserve"> </w:t>
      </w:r>
      <w:r w:rsidR="00CB0CE4">
        <w:t>Reputation of the institution in terms of research, teaching and overall quality</w:t>
      </w:r>
    </w:p>
    <w:p w:rsidR="007130BC" w:rsidRPr="00F96725" w:rsidRDefault="007130BC" w:rsidP="007130BC">
      <w:pPr>
        <w:pStyle w:val="ListParagraph"/>
        <w:numPr>
          <w:ilvl w:val="0"/>
          <w:numId w:val="3"/>
        </w:numPr>
        <w:spacing w:after="0"/>
        <w:rPr>
          <w:b/>
        </w:rPr>
      </w:pPr>
      <w:r w:rsidRPr="00F96725">
        <w:rPr>
          <w:b/>
        </w:rPr>
        <w:t>Internal QA:</w:t>
      </w:r>
      <w:r w:rsidR="008006D1">
        <w:rPr>
          <w:b/>
        </w:rPr>
        <w:t xml:space="preserve"> </w:t>
      </w:r>
      <w:r w:rsidR="009A52F2">
        <w:t>Q</w:t>
      </w:r>
      <w:r w:rsidR="008006D1" w:rsidRPr="007F42C7">
        <w:t>uality assurance processes and structures that ar</w:t>
      </w:r>
      <w:r w:rsidR="008006D1">
        <w:t>e managed within an institution</w:t>
      </w:r>
    </w:p>
    <w:p w:rsidR="009A52F2" w:rsidRPr="009A52F2" w:rsidRDefault="007130BC" w:rsidP="009A52F2">
      <w:pPr>
        <w:pStyle w:val="ListParagraph"/>
        <w:numPr>
          <w:ilvl w:val="0"/>
          <w:numId w:val="3"/>
        </w:numPr>
        <w:rPr>
          <w:rFonts w:ascii="Calibri" w:eastAsia="Times New Roman" w:hAnsi="Calibri" w:cs="Times New Roman"/>
          <w:lang w:eastAsia="en-GB"/>
        </w:rPr>
      </w:pPr>
      <w:r w:rsidRPr="009A52F2">
        <w:rPr>
          <w:b/>
        </w:rPr>
        <w:t>External QA:</w:t>
      </w:r>
      <w:r w:rsidR="009A52F2" w:rsidRPr="009A52F2">
        <w:rPr>
          <w:b/>
        </w:rPr>
        <w:t xml:space="preserve"> </w:t>
      </w:r>
      <w:r w:rsidR="009A52F2" w:rsidRPr="009A52F2">
        <w:rPr>
          <w:rFonts w:ascii="Calibri" w:eastAsia="Times New Roman" w:hAnsi="Calibri" w:cs="Times New Roman"/>
          <w:lang w:eastAsia="en-GB"/>
        </w:rPr>
        <w:t>The form of this varies from system to system and can include institutional evaluations of different types; subject or programme evaluations; accreditation at subject, programme and institutional levels; and combinations of these</w:t>
      </w:r>
    </w:p>
    <w:p w:rsidR="007130BC" w:rsidRPr="00F96725" w:rsidRDefault="007130BC" w:rsidP="007130BC">
      <w:pPr>
        <w:pStyle w:val="ListParagraph"/>
        <w:numPr>
          <w:ilvl w:val="0"/>
          <w:numId w:val="3"/>
        </w:numPr>
        <w:spacing w:after="0"/>
        <w:rPr>
          <w:b/>
        </w:rPr>
      </w:pPr>
      <w:r w:rsidRPr="00F96725">
        <w:rPr>
          <w:b/>
        </w:rPr>
        <w:t>National legal and administrative framework:</w:t>
      </w:r>
      <w:r w:rsidR="009A52F2">
        <w:rPr>
          <w:b/>
        </w:rPr>
        <w:t xml:space="preserve"> </w:t>
      </w:r>
      <w:r w:rsidR="005C5CA4" w:rsidRPr="005C5CA4">
        <w:t>National rules and regulations</w:t>
      </w:r>
    </w:p>
    <w:p w:rsidR="007130BC" w:rsidRPr="00F96725" w:rsidRDefault="007130BC" w:rsidP="007130BC">
      <w:pPr>
        <w:pStyle w:val="ListParagraph"/>
        <w:numPr>
          <w:ilvl w:val="0"/>
          <w:numId w:val="3"/>
        </w:numPr>
        <w:spacing w:after="0"/>
        <w:rPr>
          <w:b/>
        </w:rPr>
      </w:pPr>
      <w:r w:rsidRPr="00F96725">
        <w:rPr>
          <w:b/>
        </w:rPr>
        <w:lastRenderedPageBreak/>
        <w:t>Short-term mobility</w:t>
      </w:r>
      <w:r w:rsidR="00F96725">
        <w:rPr>
          <w:b/>
        </w:rPr>
        <w:t>:</w:t>
      </w:r>
      <w:r w:rsidR="009A52F2">
        <w:rPr>
          <w:b/>
        </w:rPr>
        <w:t xml:space="preserve"> </w:t>
      </w:r>
      <w:r w:rsidR="009A52F2">
        <w:t>Mobility periods of three months or less, not including attendance at conferences</w:t>
      </w:r>
    </w:p>
    <w:p w:rsidR="007130BC" w:rsidRPr="002F7CB5" w:rsidRDefault="007130BC" w:rsidP="002F7CB5">
      <w:pPr>
        <w:pStyle w:val="ListParagraph"/>
        <w:numPr>
          <w:ilvl w:val="0"/>
          <w:numId w:val="3"/>
        </w:numPr>
        <w:spacing w:after="0"/>
        <w:rPr>
          <w:b/>
        </w:rPr>
      </w:pPr>
      <w:r w:rsidRPr="00F96725">
        <w:rPr>
          <w:b/>
        </w:rPr>
        <w:t>Long-term mobility</w:t>
      </w:r>
      <w:r w:rsidR="00F96725">
        <w:rPr>
          <w:b/>
        </w:rPr>
        <w:t>:</w:t>
      </w:r>
      <w:r w:rsidR="009A52F2">
        <w:rPr>
          <w:b/>
        </w:rPr>
        <w:t xml:space="preserve"> </w:t>
      </w:r>
      <w:r w:rsidR="009A52F2">
        <w:t>Mobility periods of longer than three months</w:t>
      </w:r>
    </w:p>
    <w:sectPr w:rsidR="007130BC" w:rsidRPr="002F7CB5" w:rsidSect="009D6473">
      <w:headerReference w:type="default" r:id="rId10"/>
      <w:headerReference w:type="first" r:id="rId11"/>
      <w:footerReference w:type="first" r:id="rId12"/>
      <w:pgSz w:w="11906" w:h="16838"/>
      <w:pgMar w:top="1440" w:right="1440" w:bottom="1440" w:left="1440" w:header="34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473" w:rsidRDefault="009D6473" w:rsidP="009D6473">
      <w:pPr>
        <w:spacing w:after="0" w:line="240" w:lineRule="auto"/>
      </w:pPr>
      <w:r>
        <w:separator/>
      </w:r>
    </w:p>
  </w:endnote>
  <w:endnote w:type="continuationSeparator" w:id="0">
    <w:p w:rsidR="009D6473" w:rsidRDefault="009D6473" w:rsidP="009D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33E" w:rsidRPr="00EA633E" w:rsidRDefault="00EA633E" w:rsidP="00D52BE8">
    <w:pPr>
      <w:pStyle w:val="Footer"/>
      <w:jc w:val="right"/>
      <w:rPr>
        <w:i/>
      </w:rPr>
    </w:pPr>
    <w:r w:rsidRPr="00EA633E">
      <w:rPr>
        <w:i/>
      </w:rPr>
      <w:t>With the support of the Erasmus Mundus Programme of the European Commission</w:t>
    </w:r>
  </w:p>
  <w:p w:rsidR="00EA633E" w:rsidRDefault="00EA63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473" w:rsidRDefault="009D6473" w:rsidP="009D6473">
      <w:pPr>
        <w:spacing w:after="0" w:line="240" w:lineRule="auto"/>
      </w:pPr>
      <w:r>
        <w:separator/>
      </w:r>
    </w:p>
  </w:footnote>
  <w:footnote w:type="continuationSeparator" w:id="0">
    <w:p w:rsidR="009D6473" w:rsidRDefault="009D6473" w:rsidP="009D6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73" w:rsidRDefault="009D6473">
    <w:pPr>
      <w:pStyle w:val="Header"/>
    </w:pPr>
  </w:p>
  <w:p w:rsidR="009D6473" w:rsidRDefault="009D64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73" w:rsidRDefault="009D6473">
    <w:pPr>
      <w:pStyle w:val="Header"/>
    </w:pPr>
    <w:r>
      <w:rPr>
        <w:noProof/>
        <w:lang w:eastAsia="en-GB"/>
      </w:rPr>
      <w:drawing>
        <wp:inline distT="0" distB="0" distL="0" distR="0" wp14:anchorId="32E84F8B" wp14:editId="154068C2">
          <wp:extent cx="1228725" cy="1066800"/>
          <wp:effectExtent l="0" t="0" r="9525" b="0"/>
          <wp:docPr id="1" name="Picture 1" descr="O:\Projects\FRINDOC\Dissemination\Logos\Project logo\FrinDo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rojects\FRINDOC\Dissemination\Logos\Project logo\FrinDo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1066800"/>
                  </a:xfrm>
                  <a:prstGeom prst="rect">
                    <a:avLst/>
                  </a:prstGeom>
                  <a:noFill/>
                  <a:ln>
                    <a:noFill/>
                  </a:ln>
                </pic:spPr>
              </pic:pic>
            </a:graphicData>
          </a:graphic>
        </wp:inline>
      </w:drawing>
    </w:r>
    <w:r>
      <w:tab/>
    </w:r>
    <w:bookmarkStart w:id="1" w:name="OLE_LINK1"/>
    <w:r w:rsidR="00EA633E">
      <w:tab/>
    </w:r>
    <w:r w:rsidR="00EA633E">
      <w:rPr>
        <w:noProof/>
        <w:lang w:eastAsia="en-GB"/>
      </w:rPr>
      <w:drawing>
        <wp:inline distT="0" distB="0" distL="0" distR="0">
          <wp:extent cx="1495425" cy="581025"/>
          <wp:effectExtent l="0" t="0" r="9525" b="9525"/>
          <wp:docPr id="2" name="Picture 2" descr="O:\Projects\Current projects\FRINDOC\Dissemination\Logos\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rojects\Current projects\FRINDOC\Dissemination\Logos\EM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5425" cy="581025"/>
                  </a:xfrm>
                  <a:prstGeom prst="rect">
                    <a:avLst/>
                  </a:prstGeom>
                  <a:noFill/>
                  <a:ln>
                    <a:noFill/>
                  </a:ln>
                </pic:spPr>
              </pic:pic>
            </a:graphicData>
          </a:graphic>
        </wp:inline>
      </w:drawing>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112D2"/>
    <w:multiLevelType w:val="hybridMultilevel"/>
    <w:tmpl w:val="771A882C"/>
    <w:lvl w:ilvl="0" w:tplc="FEA2382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3E46EF"/>
    <w:multiLevelType w:val="hybridMultilevel"/>
    <w:tmpl w:val="333C0D78"/>
    <w:lvl w:ilvl="0" w:tplc="92E83C36">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4001B"/>
    <w:multiLevelType w:val="hybridMultilevel"/>
    <w:tmpl w:val="526A1A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7167479"/>
    <w:multiLevelType w:val="hybridMultilevel"/>
    <w:tmpl w:val="70C221E0"/>
    <w:lvl w:ilvl="0" w:tplc="38C075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0E5034"/>
    <w:multiLevelType w:val="hybridMultilevel"/>
    <w:tmpl w:val="7CF66DA6"/>
    <w:lvl w:ilvl="0" w:tplc="44AAA70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EF"/>
    <w:rsid w:val="00025322"/>
    <w:rsid w:val="000757FF"/>
    <w:rsid w:val="000A0073"/>
    <w:rsid w:val="000C1742"/>
    <w:rsid w:val="000D2F56"/>
    <w:rsid w:val="00126476"/>
    <w:rsid w:val="001415D2"/>
    <w:rsid w:val="00141E0C"/>
    <w:rsid w:val="00184285"/>
    <w:rsid w:val="00186487"/>
    <w:rsid w:val="001913B9"/>
    <w:rsid w:val="001E55A9"/>
    <w:rsid w:val="00227726"/>
    <w:rsid w:val="00227858"/>
    <w:rsid w:val="00230198"/>
    <w:rsid w:val="002516C6"/>
    <w:rsid w:val="002838B7"/>
    <w:rsid w:val="00292FCE"/>
    <w:rsid w:val="002F7CB5"/>
    <w:rsid w:val="003211DD"/>
    <w:rsid w:val="00340829"/>
    <w:rsid w:val="003654A2"/>
    <w:rsid w:val="0039636B"/>
    <w:rsid w:val="003A2AB8"/>
    <w:rsid w:val="003B6625"/>
    <w:rsid w:val="003C583E"/>
    <w:rsid w:val="003D1F3F"/>
    <w:rsid w:val="004722C1"/>
    <w:rsid w:val="004A186E"/>
    <w:rsid w:val="004A4D81"/>
    <w:rsid w:val="004A61CE"/>
    <w:rsid w:val="004F71EF"/>
    <w:rsid w:val="00561BEF"/>
    <w:rsid w:val="0058034B"/>
    <w:rsid w:val="005C5CA4"/>
    <w:rsid w:val="005E7195"/>
    <w:rsid w:val="005F2A46"/>
    <w:rsid w:val="006226BA"/>
    <w:rsid w:val="0064005A"/>
    <w:rsid w:val="006411BB"/>
    <w:rsid w:val="00643C2F"/>
    <w:rsid w:val="00643C8B"/>
    <w:rsid w:val="006827FE"/>
    <w:rsid w:val="006D53EF"/>
    <w:rsid w:val="006E2A0E"/>
    <w:rsid w:val="007130BC"/>
    <w:rsid w:val="007231B4"/>
    <w:rsid w:val="007404EC"/>
    <w:rsid w:val="00775A8E"/>
    <w:rsid w:val="00794076"/>
    <w:rsid w:val="007C451E"/>
    <w:rsid w:val="007F580C"/>
    <w:rsid w:val="008006D1"/>
    <w:rsid w:val="00854F26"/>
    <w:rsid w:val="008730E2"/>
    <w:rsid w:val="008808F1"/>
    <w:rsid w:val="008E3CCD"/>
    <w:rsid w:val="00930103"/>
    <w:rsid w:val="009A52F2"/>
    <w:rsid w:val="009D0651"/>
    <w:rsid w:val="009D6473"/>
    <w:rsid w:val="009E6198"/>
    <w:rsid w:val="009F0646"/>
    <w:rsid w:val="00A53286"/>
    <w:rsid w:val="00A56B0A"/>
    <w:rsid w:val="00A842C7"/>
    <w:rsid w:val="00AB3C68"/>
    <w:rsid w:val="00AF729F"/>
    <w:rsid w:val="00AF7AC7"/>
    <w:rsid w:val="00B14856"/>
    <w:rsid w:val="00B15500"/>
    <w:rsid w:val="00B401AD"/>
    <w:rsid w:val="00B73169"/>
    <w:rsid w:val="00B754FD"/>
    <w:rsid w:val="00BA2759"/>
    <w:rsid w:val="00C10027"/>
    <w:rsid w:val="00C326C7"/>
    <w:rsid w:val="00C330B5"/>
    <w:rsid w:val="00C72E0E"/>
    <w:rsid w:val="00CB0CE4"/>
    <w:rsid w:val="00CB7866"/>
    <w:rsid w:val="00CC44B0"/>
    <w:rsid w:val="00CE424E"/>
    <w:rsid w:val="00D52BE8"/>
    <w:rsid w:val="00DA746F"/>
    <w:rsid w:val="00DB2255"/>
    <w:rsid w:val="00DF65DE"/>
    <w:rsid w:val="00DF755A"/>
    <w:rsid w:val="00E36B35"/>
    <w:rsid w:val="00E657EB"/>
    <w:rsid w:val="00E91168"/>
    <w:rsid w:val="00EA633E"/>
    <w:rsid w:val="00EC7CC2"/>
    <w:rsid w:val="00EF0413"/>
    <w:rsid w:val="00F05B4A"/>
    <w:rsid w:val="00F366E7"/>
    <w:rsid w:val="00F3704D"/>
    <w:rsid w:val="00F67A88"/>
    <w:rsid w:val="00F96725"/>
    <w:rsid w:val="00F96D1F"/>
    <w:rsid w:val="00FD7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8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73169"/>
    <w:pPr>
      <w:ind w:left="720"/>
      <w:contextualSpacing/>
    </w:pPr>
  </w:style>
  <w:style w:type="paragraph" w:styleId="BalloonText">
    <w:name w:val="Balloon Text"/>
    <w:basedOn w:val="Normal"/>
    <w:link w:val="BalloonTextChar"/>
    <w:uiPriority w:val="99"/>
    <w:semiHidden/>
    <w:unhideWhenUsed/>
    <w:rsid w:val="003B6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25"/>
    <w:rPr>
      <w:rFonts w:ascii="Tahoma" w:hAnsi="Tahoma" w:cs="Tahoma"/>
      <w:sz w:val="16"/>
      <w:szCs w:val="16"/>
    </w:rPr>
  </w:style>
  <w:style w:type="character" w:styleId="Hyperlink">
    <w:name w:val="Hyperlink"/>
    <w:basedOn w:val="DefaultParagraphFont"/>
    <w:uiPriority w:val="99"/>
    <w:unhideWhenUsed/>
    <w:rsid w:val="00C326C7"/>
    <w:rPr>
      <w:color w:val="0000FF" w:themeColor="hyperlink"/>
      <w:u w:val="single"/>
    </w:rPr>
  </w:style>
  <w:style w:type="paragraph" w:styleId="Header">
    <w:name w:val="header"/>
    <w:basedOn w:val="Normal"/>
    <w:link w:val="HeaderChar"/>
    <w:uiPriority w:val="99"/>
    <w:unhideWhenUsed/>
    <w:rsid w:val="009D6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473"/>
  </w:style>
  <w:style w:type="paragraph" w:styleId="Footer">
    <w:name w:val="footer"/>
    <w:basedOn w:val="Normal"/>
    <w:link w:val="FooterChar"/>
    <w:uiPriority w:val="99"/>
    <w:unhideWhenUsed/>
    <w:rsid w:val="009D6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4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8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73169"/>
    <w:pPr>
      <w:ind w:left="720"/>
      <w:contextualSpacing/>
    </w:pPr>
  </w:style>
  <w:style w:type="paragraph" w:styleId="BalloonText">
    <w:name w:val="Balloon Text"/>
    <w:basedOn w:val="Normal"/>
    <w:link w:val="BalloonTextChar"/>
    <w:uiPriority w:val="99"/>
    <w:semiHidden/>
    <w:unhideWhenUsed/>
    <w:rsid w:val="003B6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625"/>
    <w:rPr>
      <w:rFonts w:ascii="Tahoma" w:hAnsi="Tahoma" w:cs="Tahoma"/>
      <w:sz w:val="16"/>
      <w:szCs w:val="16"/>
    </w:rPr>
  </w:style>
  <w:style w:type="character" w:styleId="Hyperlink">
    <w:name w:val="Hyperlink"/>
    <w:basedOn w:val="DefaultParagraphFont"/>
    <w:uiPriority w:val="99"/>
    <w:unhideWhenUsed/>
    <w:rsid w:val="00C326C7"/>
    <w:rPr>
      <w:color w:val="0000FF" w:themeColor="hyperlink"/>
      <w:u w:val="single"/>
    </w:rPr>
  </w:style>
  <w:style w:type="paragraph" w:styleId="Header">
    <w:name w:val="header"/>
    <w:basedOn w:val="Normal"/>
    <w:link w:val="HeaderChar"/>
    <w:uiPriority w:val="99"/>
    <w:unhideWhenUsed/>
    <w:rsid w:val="009D6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473"/>
  </w:style>
  <w:style w:type="paragraph" w:styleId="Footer">
    <w:name w:val="footer"/>
    <w:basedOn w:val="Normal"/>
    <w:link w:val="FooterChar"/>
    <w:uiPriority w:val="99"/>
    <w:unhideWhenUsed/>
    <w:rsid w:val="009D6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7121">
      <w:bodyDiv w:val="1"/>
      <w:marLeft w:val="0"/>
      <w:marRight w:val="0"/>
      <w:marTop w:val="0"/>
      <w:marBottom w:val="0"/>
      <w:divBdr>
        <w:top w:val="none" w:sz="0" w:space="0" w:color="auto"/>
        <w:left w:val="none" w:sz="0" w:space="0" w:color="auto"/>
        <w:bottom w:val="none" w:sz="0" w:space="0" w:color="auto"/>
        <w:right w:val="none" w:sz="0" w:space="0" w:color="auto"/>
      </w:divBdr>
    </w:div>
    <w:div w:id="201945090">
      <w:bodyDiv w:val="1"/>
      <w:marLeft w:val="0"/>
      <w:marRight w:val="0"/>
      <w:marTop w:val="0"/>
      <w:marBottom w:val="0"/>
      <w:divBdr>
        <w:top w:val="none" w:sz="0" w:space="0" w:color="auto"/>
        <w:left w:val="none" w:sz="0" w:space="0" w:color="auto"/>
        <w:bottom w:val="none" w:sz="0" w:space="0" w:color="auto"/>
        <w:right w:val="none" w:sz="0" w:space="0" w:color="auto"/>
      </w:divBdr>
    </w:div>
    <w:div w:id="427580781">
      <w:bodyDiv w:val="1"/>
      <w:marLeft w:val="0"/>
      <w:marRight w:val="0"/>
      <w:marTop w:val="0"/>
      <w:marBottom w:val="0"/>
      <w:divBdr>
        <w:top w:val="none" w:sz="0" w:space="0" w:color="auto"/>
        <w:left w:val="none" w:sz="0" w:space="0" w:color="auto"/>
        <w:bottom w:val="none" w:sz="0" w:space="0" w:color="auto"/>
        <w:right w:val="none" w:sz="0" w:space="0" w:color="auto"/>
      </w:divBdr>
      <w:divsChild>
        <w:div w:id="2142918872">
          <w:marLeft w:val="0"/>
          <w:marRight w:val="0"/>
          <w:marTop w:val="0"/>
          <w:marBottom w:val="0"/>
          <w:divBdr>
            <w:top w:val="none" w:sz="0" w:space="0" w:color="auto"/>
            <w:left w:val="none" w:sz="0" w:space="0" w:color="auto"/>
            <w:bottom w:val="none" w:sz="0" w:space="0" w:color="auto"/>
            <w:right w:val="none" w:sz="0" w:space="0" w:color="auto"/>
          </w:divBdr>
        </w:div>
        <w:div w:id="2042895465">
          <w:marLeft w:val="0"/>
          <w:marRight w:val="0"/>
          <w:marTop w:val="0"/>
          <w:marBottom w:val="0"/>
          <w:divBdr>
            <w:top w:val="none" w:sz="0" w:space="0" w:color="auto"/>
            <w:left w:val="none" w:sz="0" w:space="0" w:color="auto"/>
            <w:bottom w:val="none" w:sz="0" w:space="0" w:color="auto"/>
            <w:right w:val="none" w:sz="0" w:space="0" w:color="auto"/>
          </w:divBdr>
        </w:div>
        <w:div w:id="1721707887">
          <w:marLeft w:val="0"/>
          <w:marRight w:val="0"/>
          <w:marTop w:val="0"/>
          <w:marBottom w:val="0"/>
          <w:divBdr>
            <w:top w:val="none" w:sz="0" w:space="0" w:color="auto"/>
            <w:left w:val="none" w:sz="0" w:space="0" w:color="auto"/>
            <w:bottom w:val="none" w:sz="0" w:space="0" w:color="auto"/>
            <w:right w:val="none" w:sz="0" w:space="0" w:color="auto"/>
          </w:divBdr>
        </w:div>
      </w:divsChild>
    </w:div>
    <w:div w:id="945189985">
      <w:bodyDiv w:val="1"/>
      <w:marLeft w:val="0"/>
      <w:marRight w:val="0"/>
      <w:marTop w:val="0"/>
      <w:marBottom w:val="0"/>
      <w:divBdr>
        <w:top w:val="none" w:sz="0" w:space="0" w:color="auto"/>
        <w:left w:val="none" w:sz="0" w:space="0" w:color="auto"/>
        <w:bottom w:val="none" w:sz="0" w:space="0" w:color="auto"/>
        <w:right w:val="none" w:sz="0" w:space="0" w:color="auto"/>
      </w:divBdr>
    </w:div>
    <w:div w:id="1217159881">
      <w:bodyDiv w:val="1"/>
      <w:marLeft w:val="0"/>
      <w:marRight w:val="0"/>
      <w:marTop w:val="0"/>
      <w:marBottom w:val="0"/>
      <w:divBdr>
        <w:top w:val="none" w:sz="0" w:space="0" w:color="auto"/>
        <w:left w:val="none" w:sz="0" w:space="0" w:color="auto"/>
        <w:bottom w:val="none" w:sz="0" w:space="0" w:color="auto"/>
        <w:right w:val="none" w:sz="0" w:space="0" w:color="auto"/>
      </w:divBdr>
    </w:div>
    <w:div w:id="16488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anne.byrne@eua.be"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6</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Byrne</dc:creator>
  <cp:lastModifiedBy>Joanne Byrne</cp:lastModifiedBy>
  <cp:revision>70</cp:revision>
  <cp:lastPrinted>2014-11-18T14:22:00Z</cp:lastPrinted>
  <dcterms:created xsi:type="dcterms:W3CDTF">2014-10-16T10:14:00Z</dcterms:created>
  <dcterms:modified xsi:type="dcterms:W3CDTF">2014-12-01T13:07:00Z</dcterms:modified>
</cp:coreProperties>
</file>