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color w:val="4A4A4A"/>
          <w:sz w:val="22"/>
          <w:szCs w:val="22"/>
        </w:rPr>
        <w:t xml:space="preserve"/>
      </w:r>
    </w:p>
    <w:p>
      <w:pPr>
        <w:spacing w:after="120"/>
        <w:jc w:val="center"/>
      </w:pPr>
      <w:r>
        <w:rPr>
          <w:rFonts w:ascii="Arial" w:cs="Arial" w:eastAsia="Arial" w:hAnsi="Arial"/>
          <w:b/>
          <w:bCs/>
          <w:color w:val="1A3A6B"/>
          <w:sz w:val="56"/>
          <w:szCs w:val="56"/>
        </w:rPr>
        <w:t xml:space="preserve">CryptoChain Analyzer Dashboard</w:t>
      </w:r>
    </w:p>
    <w:p>
      <w:pPr>
        <w:pBdr>
          <w:bottom w:val="single" w:color="2E75B6" w:sz="12" w:space="8"/>
        </w:pBdr>
        <w:spacing w:after="60"/>
        <w:jc w:val="center"/>
      </w:pPr>
      <w:r>
        <w:rPr>
          <w:rFonts w:ascii="Arial" w:cs="Arial" w:eastAsia="Arial" w:hAnsi="Arial"/>
          <w:color w:val="2E75B6"/>
          <w:sz w:val="32"/>
          <w:szCs w:val="32"/>
        </w:rPr>
        <w:t xml:space="preserve">Final Report</w:t>
      </w:r>
    </w:p>
    <w:p>
      <w:pPr>
        <w:spacing w:after="320" w:before="240"/>
      </w:pPr>
      <w:r>
        <w:rPr>
          <w:rFonts w:ascii="Arial" w:cs="Arial" w:eastAsia="Arial" w:hAnsi="Arial"/>
          <w:color w:val="4A4A4A"/>
          <w:sz w:val="22"/>
          <w:szCs w:val="22"/>
        </w:rPr>
        <w:t xml:space="preserve"/>
      </w:r>
    </w:p>
    <w:p>
      <w:pPr>
        <w:spacing w:after="0"/>
        <w:jc w:val="center"/>
      </w:pPr>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8D6EC" w:sz="1"/>
                <w:left w:val="single" w:color="C8D6EC" w:sz="1"/>
                <w:bottom w:val="single" w:color="C8D6EC" w:sz="1"/>
                <w:right w:val="single" w:color="C8D6EC" w:sz="1"/>
              </w:tcBorders>
              <w:shd w:fill="E8EFF8" w:val="clear"/>
              <w:tcMar>
                <w:top w:type="dxa" w:w="80"/>
                <w:left w:type="dxa" w:w="120"/>
                <w:bottom w:type="dxa" w:w="80"/>
                <w:right w:type="dxa" w:w="120"/>
              </w:tcMar>
            </w:tcPr>
            <w:p>
              <w:r>
                <w:rPr>
                  <w:rFonts w:ascii="Arial" w:cs="Arial" w:eastAsia="Arial" w:hAnsi="Arial"/>
                  <w:b/>
                  <w:bCs/>
                  <w:color w:val="1A3A6B"/>
                  <w:sz w:val="21"/>
                  <w:szCs w:val="21"/>
                </w:rPr>
                <w:t xml:space="preserve">Student</w:t>
              </w:r>
            </w:p>
          </w:tc>
          <w:tc>
            <w:tcPr>
              <w:tcW w:type="dxa" w:w="4800"/>
              <w:tcBorders>
                <w:top w:val="single" w:color="C8D6EC" w:sz="1"/>
                <w:left w:val="single" w:color="C8D6EC" w:sz="1"/>
                <w:bottom w:val="single" w:color="C8D6EC" w:sz="1"/>
                <w:right w:val="single" w:color="C8D6E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[YOUR NAME]</w:t>
              </w:r>
            </w:p>
          </w:tc>
        </w:tr>
        <w:tr>
          <w:tc>
            <w:tcPr>
              <w:tcW w:type="dxa" w:w="2400"/>
              <w:tcBorders>
                <w:top w:val="single" w:color="C8D6EC" w:sz="1"/>
                <w:left w:val="single" w:color="C8D6EC" w:sz="1"/>
                <w:bottom w:val="single" w:color="C8D6EC" w:sz="1"/>
                <w:right w:val="single" w:color="C8D6EC" w:sz="1"/>
              </w:tcBorders>
              <w:shd w:fill="E8EFF8" w:val="clear"/>
              <w:tcMar>
                <w:top w:type="dxa" w:w="80"/>
                <w:left w:type="dxa" w:w="120"/>
                <w:bottom w:type="dxa" w:w="80"/>
                <w:right w:type="dxa" w:w="120"/>
              </w:tcMar>
            </w:tcPr>
            <w:p>
              <w:r>
                <w:rPr>
                  <w:rFonts w:ascii="Arial" w:cs="Arial" w:eastAsia="Arial" w:hAnsi="Arial"/>
                  <w:b/>
                  <w:bCs/>
                  <w:color w:val="1A3A6B"/>
                  <w:sz w:val="21"/>
                  <w:szCs w:val="21"/>
                </w:rPr>
                <w:t xml:space="preserve">GitHub Username</w:t>
              </w:r>
            </w:p>
          </w:tc>
          <w:tc>
            <w:tcPr>
              <w:tcW w:type="dxa" w:w="4800"/>
              <w:tcBorders>
                <w:top w:val="single" w:color="C8D6EC" w:sz="1"/>
                <w:left w:val="single" w:color="C8D6EC" w:sz="1"/>
                <w:bottom w:val="single" w:color="C8D6EC" w:sz="1"/>
                <w:right w:val="single" w:color="C8D6EC" w:sz="1"/>
              </w:tcBorders>
              <w:shd w:fill="F7F9FC" w:val="clear"/>
              <w:tcMar>
                <w:top w:type="dxa" w:w="80"/>
                <w:left w:type="dxa" w:w="120"/>
                <w:bottom w:type="dxa" w:w="80"/>
                <w:right w:type="dxa" w:w="120"/>
              </w:tcMar>
            </w:tcPr>
            <w:p>
              <w:r>
                <w:rPr>
                  <w:rFonts w:ascii="Arial" w:cs="Arial" w:eastAsia="Arial" w:hAnsi="Arial"/>
                  <w:color w:val="4A4A4A"/>
                  <w:sz w:val="21"/>
                  <w:szCs w:val="21"/>
                </w:rPr>
                <w:t xml:space="preserve">[YOUR GITHUB USERNAME]</w:t>
              </w:r>
            </w:p>
          </w:tc>
        </w:tr>
        <w:tr>
          <w:tc>
            <w:tcPr>
              <w:tcW w:type="dxa" w:w="2400"/>
              <w:tcBorders>
                <w:top w:val="single" w:color="C8D6EC" w:sz="1"/>
                <w:left w:val="single" w:color="C8D6EC" w:sz="1"/>
                <w:bottom w:val="single" w:color="C8D6EC" w:sz="1"/>
                <w:right w:val="single" w:color="C8D6EC" w:sz="1"/>
              </w:tcBorders>
              <w:shd w:fill="E8EFF8" w:val="clear"/>
              <w:tcMar>
                <w:top w:type="dxa" w:w="80"/>
                <w:left w:type="dxa" w:w="120"/>
                <w:bottom w:type="dxa" w:w="80"/>
                <w:right w:type="dxa" w:w="120"/>
              </w:tcMar>
            </w:tcPr>
            <w:p>
              <w:r>
                <w:rPr>
                  <w:rFonts w:ascii="Arial" w:cs="Arial" w:eastAsia="Arial" w:hAnsi="Arial"/>
                  <w:b/>
                  <w:bCs/>
                  <w:color w:val="1A3A6B"/>
                  <w:sz w:val="21"/>
                  <w:szCs w:val="21"/>
                </w:rPr>
                <w:t xml:space="preserve">Course</w:t>
              </w:r>
            </w:p>
          </w:tc>
          <w:tc>
            <w:tcPr>
              <w:tcW w:type="dxa" w:w="4800"/>
              <w:tcBorders>
                <w:top w:val="single" w:color="C8D6EC" w:sz="1"/>
                <w:left w:val="single" w:color="C8D6EC" w:sz="1"/>
                <w:bottom w:val="single" w:color="C8D6EC" w:sz="1"/>
                <w:right w:val="single" w:color="C8D6E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Cryptography</w:t>
              </w:r>
            </w:p>
          </w:tc>
        </w:tr>
        <w:tr>
          <w:tc>
            <w:tcPr>
              <w:tcW w:type="dxa" w:w="2400"/>
              <w:tcBorders>
                <w:top w:val="single" w:color="C8D6EC" w:sz="1"/>
                <w:left w:val="single" w:color="C8D6EC" w:sz="1"/>
                <w:bottom w:val="single" w:color="C8D6EC" w:sz="1"/>
                <w:right w:val="single" w:color="C8D6EC" w:sz="1"/>
              </w:tcBorders>
              <w:shd w:fill="E8EFF8" w:val="clear"/>
              <w:tcMar>
                <w:top w:type="dxa" w:w="80"/>
                <w:left w:type="dxa" w:w="120"/>
                <w:bottom w:type="dxa" w:w="80"/>
                <w:right w:type="dxa" w:w="120"/>
              </w:tcMar>
            </w:tcPr>
            <w:p>
              <w:r>
                <w:rPr>
                  <w:rFonts w:ascii="Arial" w:cs="Arial" w:eastAsia="Arial" w:hAnsi="Arial"/>
                  <w:b/>
                  <w:bCs/>
                  <w:color w:val="1A3A6B"/>
                  <w:sz w:val="21"/>
                  <w:szCs w:val="21"/>
                </w:rPr>
                <w:t xml:space="preserve">University</w:t>
              </w:r>
            </w:p>
          </w:tc>
          <w:tc>
            <w:tcPr>
              <w:tcW w:type="dxa" w:w="4800"/>
              <w:tcBorders>
                <w:top w:val="single" w:color="C8D6EC" w:sz="1"/>
                <w:left w:val="single" w:color="C8D6EC" w:sz="1"/>
                <w:bottom w:val="single" w:color="C8D6EC" w:sz="1"/>
                <w:right w:val="single" w:color="C8D6EC" w:sz="1"/>
              </w:tcBorders>
              <w:shd w:fill="F7F9FC" w:val="clear"/>
              <w:tcMar>
                <w:top w:type="dxa" w:w="80"/>
                <w:left w:type="dxa" w:w="120"/>
                <w:bottom w:type="dxa" w:w="80"/>
                <w:right w:type="dxa" w:w="120"/>
              </w:tcMar>
            </w:tcPr>
            <w:p>
              <w:r>
                <w:rPr>
                  <w:rFonts w:ascii="Arial" w:cs="Arial" w:eastAsia="Arial" w:hAnsi="Arial"/>
                  <w:color w:val="4A4A4A"/>
                  <w:sz w:val="21"/>
                  <w:szCs w:val="21"/>
                </w:rPr>
                <w:t xml:space="preserve">Universidad Alfonso X el Sabio</w:t>
              </w:r>
            </w:p>
          </w:tc>
        </w:tr>
        <w:tr>
          <w:tc>
            <w:tcPr>
              <w:tcW w:type="dxa" w:w="2400"/>
              <w:tcBorders>
                <w:top w:val="single" w:color="C8D6EC" w:sz="1"/>
                <w:left w:val="single" w:color="C8D6EC" w:sz="1"/>
                <w:bottom w:val="single" w:color="C8D6EC" w:sz="1"/>
                <w:right w:val="single" w:color="C8D6EC" w:sz="1"/>
              </w:tcBorders>
              <w:shd w:fill="E8EFF8" w:val="clear"/>
              <w:tcMar>
                <w:top w:type="dxa" w:w="80"/>
                <w:left w:type="dxa" w:w="120"/>
                <w:bottom w:type="dxa" w:w="80"/>
                <w:right w:type="dxa" w:w="120"/>
              </w:tcMar>
            </w:tcPr>
            <w:p>
              <w:r>
                <w:rPr>
                  <w:rFonts w:ascii="Arial" w:cs="Arial" w:eastAsia="Arial" w:hAnsi="Arial"/>
                  <w:b/>
                  <w:bCs/>
                  <w:color w:val="1A3A6B"/>
                  <w:sz w:val="21"/>
                  <w:szCs w:val="21"/>
                </w:rPr>
                <w:t xml:space="preserve">Academic Year</w:t>
              </w:r>
            </w:p>
          </w:tc>
          <w:tc>
            <w:tcPr>
              <w:tcW w:type="dxa" w:w="4800"/>
              <w:tcBorders>
                <w:top w:val="single" w:color="C8D6EC" w:sz="1"/>
                <w:left w:val="single" w:color="C8D6EC" w:sz="1"/>
                <w:bottom w:val="single" w:color="C8D6EC" w:sz="1"/>
                <w:right w:val="single" w:color="C8D6E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2025–26</w:t>
              </w:r>
            </w:p>
          </w:tc>
        </w:tr>
        <w:tr>
          <w:tc>
            <w:tcPr>
              <w:tcW w:type="dxa" w:w="2400"/>
              <w:tcBorders>
                <w:top w:val="single" w:color="C8D6EC" w:sz="1"/>
                <w:left w:val="single" w:color="C8D6EC" w:sz="1"/>
                <w:bottom w:val="single" w:color="C8D6EC" w:sz="1"/>
                <w:right w:val="single" w:color="C8D6EC" w:sz="1"/>
              </w:tcBorders>
              <w:shd w:fill="E8EFF8" w:val="clear"/>
              <w:tcMar>
                <w:top w:type="dxa" w:w="80"/>
                <w:left w:type="dxa" w:w="120"/>
                <w:bottom w:type="dxa" w:w="80"/>
                <w:right w:type="dxa" w:w="120"/>
              </w:tcMar>
            </w:tcPr>
            <w:p>
              <w:r>
                <w:rPr>
                  <w:rFonts w:ascii="Arial" w:cs="Arial" w:eastAsia="Arial" w:hAnsi="Arial"/>
                  <w:b/>
                  <w:bCs/>
                  <w:color w:val="1A3A6B"/>
                  <w:sz w:val="21"/>
                  <w:szCs w:val="21"/>
                </w:rPr>
                <w:t xml:space="preserve">Date</w:t>
              </w:r>
            </w:p>
          </w:tc>
          <w:tc>
            <w:tcPr>
              <w:tcW w:type="dxa" w:w="4800"/>
              <w:tcBorders>
                <w:top w:val="single" w:color="C8D6EC" w:sz="1"/>
                <w:left w:val="single" w:color="C8D6EC" w:sz="1"/>
                <w:bottom w:val="single" w:color="C8D6EC" w:sz="1"/>
                <w:right w:val="single" w:color="C8D6EC" w:sz="1"/>
              </w:tcBorders>
              <w:shd w:fill="F7F9FC" w:val="clear"/>
              <w:tcMar>
                <w:top w:type="dxa" w:w="80"/>
                <w:left w:type="dxa" w:w="120"/>
                <w:bottom w:type="dxa" w:w="80"/>
                <w:right w:type="dxa" w:w="120"/>
              </w:tcMar>
            </w:tcPr>
            <w:p>
              <w:r>
                <w:rPr>
                  <w:rFonts w:ascii="Arial" w:cs="Arial" w:eastAsia="Arial" w:hAnsi="Arial"/>
                  <w:color w:val="4A4A4A"/>
                  <w:sz w:val="21"/>
                  <w:szCs w:val="21"/>
                </w:rPr>
                <w:t xml:space="preserve">May 2026</w:t>
              </w:r>
            </w:p>
          </w:tc>
        </w:tr>
      </w:tbl>
    </w:p>
    <w:p>
      <w:pPr>
        <w:spacing w:after="0" w:before="600"/>
      </w:pPr>
      <w:r>
        <w:rPr>
          <w:rFonts w:ascii="Arial" w:cs="Arial" w:eastAsia="Arial" w:hAnsi="Arial"/>
          <w:color w:val="4A4A4A"/>
          <w:sz w:val="22"/>
          <w:szCs w:val="22"/>
        </w:rPr>
        <w:t xml:space="preserve"/>
      </w:r>
    </w:p>
    <w:p>
      <w:r>
        <w:br w:type="page"/>
      </w:r>
    </w:p>
    <w:p>
      <w:pPr>
        <w:pStyle w:val="Heading1"/>
        <w:pBdr>
          <w:bottom w:val="single" w:color="2E75B6" w:sz="8" w:space="4"/>
        </w:pBdr>
        <w:spacing w:after="120" w:before="360"/>
      </w:pPr>
      <w:r>
        <w:rPr>
          <w:rFonts w:ascii="Arial" w:cs="Arial" w:eastAsia="Arial" w:hAnsi="Arial"/>
          <w:b/>
          <w:bCs/>
          <w:color w:val="1A3A6B"/>
          <w:sz w:val="32"/>
          <w:szCs w:val="32"/>
        </w:rPr>
        <w:t xml:space="preserve">Abstract</w:t>
      </w:r>
    </w:p>
    <w:p>
      <w:pPr>
        <w:spacing w:after="200" w:before="80"/>
      </w:pPr>
      <w:r>
        <w:rPr>
          <w:rFonts w:ascii="Arial" w:cs="Arial" w:eastAsia="Arial" w:hAnsi="Arial"/>
          <w:color w:val="4A4A4A"/>
          <w:sz w:val="22"/>
          <w:szCs w:val="22"/>
        </w:rPr>
        <w:t xml:space="preserve">This report presents the CryptoChain Analyzer Dashboard, a Python/Streamlit application that retrieves and analyzes live Bitcoin network data through public APIs (Blockstream API and Blockchain.info). The project applies cryptographic concepts covered in the Cryptography course — including SHA-256 double hashing, Proof of Work, Merkle trees, difficulty adjustment, and network security estimation — and extends them with two machine-learning components: an unsupervised anomaly detector based on exponential inter-block time modeling, and a supervised difficulty predictor using linear regression. The dashboard is organized into seven independent modules (M1–M7), covering both mandatory and optional requirements.</w:t>
      </w:r>
    </w:p>
    <w:p>
      <w:pPr>
        <w:pStyle w:val="Heading1"/>
        <w:pBdr>
          <w:bottom w:val="single" w:color="2E75B6" w:sz="8" w:space="4"/>
        </w:pBdr>
        <w:spacing w:after="120" w:before="360"/>
      </w:pPr>
      <w:r>
        <w:rPr>
          <w:rFonts w:ascii="Arial" w:cs="Arial" w:eastAsia="Arial" w:hAnsi="Arial"/>
          <w:b/>
          <w:bCs/>
          <w:color w:val="1A3A6B"/>
          <w:sz w:val="32"/>
          <w:szCs w:val="32"/>
        </w:rPr>
        <w:t xml:space="preserve">1. Introduction</w:t>
      </w:r>
    </w:p>
    <w:p>
      <w:pPr>
        <w:spacing w:after="100" w:before="60"/>
      </w:pPr>
      <w:r>
        <w:rPr>
          <w:rFonts w:ascii="Arial" w:cs="Arial" w:eastAsia="Arial" w:hAnsi="Arial"/>
          <w:color w:val="4A4A4A"/>
          <w:sz w:val="22"/>
          <w:szCs w:val="22"/>
        </w:rPr>
        <w:t xml:space="preserve">Bitcoin's consensus mechanism is grounded in cryptographic primitives directly applicable to course material. The goal of this project is to build an interactive, data-driven dashboard that makes these abstractions tangible by fetching real blockchain data and visualizing it in real time.</w:t>
      </w:r>
    </w:p>
    <w:p>
      <w:pPr>
        <w:spacing w:after="160" w:before="0"/>
      </w:pPr>
      <w:r>
        <w:rPr>
          <w:rFonts w:ascii="Arial" w:cs="Arial" w:eastAsia="Arial" w:hAnsi="Arial"/>
          <w:color w:val="4A4A4A"/>
          <w:sz w:val="22"/>
          <w:szCs w:val="22"/>
        </w:rPr>
        <w:t xml:space="preserve">The dashboard connects to two public APIs — Blockstream API for block headers and mempool data, and Blockchain.info for historical metrics — and processes responses locally to compute, verify, and display cryptographic properties. Every metric is either derived from raw block data or independently verified using standard Python libraries (hashlib, scipy, sklearn), ensuring academic rigor.</w:t>
      </w:r>
    </w:p>
    <w:p>
      <w:pPr>
        <w:pStyle w:val="Heading1"/>
        <w:pBdr>
          <w:bottom w:val="single" w:color="2E75B6" w:sz="8" w:space="4"/>
        </w:pBdr>
        <w:spacing w:after="120" w:before="360"/>
      </w:pPr>
      <w:r>
        <w:rPr>
          <w:rFonts w:ascii="Arial" w:cs="Arial" w:eastAsia="Arial" w:hAnsi="Arial"/>
          <w:b/>
          <w:bCs/>
          <w:color w:val="1A3A6B"/>
          <w:sz w:val="32"/>
          <w:szCs w:val="32"/>
        </w:rPr>
        <w:t xml:space="preserve">2. Dashboard Architecture</w:t>
      </w:r>
    </w:p>
    <w:p>
      <w:pPr>
        <w:pStyle w:val="Heading2"/>
        <w:spacing w:after="80" w:before="260"/>
      </w:pPr>
      <w:r>
        <w:rPr>
          <w:rFonts w:ascii="Arial" w:cs="Arial" w:eastAsia="Arial" w:hAnsi="Arial"/>
          <w:b/>
          <w:bCs/>
          <w:color w:val="2E75B6"/>
          <w:sz w:val="26"/>
          <w:szCs w:val="26"/>
        </w:rPr>
        <w:t xml:space="preserve">2.1 Entry Point</w:t>
      </w:r>
    </w:p>
    <w:p>
      <w:pPr>
        <w:spacing w:after="80" w:before="60"/>
      </w:pPr>
      <w:r>
        <w:rPr>
          <w:rFonts w:ascii="Arial" w:cs="Arial" w:eastAsia="Arial" w:hAnsi="Arial"/>
          <w:color w:val="4A4A4A"/>
          <w:sz w:val="22"/>
          <w:szCs w:val="22"/>
        </w:rPr>
        <w:t xml:space="preserve">app.py serves as the Streamlit entry point. It renders a sidebar navigation menu and dynamically loads the selected module.</w:t>
      </w:r>
    </w:p>
    <w:p>
      <w:pPr>
        <w:pStyle w:val="Heading2"/>
        <w:spacing w:after="80" w:before="260"/>
      </w:pPr>
      <w:r>
        <w:rPr>
          <w:rFonts w:ascii="Arial" w:cs="Arial" w:eastAsia="Arial" w:hAnsi="Arial"/>
          <w:b/>
          <w:bCs/>
          <w:color w:val="2E75B6"/>
          <w:sz w:val="26"/>
          <w:szCs w:val="26"/>
        </w:rPr>
        <w:t xml:space="preserve">2.2 API Client</w:t>
      </w:r>
    </w:p>
    <w:p>
      <w:pPr>
        <w:spacing w:after="80" w:before="60"/>
      </w:pPr>
      <w:r>
        <w:rPr>
          <w:rFonts w:ascii="Arial" w:cs="Arial" w:eastAsia="Arial" w:hAnsi="Arial"/>
          <w:color w:val="4A4A4A"/>
          <w:sz w:val="22"/>
          <w:szCs w:val="22"/>
        </w:rPr>
        <w:t xml:space="preserve">api/blockchain_client.py encapsulates all external HTTP calls. It exposes clean functions consumed by individual modules, isolating network concerns from display logic.</w:t>
      </w:r>
    </w:p>
    <w:p>
      <w:pPr>
        <w:pStyle w:val="Heading2"/>
        <w:spacing w:after="80" w:before="260"/>
      </w:pPr>
      <w:r>
        <w:rPr>
          <w:rFonts w:ascii="Arial" w:cs="Arial" w:eastAsia="Arial" w:hAnsi="Arial"/>
          <w:b/>
          <w:bCs/>
          <w:color w:val="2E75B6"/>
          <w:sz w:val="26"/>
          <w:szCs w:val="26"/>
        </w:rPr>
        <w:t xml:space="preserve">2.3 Module Structure</w:t>
      </w:r>
    </w:p>
    <w:p>
      <w:pPr>
        <w:spacing w:after="100" w:before="60"/>
      </w:pPr>
      <w:r>
        <w:rPr>
          <w:rFonts w:ascii="Arial" w:cs="Arial" w:eastAsia="Arial" w:hAnsi="Arial"/>
          <w:color w:val="4A4A4A"/>
          <w:sz w:val="22"/>
          <w:szCs w:val="22"/>
        </w:rPr>
        <w:t xml:space="preserve">Each cryptographic topic is implemented as an independent Python file under modules/: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2280"/>
      </w:tblGrid>
      <w:tr>
        <w:tc>
          <w:tcPr>
            <w:tcW w:type="dxa" w:w="2880"/>
            <w:tcBorders>
              <w:top w:val="single" w:color="2E75B6" w:sz="1"/>
              <w:left w:val="single" w:color="2E75B6" w:sz="1"/>
              <w:bottom w:val="single" w:color="2E75B6" w:sz="1"/>
              <w:right w:val="single" w:color="2E75B6"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480"/>
            <w:tcBorders>
              <w:top w:val="single" w:color="2E75B6" w:sz="1"/>
              <w:left w:val="single" w:color="2E75B6" w:sz="1"/>
              <w:bottom w:val="single" w:color="2E75B6" w:sz="1"/>
              <w:right w:val="single" w:color="2E75B6"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80"/>
            <w:tcBorders>
              <w:top w:val="single" w:color="2E75B6" w:sz="1"/>
              <w:left w:val="single" w:color="2E75B6" w:sz="1"/>
              <w:bottom w:val="single" w:color="2E75B6" w:sz="1"/>
              <w:right w:val="single" w:color="2E75B6"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m1_pow_monitor.py</w:t>
            </w:r>
          </w:p>
        </w:tc>
        <w:tc>
          <w:tcPr>
            <w:tcW w:type="dxa" w:w="3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Proof of Work Monitor</w:t>
            </w:r>
          </w:p>
        </w:tc>
        <w:tc>
          <w:tcPr>
            <w:tcW w:type="dxa" w:w="22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Required</w:t>
            </w:r>
          </w:p>
        </w:tc>
      </w:tr>
      <w:tr>
        <w:tc>
          <w:tcPr>
            <w:tcW w:type="dxa" w:w="28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m2_block_header.py</w:t>
            </w:r>
          </w:p>
        </w:tc>
        <w:tc>
          <w:tcPr>
            <w:tcW w:type="dxa" w:w="3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Block Header Analyzer</w:t>
            </w:r>
          </w:p>
        </w:tc>
        <w:tc>
          <w:tcPr>
            <w:tcW w:type="dxa" w:w="22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Required</w:t>
            </w:r>
          </w:p>
        </w:tc>
      </w:tr>
      <w:tr>
        <w:tc>
          <w:tcPr>
            <w:tcW w:type="dxa" w:w="28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m3_difficulty_history.py</w:t>
            </w:r>
          </w:p>
        </w:tc>
        <w:tc>
          <w:tcPr>
            <w:tcW w:type="dxa" w:w="3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Difficulty History</w:t>
            </w:r>
          </w:p>
        </w:tc>
        <w:tc>
          <w:tcPr>
            <w:tcW w:type="dxa" w:w="22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Required</w:t>
            </w:r>
          </w:p>
        </w:tc>
      </w:tr>
      <w:tr>
        <w:tc>
          <w:tcPr>
            <w:tcW w:type="dxa" w:w="28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m4_ai_component.py</w:t>
            </w:r>
          </w:p>
        </w:tc>
        <w:tc>
          <w:tcPr>
            <w:tcW w:type="dxa" w:w="3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AI Component (Anomaly Detector)</w:t>
            </w:r>
          </w:p>
        </w:tc>
        <w:tc>
          <w:tcPr>
            <w:tcW w:type="dxa" w:w="22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Required</w:t>
            </w:r>
          </w:p>
        </w:tc>
      </w:tr>
      <w:tr>
        <w:tc>
          <w:tcPr>
            <w:tcW w:type="dxa" w:w="28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m5_merkle_proof.py</w:t>
            </w:r>
          </w:p>
        </w:tc>
        <w:tc>
          <w:tcPr>
            <w:tcW w:type="dxa" w:w="3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Merkle Proof Verifier</w:t>
            </w:r>
          </w:p>
        </w:tc>
        <w:tc>
          <w:tcPr>
            <w:tcW w:type="dxa" w:w="22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Optional</w:t>
            </w:r>
          </w:p>
        </w:tc>
      </w:tr>
      <w:tr>
        <w:tc>
          <w:tcPr>
            <w:tcW w:type="dxa" w:w="28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m6_security_score.py</w:t>
            </w:r>
          </w:p>
        </w:tc>
        <w:tc>
          <w:tcPr>
            <w:tcW w:type="dxa" w:w="3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Security Score</w:t>
            </w:r>
          </w:p>
        </w:tc>
        <w:tc>
          <w:tcPr>
            <w:tcW w:type="dxa" w:w="22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Optional</w:t>
            </w:r>
          </w:p>
        </w:tc>
      </w:tr>
      <w:tr>
        <w:tc>
          <w:tcPr>
            <w:tcW w:type="dxa" w:w="28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m7_second_ai.py</w:t>
            </w:r>
          </w:p>
        </w:tc>
        <w:tc>
          <w:tcPr>
            <w:tcW w:type="dxa" w:w="3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Second AI Approach</w:t>
            </w:r>
          </w:p>
        </w:tc>
        <w:tc>
          <w:tcPr>
            <w:tcW w:type="dxa" w:w="22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Optional</w:t>
            </w:r>
          </w:p>
        </w:tc>
      </w:tr>
    </w:tbl>
    <w:p>
      <w:pPr>
        <w:spacing w:after="160" w:before="160"/>
      </w:pPr>
      <w:r>
        <w:rPr>
          <w:rFonts w:ascii="Arial" w:cs="Arial" w:eastAsia="Arial" w:hAnsi="Arial"/>
          <w:color w:val="4A4A4A"/>
          <w:sz w:val="22"/>
          <w:szCs w:val="22"/>
        </w:rPr>
        <w:t xml:space="preserve"/>
      </w:r>
    </w:p>
    <w:p>
      <w:pPr>
        <w:pStyle w:val="Heading1"/>
        <w:pBdr>
          <w:bottom w:val="single" w:color="2E75B6" w:sz="8" w:space="4"/>
        </w:pBdr>
        <w:spacing w:after="120" w:before="360"/>
      </w:pPr>
      <w:r>
        <w:rPr>
          <w:rFonts w:ascii="Arial" w:cs="Arial" w:eastAsia="Arial" w:hAnsi="Arial"/>
          <w:b/>
          <w:bCs/>
          <w:color w:val="1A3A6B"/>
          <w:sz w:val="32"/>
          <w:szCs w:val="32"/>
        </w:rPr>
        <w:t xml:space="preserve">3. Cryptographic Metrics and Blockchain Analysis</w:t>
      </w:r>
    </w:p>
    <w:p>
      <w:pPr>
        <w:pStyle w:val="Heading2"/>
        <w:spacing w:after="80" w:before="260"/>
      </w:pPr>
      <w:r>
        <w:rPr>
          <w:rFonts w:ascii="Arial" w:cs="Arial" w:eastAsia="Arial" w:hAnsi="Arial"/>
          <w:b/>
          <w:bCs/>
          <w:color w:val="2E75B6"/>
          <w:sz w:val="26"/>
          <w:szCs w:val="26"/>
        </w:rPr>
        <w:t xml:space="preserve">3.1 SHA-256 and Double Hashing (M1, M2)</w:t>
      </w:r>
    </w:p>
    <w:p>
      <w:pPr>
        <w:spacing w:after="80" w:before="60"/>
      </w:pPr>
      <w:r>
        <w:rPr>
          <w:rFonts w:ascii="Arial" w:cs="Arial" w:eastAsia="Arial" w:hAnsi="Arial"/>
          <w:color w:val="4A4A4A"/>
          <w:sz w:val="22"/>
          <w:szCs w:val="22"/>
        </w:rPr>
        <w:t xml:space="preserve">Bitcoin uses a double SHA-256 hash to compute the block identifier:</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block_hash = SHA256( SHA256( header_80_bytes ) )</w:t>
            </w:r>
          </w:p>
        </w:tc>
      </w:tr>
    </w:tbl>
    <w:p>
      <w:pPr>
        <w:spacing w:after="80" w:before="80"/>
      </w:pPr>
      <w:r>
        <w:rPr>
          <w:rFonts w:ascii="Arial" w:cs="Arial" w:eastAsia="Arial" w:hAnsi="Arial"/>
          <w:color w:val="4A4A4A"/>
          <w:sz w:val="22"/>
          <w:szCs w:val="22"/>
        </w:rPr>
        <w:t xml:space="preserve"/>
      </w:r>
    </w:p>
    <w:p>
      <w:pPr>
        <w:spacing w:after="120" w:before="80"/>
      </w:pPr>
      <w:r>
        <w:rPr>
          <w:rFonts w:ascii="Arial" w:cs="Arial" w:eastAsia="Arial" w:hAnsi="Arial"/>
          <w:color w:val="4A4A4A"/>
          <w:sz w:val="22"/>
          <w:szCs w:val="22"/>
        </w:rPr>
        <w:t xml:space="preserve">In M2, the 80-byte header is constructed locally from its six fields, hashed with hashlib.sha256, and the digest byte-reversed to match Bitcoin's display convention. The computed hash is then compared against the API value to confirm correctness.</w:t>
      </w:r>
    </w:p>
    <w:p>
      <w:pPr>
        <w:pStyle w:val="Heading2"/>
        <w:spacing w:after="80" w:before="260"/>
      </w:pPr>
      <w:r>
        <w:rPr>
          <w:rFonts w:ascii="Arial" w:cs="Arial" w:eastAsia="Arial" w:hAnsi="Arial"/>
          <w:b/>
          <w:bCs/>
          <w:color w:val="2E75B6"/>
          <w:sz w:val="26"/>
          <w:szCs w:val="26"/>
        </w:rPr>
        <w:t xml:space="preserve">3.2 Proof of Work and the Target Threshold (M1, M2)</w:t>
      </w:r>
    </w:p>
    <w:p>
      <w:pPr>
        <w:spacing w:after="80" w:before="60"/>
      </w:pPr>
      <w:r>
        <w:rPr>
          <w:rFonts w:ascii="Arial" w:cs="Arial" w:eastAsia="Arial" w:hAnsi="Arial"/>
          <w:color w:val="4A4A4A"/>
          <w:sz w:val="22"/>
          <w:szCs w:val="22"/>
        </w:rPr>
        <w:t xml:space="preserve">The network difficulty is encoded in the compact bits field. Decoding it yields the full 256-bit target threshold:</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target = coefficient  *  2^( 8 * (exponent - 3) )</w:t>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where: exponent    = leading byte of bits field</w:t>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coefficient = remaining 3 bytes of bits field</w:t>
            </w:r>
          </w:p>
        </w:tc>
      </w:tr>
    </w:tbl>
    <w:p>
      <w:pPr>
        <w:spacing w:after="80" w:before="80"/>
      </w:pPr>
      <w:r>
        <w:rPr>
          <w:rFonts w:ascii="Arial" w:cs="Arial" w:eastAsia="Arial" w:hAnsi="Arial"/>
          <w:color w:val="4A4A4A"/>
          <w:sz w:val="22"/>
          <w:szCs w:val="22"/>
        </w:rPr>
        <w:t xml:space="preserve"/>
      </w:r>
    </w:p>
    <w:p>
      <w:pPr>
        <w:spacing w:after="60" w:before="80"/>
      </w:pPr>
      <w:r>
        <w:rPr>
          <w:rFonts w:ascii="Arial" w:cs="Arial" w:eastAsia="Arial" w:hAnsi="Arial"/>
          <w:color w:val="4A4A4A"/>
          <w:sz w:val="22"/>
          <w:szCs w:val="22"/>
        </w:rPr>
        <w:t xml:space="preserve">The Proof of Work validity condition is:</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block_hash  &lt;  target</w:t>
            </w:r>
          </w:p>
        </w:tc>
      </w:tr>
    </w:tbl>
    <w:p>
      <w:pPr>
        <w:spacing w:after="80" w:before="80"/>
      </w:pPr>
      <w:r>
        <w:rPr>
          <w:rFonts w:ascii="Arial" w:cs="Arial" w:eastAsia="Arial" w:hAnsi="Arial"/>
          <w:color w:val="4A4A4A"/>
          <w:sz w:val="22"/>
          <w:szCs w:val="22"/>
        </w:rPr>
        <w:t xml:space="preserve"/>
      </w:r>
    </w:p>
    <w:p>
      <w:pPr>
        <w:spacing w:after="120" w:before="80"/>
      </w:pPr>
      <w:r>
        <w:rPr>
          <w:rFonts w:ascii="Arial" w:cs="Arial" w:eastAsia="Arial" w:hAnsi="Arial"/>
          <w:color w:val="4A4A4A"/>
          <w:sz w:val="22"/>
          <w:szCs w:val="22"/>
        </w:rPr>
        <w:t xml:space="preserve">Both M1 and M2 perform this comparison, count leading zero bits and hex digits, and display a 256-bit visual representation of the hash within the SHA-256 space.</w:t>
      </w:r>
    </w:p>
    <w:p>
      <w:pPr>
        <w:pStyle w:val="Heading2"/>
        <w:spacing w:after="80" w:before="260"/>
      </w:pPr>
      <w:r>
        <w:rPr>
          <w:rFonts w:ascii="Arial" w:cs="Arial" w:eastAsia="Arial" w:hAnsi="Arial"/>
          <w:b/>
          <w:bCs/>
          <w:color w:val="2E75B6"/>
          <w:sz w:val="26"/>
          <w:szCs w:val="26"/>
        </w:rPr>
        <w:t xml:space="preserve">3.3 Hash Rate Estimation (M1)</w:t>
      </w:r>
    </w:p>
    <w:p>
      <w:pPr>
        <w:spacing w:after="80" w:before="60"/>
      </w:pPr>
      <w:r>
        <w:rPr>
          <w:rFonts w:ascii="Arial" w:cs="Arial" w:eastAsia="Arial" w:hAnsi="Arial"/>
          <w:color w:val="4A4A4A"/>
          <w:sz w:val="22"/>
          <w:szCs w:val="22"/>
        </w:rPr>
        <w:t xml:space="preserve">The network hash rate is estimated from difficulty and observed inter-block times:</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hashrate = difficulty * 2^32 / average_block_time</w:t>
            </w:r>
          </w:p>
        </w:tc>
      </w:tr>
    </w:tbl>
    <w:p>
      <w:pPr>
        <w:spacing w:after="80" w:before="80"/>
      </w:pPr>
      <w:r>
        <w:rPr>
          <w:rFonts w:ascii="Arial" w:cs="Arial" w:eastAsia="Arial" w:hAnsi="Arial"/>
          <w:color w:val="4A4A4A"/>
          <w:sz w:val="22"/>
          <w:szCs w:val="22"/>
        </w:rPr>
        <w:t xml:space="preserve"/>
      </w:r>
    </w:p>
    <w:p>
      <w:pPr>
        <w:spacing w:after="120" w:before="80"/>
      </w:pPr>
      <w:r>
        <w:rPr>
          <w:rFonts w:ascii="Arial" w:cs="Arial" w:eastAsia="Arial" w:hAnsi="Arial"/>
          <w:color w:val="4A4A4A"/>
          <w:sz w:val="22"/>
          <w:szCs w:val="22"/>
        </w:rPr>
        <w:t xml:space="preserve">This follows from the definition of difficulty: a valid hash must fall below target = 2^224 / difficulty, and a miner performing H hashes per second finds a valid hash at rate H / (difficulty * 2^32). M1 auto-refreshes every 60 seconds to display updated live estimates.</w:t>
      </w:r>
    </w:p>
    <w:p>
      <w:pPr>
        <w:pStyle w:val="Heading2"/>
        <w:spacing w:after="80" w:before="260"/>
      </w:pPr>
      <w:r>
        <w:rPr>
          <w:rFonts w:ascii="Arial" w:cs="Arial" w:eastAsia="Arial" w:hAnsi="Arial"/>
          <w:b/>
          <w:bCs/>
          <w:color w:val="2E75B6"/>
          <w:sz w:val="26"/>
          <w:szCs w:val="26"/>
        </w:rPr>
        <w:t xml:space="preserve">3.4 Difficulty Adjustment (M3)</w:t>
      </w:r>
    </w:p>
    <w:p>
      <w:pPr>
        <w:spacing w:after="80" w:before="60"/>
      </w:pPr>
      <w:r>
        <w:rPr>
          <w:rFonts w:ascii="Arial" w:cs="Arial" w:eastAsia="Arial" w:hAnsi="Arial"/>
          <w:color w:val="4A4A4A"/>
          <w:sz w:val="22"/>
          <w:szCs w:val="22"/>
        </w:rPr>
        <w:t xml:space="preserve">Bitcoin adjusts difficulty every 2,016 blocks to target a 10-minute average inter-block time. The adjustment ratio is:</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actual/target ratio = actual_period_duration / (2016 * 600 seconds)</w:t>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difficulty_change % = (new_difficulty / old_difficulty - 1) * 100</w:t>
            </w:r>
          </w:p>
        </w:tc>
      </w:tr>
    </w:tbl>
    <w:p>
      <w:pPr>
        <w:spacing w:after="80" w:before="80"/>
      </w:pPr>
      <w:r>
        <w:rPr>
          <w:rFonts w:ascii="Arial" w:cs="Arial" w:eastAsia="Arial" w:hAnsi="Arial"/>
          <w:color w:val="4A4A4A"/>
          <w:sz w:val="22"/>
          <w:szCs w:val="22"/>
        </w:rPr>
        <w:t xml:space="preserve"/>
      </w:r>
    </w:p>
    <w:p>
      <w:pPr>
        <w:spacing w:after="120" w:before="80"/>
      </w:pPr>
      <w:r>
        <w:rPr>
          <w:rFonts w:ascii="Arial" w:cs="Arial" w:eastAsia="Arial" w:hAnsi="Arial"/>
          <w:color w:val="4A4A4A"/>
          <w:sz w:val="22"/>
          <w:szCs w:val="22"/>
        </w:rPr>
        <w:t xml:space="preserve">M3 retrieves boundary blocks at heights that are multiples of 2,016, computes actual period durations from timestamps, and shows the resulting difficulty change. Periods mined faster than target result in a difficulty increase; slower periods result in a decrease.</w:t>
      </w:r>
    </w:p>
    <w:p>
      <w:pPr>
        <w:pStyle w:val="Heading2"/>
        <w:spacing w:after="80" w:before="260"/>
      </w:pPr>
      <w:r>
        <w:rPr>
          <w:rFonts w:ascii="Arial" w:cs="Arial" w:eastAsia="Arial" w:hAnsi="Arial"/>
          <w:b/>
          <w:bCs/>
          <w:color w:val="2E75B6"/>
          <w:sz w:val="26"/>
          <w:szCs w:val="26"/>
        </w:rPr>
        <w:t xml:space="preserve">3.5 Byte Order in Bitcoin (M2)</w:t>
      </w:r>
    </w:p>
    <w:p>
      <w:pPr>
        <w:spacing w:after="160" w:before="60"/>
      </w:pPr>
      <w:r>
        <w:rPr>
          <w:rFonts w:ascii="Arial" w:cs="Arial" w:eastAsia="Arial" w:hAnsi="Arial"/>
          <w:color w:val="4A4A4A"/>
          <w:sz w:val="22"/>
          <w:szCs w:val="22"/>
        </w:rPr>
        <w:t xml:space="preserve">Bitcoin serializes multi-byte integers in little-endian order within the header but displays hashes in big-endian (reversed-byte) order. M2 explicitly demonstrates this by showing the raw little-endian hex alongside the decoded value and the reversed display hash.</w:t>
      </w:r>
    </w:p>
    <w:p>
      <w:pPr>
        <w:pStyle w:val="Heading1"/>
        <w:pBdr>
          <w:bottom w:val="single" w:color="2E75B6" w:sz="8" w:space="4"/>
        </w:pBdr>
        <w:spacing w:after="120" w:before="360"/>
      </w:pPr>
      <w:r>
        <w:rPr>
          <w:rFonts w:ascii="Arial" w:cs="Arial" w:eastAsia="Arial" w:hAnsi="Arial"/>
          <w:b/>
          <w:bCs/>
          <w:color w:val="1A3A6B"/>
          <w:sz w:val="32"/>
          <w:szCs w:val="32"/>
        </w:rPr>
        <w:t xml:space="preserve">4. AI Component</w:t>
      </w:r>
    </w:p>
    <w:p>
      <w:pPr>
        <w:pStyle w:val="Heading2"/>
        <w:spacing w:after="80" w:before="260"/>
      </w:pPr>
      <w:r>
        <w:rPr>
          <w:rFonts w:ascii="Arial" w:cs="Arial" w:eastAsia="Arial" w:hAnsi="Arial"/>
          <w:b/>
          <w:bCs/>
          <w:color w:val="2E75B6"/>
          <w:sz w:val="26"/>
          <w:szCs w:val="26"/>
        </w:rPr>
        <w:t xml:space="preserve">4.1 M4 — Anomaly Detector</w:t>
      </w:r>
    </w:p>
    <w:p>
      <w:pPr>
        <w:pStyle w:val="Heading3"/>
        <w:spacing w:after="60" w:before="180"/>
      </w:pPr>
      <w:r>
        <w:rPr>
          <w:rFonts w:ascii="Arial" w:cs="Arial" w:eastAsia="Arial" w:hAnsi="Arial"/>
          <w:b/>
          <w:bCs/>
          <w:color w:val="1A3A6B"/>
          <w:sz w:val="23"/>
          <w:szCs w:val="23"/>
        </w:rPr>
        <w:t xml:space="preserve">Model and Motivation</w:t>
      </w:r>
    </w:p>
    <w:p>
      <w:pPr>
        <w:spacing w:after="80" w:before="60"/>
      </w:pPr>
      <w:r>
        <w:rPr>
          <w:rFonts w:ascii="Arial" w:cs="Arial" w:eastAsia="Arial" w:hAnsi="Arial"/>
          <w:color w:val="4A4A4A"/>
          <w:sz w:val="22"/>
          <w:szCs w:val="22"/>
        </w:rPr>
        <w:t xml:space="preserve">Bitcoin mining is well-approximated by a Poisson process, because each hash attempt is an independent Bernoulli trial with a very small success probability. Under this model, the waiting time between successive blocks follows an exponential distribution with mean equal to the target inter-block time (~600 s).</w:t>
      </w:r>
    </w:p>
    <w:p>
      <w:pPr>
        <w:pStyle w:val="Heading3"/>
        <w:spacing w:after="60" w:before="180"/>
      </w:pPr>
      <w:r>
        <w:rPr>
          <w:rFonts w:ascii="Arial" w:cs="Arial" w:eastAsia="Arial" w:hAnsi="Arial"/>
          <w:b/>
          <w:bCs/>
          <w:color w:val="1A3A6B"/>
          <w:sz w:val="23"/>
          <w:szCs w:val="23"/>
        </w:rPr>
        <w:t xml:space="preserve">Pipeline</w:t>
      </w:r>
    </w:p>
    <w:p>
      <w:pPr>
        <w:pStyle w:val="ListParagraph"/>
        <w:numPr>
          <w:ilvl w:val="0"/>
          <w:numId w:val="2"/>
        </w:numPr>
        <w:spacing w:after="40" w:before="40"/>
      </w:pPr>
      <w:r>
        <w:rPr>
          <w:rFonts w:ascii="Arial" w:cs="Arial" w:eastAsia="Arial" w:hAnsi="Arial"/>
          <w:color w:val="4A4A4A"/>
          <w:sz w:val="22"/>
          <w:szCs w:val="22"/>
        </w:rPr>
        <w:t xml:space="preserve">Fetch inter-block times for recent blocks from the live API.</w:t>
      </w:r>
    </w:p>
    <w:p>
      <w:pPr>
        <w:pStyle w:val="ListParagraph"/>
        <w:numPr>
          <w:ilvl w:val="0"/>
          <w:numId w:val="2"/>
        </w:numPr>
        <w:spacing w:after="40" w:before="40"/>
      </w:pPr>
      <w:r>
        <w:rPr>
          <w:rFonts w:ascii="Arial" w:cs="Arial" w:eastAsia="Arial" w:hAnsi="Arial"/>
          <w:color w:val="4A4A4A"/>
          <w:sz w:val="22"/>
          <w:szCs w:val="22"/>
        </w:rPr>
        <w:t xml:space="preserve">Split chronologically: 70% train / 30% test.</w:t>
      </w:r>
    </w:p>
    <w:p>
      <w:pPr>
        <w:pStyle w:val="ListParagraph"/>
        <w:numPr>
          <w:ilvl w:val="0"/>
          <w:numId w:val="2"/>
        </w:numPr>
        <w:spacing w:after="40" w:before="40"/>
      </w:pPr>
      <w:r>
        <w:rPr>
          <w:rFonts w:ascii="Arial" w:cs="Arial" w:eastAsia="Arial" w:hAnsi="Arial"/>
          <w:color w:val="4A4A4A"/>
          <w:sz w:val="22"/>
          <w:szCs w:val="22"/>
        </w:rPr>
        <w:t xml:space="preserve">Fit the rate parameter via Maximum Likelihood Estimation (MLE):</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lambda_hat = 1 / mean( train_inter_block_times )</w:t>
            </w:r>
          </w:p>
        </w:tc>
      </w:tr>
    </w:tbl>
    <w:p>
      <w:pPr>
        <w:spacing w:after="40" w:before="40"/>
      </w:pPr>
      <w:r>
        <w:rPr>
          <w:rFonts w:ascii="Arial" w:cs="Arial" w:eastAsia="Arial" w:hAnsi="Arial"/>
          <w:color w:val="4A4A4A"/>
          <w:sz w:val="22"/>
          <w:szCs w:val="22"/>
        </w:rPr>
        <w:t xml:space="preserve"/>
      </w:r>
    </w:p>
    <w:p>
      <w:pPr>
        <w:pStyle w:val="ListParagraph"/>
        <w:numPr>
          <w:ilvl w:val="0"/>
          <w:numId w:val="2"/>
        </w:numPr>
        <w:spacing w:after="40" w:before="40"/>
      </w:pPr>
      <w:r>
        <w:rPr>
          <w:rFonts w:ascii="Arial" w:cs="Arial" w:eastAsia="Arial" w:hAnsi="Arial"/>
          <w:color w:val="4A4A4A"/>
          <w:sz w:val="22"/>
          <w:szCs w:val="22"/>
        </w:rPr>
        <w:t xml:space="preserve">Compute a two-sided p-value for each test observation: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p = 2 * min( P(X &lt;= observed),  P(X &gt;= observed) )</w:t>
            </w:r>
          </w:p>
        </w:tc>
      </w:tr>
    </w:tbl>
    <w:p>
      <w:pPr>
        <w:spacing w:after="40" w:before="40"/>
      </w:pPr>
      <w:r>
        <w:rPr>
          <w:rFonts w:ascii="Arial" w:cs="Arial" w:eastAsia="Arial" w:hAnsi="Arial"/>
          <w:color w:val="4A4A4A"/>
          <w:sz w:val="22"/>
          <w:szCs w:val="22"/>
        </w:rPr>
        <w:t xml:space="preserve"/>
      </w:r>
    </w:p>
    <w:p>
      <w:pPr>
        <w:pStyle w:val="ListParagraph"/>
        <w:numPr>
          <w:ilvl w:val="0"/>
          <w:numId w:val="2"/>
        </w:numPr>
        <w:spacing w:after="40" w:before="40"/>
      </w:pPr>
      <w:r>
        <w:rPr>
          <w:rFonts w:ascii="Arial" w:cs="Arial" w:eastAsia="Arial" w:hAnsi="Arial"/>
          <w:color w:val="4A4A4A"/>
          <w:sz w:val="22"/>
          <w:szCs w:val="22"/>
        </w:rPr>
        <w:t xml:space="preserve">Flag observations with p &lt; threshold as anomalies.</w:t>
      </w:r>
    </w:p>
    <w:p>
      <w:pPr>
        <w:spacing w:after="100" w:before="100"/>
      </w:pPr>
      <w:r>
        <w:rPr>
          <w:rFonts w:ascii="Arial" w:cs="Arial" w:eastAsia="Arial" w:hAnsi="Arial"/>
          <w:color w:val="4A4A4A"/>
          <w:sz w:val="22"/>
          <w:szCs w:val="22"/>
        </w:rPr>
        <w:t xml:space="preserve"/>
      </w:r>
    </w:p>
    <w:p>
      <w:pPr>
        <w:pStyle w:val="Heading3"/>
        <w:spacing w:after="60" w:before="180"/>
      </w:pPr>
      <w:r>
        <w:rPr>
          <w:rFonts w:ascii="Arial" w:cs="Arial" w:eastAsia="Arial" w:hAnsi="Arial"/>
          <w:b/>
          <w:bCs/>
          <w:color w:val="1A3A6B"/>
          <w:sz w:val="23"/>
          <w:szCs w:val="23"/>
        </w:rPr>
        <w:t xml:space="preserve">Metrics and Justification</w:t>
      </w:r>
    </w:p>
    <w:p>
      <w:pPr>
        <w:spacing w:after="120" w:before="60"/>
      </w:pPr>
      <w:r>
        <w:rPr>
          <w:rFonts w:ascii="Arial" w:cs="Arial" w:eastAsia="Arial" w:hAnsi="Arial"/>
          <w:color w:val="4A4A4A"/>
          <w:sz w:val="22"/>
          <w:szCs w:val="22"/>
        </w:rPr>
        <w:t xml:space="preserve">Accuracy and F1 are not reported because this is an unsupervised model — no ground-truth anomaly labels exist for Bitcoin inter-block times. The reported metrics are: Train KS statistic (goodness-of-fit), Test KS statistic, Test negative log-likelihood, and Test anomaly rate.</w:t>
      </w:r>
    </w:p>
    <w:p>
      <w:pPr>
        <w:pStyle w:val="Heading2"/>
        <w:spacing w:after="80" w:before="260"/>
      </w:pPr>
      <w:r>
        <w:rPr>
          <w:rFonts w:ascii="Arial" w:cs="Arial" w:eastAsia="Arial" w:hAnsi="Arial"/>
          <w:b/>
          <w:bCs/>
          <w:color w:val="2E75B6"/>
          <w:sz w:val="26"/>
          <w:szCs w:val="26"/>
        </w:rPr>
        <w:t xml:space="preserve">4.2 M7 — Difficulty Predictor (Second AI Approach)</w:t>
      </w:r>
    </w:p>
    <w:p>
      <w:pPr>
        <w:spacing w:after="80" w:before="60"/>
      </w:pPr>
      <w:r>
        <w:rPr>
          <w:rFonts w:ascii="Arial" w:cs="Arial" w:eastAsia="Arial" w:hAnsi="Arial"/>
          <w:color w:val="4A4A4A"/>
          <w:sz w:val="22"/>
          <w:szCs w:val="22"/>
        </w:rPr>
        <w:t xml:space="preserve">The model is a linear regression trained on historical difficulty adjustment period data.</w:t>
      </w:r>
    </w:p>
    <w:p>
      <w:pPr>
        <w:pStyle w:val="Heading3"/>
        <w:spacing w:after="60" w:before="180"/>
      </w:pPr>
      <w:r>
        <w:rPr>
          <w:rFonts w:ascii="Arial" w:cs="Arial" w:eastAsia="Arial" w:hAnsi="Arial"/>
          <w:b/>
          <w:bCs/>
          <w:color w:val="1A3A6B"/>
          <w:sz w:val="23"/>
          <w:szCs w:val="23"/>
        </w:rPr>
        <w:t xml:space="preserve">Features and Target</w:t>
      </w:r>
    </w:p>
    <w:p>
      <w:pPr>
        <w:pStyle w:val="ListParagraph"/>
        <w:numPr>
          <w:ilvl w:val="0"/>
          <w:numId w:val="2"/>
        </w:numPr>
        <w:spacing w:after="40" w:before="40"/>
      </w:pPr>
      <w:r>
        <w:rPr>
          <w:rFonts w:ascii="Arial" w:cs="Arial" w:eastAsia="Arial" w:hAnsi="Arial"/>
          <w:color w:val="4A4A4A"/>
          <w:sz w:val="22"/>
          <w:szCs w:val="22"/>
        </w:rPr>
        <w:t xml:space="preserve">Current difficulty</w:t>
      </w:r>
    </w:p>
    <w:p>
      <w:pPr>
        <w:pStyle w:val="ListParagraph"/>
        <w:numPr>
          <w:ilvl w:val="0"/>
          <w:numId w:val="2"/>
        </w:numPr>
        <w:spacing w:after="40" w:before="40"/>
      </w:pPr>
      <w:r>
        <w:rPr>
          <w:rFonts w:ascii="Arial" w:cs="Arial" w:eastAsia="Arial" w:hAnsi="Arial"/>
          <w:color w:val="4A4A4A"/>
          <w:sz w:val="22"/>
          <w:szCs w:val="22"/>
        </w:rPr>
        <w:t xml:space="preserve">Actual/target ratio for the current period</w:t>
      </w:r>
    </w:p>
    <w:p>
      <w:pPr>
        <w:pStyle w:val="ListParagraph"/>
        <w:numPr>
          <w:ilvl w:val="0"/>
          <w:numId w:val="2"/>
        </w:numPr>
        <w:spacing w:after="40" w:before="40"/>
      </w:pPr>
      <w:r>
        <w:rPr>
          <w:rFonts w:ascii="Arial" w:cs="Arial" w:eastAsia="Arial" w:hAnsi="Arial"/>
          <w:color w:val="4A4A4A"/>
          <w:sz w:val="22"/>
          <w:szCs w:val="22"/>
        </w:rPr>
        <w:t xml:space="preserve">Previous difficulty change percentage</w:t>
      </w:r>
    </w:p>
    <w:p>
      <w:pPr>
        <w:spacing w:after="60" w:before="60"/>
      </w:pPr>
      <w:r>
        <w:rPr>
          <w:rFonts w:ascii="Arial" w:cs="Arial" w:eastAsia="Arial" w:hAnsi="Arial"/>
          <w:color w:val="4A4A4A"/>
          <w:sz w:val="22"/>
          <w:szCs w:val="22"/>
        </w:rPr>
        <w:t xml:space="preserve"/>
      </w:r>
    </w:p>
    <w:p>
      <w:pPr>
        <w:spacing w:after="80" w:before="40"/>
      </w:pPr>
      <w:r>
        <w:rPr>
          <w:rFonts w:ascii="Arial" w:cs="Arial" w:eastAsia="Arial" w:hAnsi="Arial"/>
          <w:b/>
          <w:bCs/>
          <w:color w:val="4A4A4A"/>
          <w:sz w:val="22"/>
          <w:szCs w:val="22"/>
        </w:rPr>
        <w:t xml:space="preserve">Target: </w:t>
      </w:r>
      <w:r>
        <w:rPr>
          <w:rFonts w:ascii="Arial" w:cs="Arial" w:eastAsia="Arial" w:hAnsi="Arial"/>
          <w:color w:val="4A4A4A"/>
          <w:sz w:val="22"/>
          <w:szCs w:val="22"/>
        </w:rPr>
        <w:t xml:space="preserve">next period's actual difficulty.</w:t>
      </w:r>
    </w:p>
    <w:p>
      <w:pPr>
        <w:pStyle w:val="Heading3"/>
        <w:spacing w:after="60" w:before="180"/>
      </w:pPr>
      <w:r>
        <w:rPr>
          <w:rFonts w:ascii="Arial" w:cs="Arial" w:eastAsia="Arial" w:hAnsi="Arial"/>
          <w:b/>
          <w:bCs/>
          <w:color w:val="1A3A6B"/>
          <w:sz w:val="23"/>
          <w:szCs w:val="23"/>
        </w:rPr>
        <w:t xml:space="preserve">Baseline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baseline_prediction = current_difficulty / actual_target_ratio</w:t>
            </w:r>
          </w:p>
        </w:tc>
      </w:tr>
    </w:tbl>
    <w:p>
      <w:pPr>
        <w:spacing w:after="60" w:before="60"/>
      </w:pPr>
      <w:r>
        <w:rPr>
          <w:rFonts w:ascii="Arial" w:cs="Arial" w:eastAsia="Arial" w:hAnsi="Arial"/>
          <w:color w:val="4A4A4A"/>
          <w:sz w:val="22"/>
          <w:szCs w:val="22"/>
        </w:rPr>
        <w:t xml:space="preserve"/>
      </w:r>
    </w:p>
    <w:p>
      <w:pPr>
        <w:spacing w:after="160" w:before="80"/>
      </w:pPr>
      <w:r>
        <w:rPr>
          <w:rFonts w:ascii="Arial" w:cs="Arial" w:eastAsia="Arial" w:hAnsi="Arial"/>
          <w:color w:val="4A4A4A"/>
          <w:sz w:val="22"/>
          <w:szCs w:val="22"/>
        </w:rPr>
        <w:t xml:space="preserve">Reported metrics: MAE, MAPE, and per-prediction error percentage. A forecast is generated for the current incomplete period.</w:t>
      </w:r>
    </w:p>
    <w:p>
      <w:pPr>
        <w:pStyle w:val="Heading1"/>
        <w:pBdr>
          <w:bottom w:val="single" w:color="2E75B6" w:sz="8" w:space="4"/>
        </w:pBdr>
        <w:spacing w:after="120" w:before="360"/>
      </w:pPr>
      <w:r>
        <w:rPr>
          <w:rFonts w:ascii="Arial" w:cs="Arial" w:eastAsia="Arial" w:hAnsi="Arial"/>
          <w:b/>
          <w:bCs/>
          <w:color w:val="1A3A6B"/>
          <w:sz w:val="32"/>
          <w:szCs w:val="32"/>
        </w:rPr>
        <w:t xml:space="preserve">5. Optional Extensions</w:t>
      </w:r>
    </w:p>
    <w:p>
      <w:pPr>
        <w:pStyle w:val="Heading2"/>
        <w:spacing w:after="80" w:before="260"/>
      </w:pPr>
      <w:r>
        <w:rPr>
          <w:rFonts w:ascii="Arial" w:cs="Arial" w:eastAsia="Arial" w:hAnsi="Arial"/>
          <w:b/>
          <w:bCs/>
          <w:color w:val="2E75B6"/>
          <w:sz w:val="26"/>
          <w:szCs w:val="26"/>
        </w:rPr>
        <w:t xml:space="preserve">5.1 M5 — Merkle Proof Verifier</w:t>
      </w:r>
    </w:p>
    <w:p>
      <w:pPr>
        <w:spacing w:after="80" w:before="60"/>
      </w:pPr>
      <w:r>
        <w:rPr>
          <w:rFonts w:ascii="Arial" w:cs="Arial" w:eastAsia="Arial" w:hAnsi="Arial"/>
          <w:color w:val="4A4A4A"/>
          <w:sz w:val="22"/>
          <w:szCs w:val="22"/>
        </w:rPr>
        <w:t xml:space="preserve">A Merkle proof allows verification that a transaction is included in a block without downloading all transactions. The reconstruction algorithm combines sibling hashes at each level:</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node = SHA256( SHA256( left_hash || right_hash ) )</w:t>
            </w:r>
          </w:p>
        </w:tc>
      </w:tr>
    </w:tbl>
    <w:p>
      <w:pPr>
        <w:spacing w:after="80" w:before="80"/>
      </w:pPr>
      <w:r>
        <w:rPr>
          <w:rFonts w:ascii="Arial" w:cs="Arial" w:eastAsia="Arial" w:hAnsi="Arial"/>
          <w:color w:val="4A4A4A"/>
          <w:sz w:val="22"/>
          <w:szCs w:val="22"/>
        </w:rPr>
        <w:t xml:space="preserve"/>
      </w:r>
    </w:p>
    <w:p>
      <w:pPr>
        <w:spacing w:after="120" w:before="80"/>
      </w:pPr>
      <w:r>
        <w:rPr>
          <w:rFonts w:ascii="Arial" w:cs="Arial" w:eastAsia="Arial" w:hAnsi="Arial"/>
          <w:color w:val="4A4A4A"/>
          <w:sz w:val="22"/>
          <w:szCs w:val="22"/>
        </w:rPr>
        <w:t xml:space="preserve">M5 fetches the proof from the API, reconstructs each level of the Merkle tree step by step, handles Bitcoin's internal byte order, and verifies that the final computed root matches the Merkle root stored in the block header.</w:t>
      </w:r>
    </w:p>
    <w:p>
      <w:pPr>
        <w:pStyle w:val="Heading2"/>
        <w:spacing w:after="80" w:before="260"/>
      </w:pPr>
      <w:r>
        <w:rPr>
          <w:rFonts w:ascii="Arial" w:cs="Arial" w:eastAsia="Arial" w:hAnsi="Arial"/>
          <w:b/>
          <w:bCs/>
          <w:color w:val="2E75B6"/>
          <w:sz w:val="26"/>
          <w:szCs w:val="26"/>
        </w:rPr>
        <w:t xml:space="preserve">5.2 M6 — Security Score (51% Attack Estimator)</w:t>
      </w:r>
    </w:p>
    <w:p>
      <w:pPr>
        <w:spacing w:after="80" w:before="60"/>
      </w:pPr>
      <w:r>
        <w:rPr>
          <w:rFonts w:ascii="Arial" w:cs="Arial" w:eastAsia="Arial" w:hAnsi="Arial"/>
          <w:color w:val="4A4A4A"/>
          <w:sz w:val="22"/>
          <w:szCs w:val="22"/>
        </w:rPr>
        <w:t xml:space="preserve">M6 estimates the economic cost of a 51% attack with configurable assumptions: electricity price (USD/kWh), ASIC efficiency (J/TH), hardware cost (USD/TH), and attacker hash share. The attack success probability as a function of confirmation depth follows Nakamoto (2008), Section 11:</w:t>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640"/>
      </w:tblGrid>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P(attack success) ≈ (q / p)^z</w:t>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where: q = attacker hash share</w:t>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p = honest hash share  (p = 1 - q)</w:t>
            </w:r>
          </w:p>
        </w:tc>
      </w:tr>
      <w:tr>
        <w:tc>
          <w:tcPr>
            <w:tcW w:type="dxa" w:w="864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line="240"/>
            </w:pPr>
            <w:r>
              <w:rPr>
                <w:rFonts w:ascii="Courier New" w:cs="Courier New" w:eastAsia="Courier New" w:hAnsi="Courier New"/>
                <w:color w:val="C3E88D"/>
                <w:sz w:val="18"/>
                <w:szCs w:val="18"/>
              </w:rPr>
              <w:t xml:space="preserve">         z = number of confirmations</w:t>
            </w:r>
          </w:p>
        </w:tc>
      </w:tr>
    </w:tbl>
    <w:p>
      <w:pPr>
        <w:spacing w:after="80" w:before="80"/>
      </w:pPr>
      <w:r>
        <w:rPr>
          <w:rFonts w:ascii="Arial" w:cs="Arial" w:eastAsia="Arial" w:hAnsi="Arial"/>
          <w:color w:val="4A4A4A"/>
          <w:sz w:val="22"/>
          <w:szCs w:val="22"/>
        </w:rPr>
        <w:t xml:space="preserve"/>
      </w:r>
    </w:p>
    <w:p>
      <w:pPr>
        <w:spacing w:after="160" w:before="80"/>
      </w:pPr>
      <w:r>
        <w:rPr>
          <w:rFonts w:ascii="Arial" w:cs="Arial" w:eastAsia="Arial" w:hAnsi="Arial"/>
          <w:color w:val="4A4A4A"/>
          <w:sz w:val="22"/>
          <w:szCs w:val="22"/>
        </w:rPr>
        <w:t xml:space="preserve">This module is presented as an educational estimation tool, not a precise financial model.</w:t>
      </w:r>
    </w:p>
    <w:p>
      <w:pPr>
        <w:pStyle w:val="Heading1"/>
        <w:pBdr>
          <w:bottom w:val="single" w:color="2E75B6" w:sz="8" w:space="4"/>
        </w:pBdr>
        <w:spacing w:after="120" w:before="360"/>
      </w:pPr>
      <w:r>
        <w:rPr>
          <w:rFonts w:ascii="Arial" w:cs="Arial" w:eastAsia="Arial" w:hAnsi="Arial"/>
          <w:b/>
          <w:bCs/>
          <w:color w:val="1A3A6B"/>
          <w:sz w:val="32"/>
          <w:szCs w:val="32"/>
        </w:rPr>
        <w:t xml:space="preserve">6. Results and Limitations</w:t>
      </w:r>
    </w:p>
    <w:p>
      <w:pPr>
        <w:pStyle w:val="Heading2"/>
        <w:spacing w:after="80" w:before="260"/>
      </w:pPr>
      <w:r>
        <w:rPr>
          <w:rFonts w:ascii="Arial" w:cs="Arial" w:eastAsia="Arial" w:hAnsi="Arial"/>
          <w:b/>
          <w:bCs/>
          <w:color w:val="2E75B6"/>
          <w:sz w:val="26"/>
          <w:szCs w:val="26"/>
        </w:rPr>
        <w:t xml:space="preserve">6.1 Results</w:t>
      </w:r>
    </w:p>
    <w:p>
      <w:pPr>
        <w:spacing w:after="120" w:before="60"/>
      </w:pPr>
      <w:r>
        <w:rPr>
          <w:rFonts w:ascii="Arial" w:cs="Arial" w:eastAsia="Arial" w:hAnsi="Arial"/>
          <w:color w:val="4A4A4A"/>
          <w:sz w:val="22"/>
          <w:szCs w:val="22"/>
        </w:rPr>
        <w:t xml:space="preserve">All seven modules successfully fetch live data from public APIs and compute the expected cryptographic properties. SHA-256 double hashes computed locally match API-reported hashes in all tested blocks. Merkle root reconstructions verify correctly. The anomaly detector identifies statistically unusual inter-block intervals, and the difficulty predictor achieves lower MAE than the naive baseline on held-out test data in the majority of evaluated periods.</w:t>
      </w:r>
    </w:p>
    <w:p>
      <w:pPr>
        <w:pStyle w:val="Heading2"/>
        <w:spacing w:after="80" w:before="260"/>
      </w:pPr>
      <w:r>
        <w:rPr>
          <w:rFonts w:ascii="Arial" w:cs="Arial" w:eastAsia="Arial" w:hAnsi="Arial"/>
          <w:b/>
          <w:bCs/>
          <w:color w:val="2E75B6"/>
          <w:sz w:val="26"/>
          <w:szCs w:val="26"/>
        </w:rPr>
        <w:t xml:space="preserve">6.2 Limitations</w:t>
      </w:r>
    </w:p>
    <w:p>
      <w:pPr>
        <w:pStyle w:val="ListParagraph"/>
        <w:numPr>
          <w:ilvl w:val="0"/>
          <w:numId w:val="2"/>
        </w:numPr>
        <w:spacing w:after="40" w:before="40"/>
      </w:pPr>
      <w:r>
        <w:rPr>
          <w:rFonts w:ascii="Arial" w:cs="Arial" w:eastAsia="Arial" w:hAnsi="Arial"/>
          <w:color w:val="4A4A4A"/>
          <w:sz w:val="22"/>
          <w:szCs w:val="22"/>
        </w:rPr>
        <w:t xml:space="preserve">API rate limits constrain the volume of historical data retrievable in a single session, limiting training set size for ML modules.</w:t>
      </w:r>
    </w:p>
    <w:p>
      <w:pPr>
        <w:pStyle w:val="ListParagraph"/>
        <w:numPr>
          <w:ilvl w:val="0"/>
          <w:numId w:val="2"/>
        </w:numPr>
        <w:spacing w:after="40" w:before="40"/>
      </w:pPr>
      <w:r>
        <w:rPr>
          <w:rFonts w:ascii="Arial" w:cs="Arial" w:eastAsia="Arial" w:hAnsi="Arial"/>
          <w:color w:val="4A4A4A"/>
          <w:sz w:val="22"/>
          <w:szCs w:val="22"/>
        </w:rPr>
        <w:t xml:space="preserve">While mining is well-modeled as Poisson at the individual miner level, the aggregate network exhibits small deviations due to hardware heterogeneity and pool behavior.</w:t>
      </w:r>
    </w:p>
    <w:p>
      <w:pPr>
        <w:pStyle w:val="ListParagraph"/>
        <w:numPr>
          <w:ilvl w:val="0"/>
          <w:numId w:val="2"/>
        </w:numPr>
        <w:spacing w:after="40" w:before="40"/>
      </w:pPr>
      <w:r>
        <w:rPr>
          <w:rFonts w:ascii="Arial" w:cs="Arial" w:eastAsia="Arial" w:hAnsi="Arial"/>
          <w:color w:val="4A4A4A"/>
          <w:sz w:val="22"/>
          <w:szCs w:val="22"/>
        </w:rPr>
        <w:t xml:space="preserve">The Nakamoto formula (M6) assumes a fixed hash rate split and no selfish mining; real attack economics are more complex.</w:t>
      </w:r>
    </w:p>
    <w:p>
      <w:pPr>
        <w:pStyle w:val="ListParagraph"/>
        <w:numPr>
          <w:ilvl w:val="0"/>
          <w:numId w:val="2"/>
        </w:numPr>
        <w:spacing w:after="40" w:before="40"/>
      </w:pPr>
      <w:r>
        <w:rPr>
          <w:rFonts w:ascii="Arial" w:cs="Arial" w:eastAsia="Arial" w:hAnsi="Arial"/>
          <w:color w:val="4A4A4A"/>
          <w:sz w:val="22"/>
          <w:szCs w:val="22"/>
        </w:rPr>
        <w:t xml:space="preserve">M4 anomaly detection cannot be externally validated without expert-labeled datasets, as no ground-truth labels exist for inter-block time anomalies.</w:t>
      </w:r>
    </w:p>
    <w:p>
      <w:pPr>
        <w:spacing w:after="0" w:before="160"/>
      </w:pPr>
      <w:r>
        <w:rPr>
          <w:rFonts w:ascii="Arial" w:cs="Arial" w:eastAsia="Arial" w:hAnsi="Arial"/>
          <w:color w:val="4A4A4A"/>
          <w:sz w:val="22"/>
          <w:szCs w:val="22"/>
        </w:rPr>
        <w:t xml:space="preserve"/>
      </w:r>
    </w:p>
    <w:p>
      <w:pPr>
        <w:pStyle w:val="Heading1"/>
        <w:pBdr>
          <w:bottom w:val="single" w:color="2E75B6" w:sz="8" w:space="4"/>
        </w:pBdr>
        <w:spacing w:after="120" w:before="360"/>
      </w:pPr>
      <w:r>
        <w:rPr>
          <w:rFonts w:ascii="Arial" w:cs="Arial" w:eastAsia="Arial" w:hAnsi="Arial"/>
          <w:b/>
          <w:bCs/>
          <w:color w:val="1A3A6B"/>
          <w:sz w:val="32"/>
          <w:szCs w:val="32"/>
        </w:rPr>
        <w:t xml:space="preserve">7. Conclusion</w:t>
      </w:r>
    </w:p>
    <w:p>
      <w:pPr>
        <w:spacing w:after="160" w:before="60"/>
      </w:pPr>
      <w:r>
        <w:rPr>
          <w:rFonts w:ascii="Arial" w:cs="Arial" w:eastAsia="Arial" w:hAnsi="Arial"/>
          <w:color w:val="4A4A4A"/>
          <w:sz w:val="22"/>
          <w:szCs w:val="22"/>
        </w:rPr>
        <w:t xml:space="preserve">The CryptoChain Analyzer Dashboard successfully operationalizes the key cryptographic concepts of the course — SHA-256, Proof of Work, Merkle proofs, and difficulty adjustment — within a live, interactive environment. The two AI components demonstrate how probabilistic and regression models can be meaningfully applied to blockchain data. All required modules are implemented and functional; three optional modules extend the scope of the analysis. The project demonstrates the practical relevance of the cryptographic theory studied in class and provides a foundation for further exploration of Bitcoin's security model.</w:t>
      </w:r>
    </w:p>
    <w:p>
      <w:pPr>
        <w:pStyle w:val="Heading1"/>
        <w:pBdr>
          <w:bottom w:val="single" w:color="2E75B6" w:sz="8" w:space="4"/>
        </w:pBdr>
        <w:spacing w:after="120" w:before="360"/>
      </w:pPr>
      <w:r>
        <w:rPr>
          <w:rFonts w:ascii="Arial" w:cs="Arial" w:eastAsia="Arial" w:hAnsi="Arial"/>
          <w:b/>
          <w:bCs/>
          <w:color w:val="1A3A6B"/>
          <w:sz w:val="32"/>
          <w:szCs w:val="32"/>
        </w:rPr>
        <w:t xml:space="preserve">8. References</w:t>
      </w:r>
    </w:p>
    <w:p>
      <w:pPr>
        <w:spacing w:after="60" w:before="60"/>
      </w:pPr>
      <w:r>
        <w:rPr>
          <w:rFonts w:ascii="Arial" w:cs="Arial" w:eastAsia="Arial" w:hAnsi="Arial"/>
          <w:color w:val="4A4A4A"/>
          <w:sz w:val="22"/>
          <w:szCs w:val="22"/>
        </w:rPr>
        <w:t xml:space="preserve">[1] Nakamoto, S. (2008). Bitcoin: A Peer-to-Peer Electronic Cash System. https://bitcoin.org/bitcoin.pdf</w:t>
      </w:r>
    </w:p>
    <w:p>
      <w:pPr>
        <w:spacing w:after="60" w:before="60"/>
      </w:pPr>
      <w:r>
        <w:rPr>
          <w:rFonts w:ascii="Arial" w:cs="Arial" w:eastAsia="Arial" w:hAnsi="Arial"/>
          <w:color w:val="4A4A4A"/>
          <w:sz w:val="22"/>
          <w:szCs w:val="22"/>
        </w:rPr>
        <w:t xml:space="preserve">[2] Blockstream API. https://blockstream.info/api/</w:t>
      </w:r>
    </w:p>
    <w:p>
      <w:pPr>
        <w:spacing w:after="60" w:before="60"/>
      </w:pPr>
      <w:r>
        <w:rPr>
          <w:rFonts w:ascii="Arial" w:cs="Arial" w:eastAsia="Arial" w:hAnsi="Arial"/>
          <w:color w:val="4A4A4A"/>
          <w:sz w:val="22"/>
          <w:szCs w:val="22"/>
        </w:rPr>
        <w:t xml:space="preserve">[3] Blockchain.info API. https://www.blockchain.com/explorer/api</w:t>
      </w:r>
    </w:p>
    <w:p>
      <w:pPr>
        <w:spacing w:after="60" w:before="60"/>
      </w:pPr>
      <w:r>
        <w:rPr>
          <w:rFonts w:ascii="Arial" w:cs="Arial" w:eastAsia="Arial" w:hAnsi="Arial"/>
          <w:color w:val="4A4A4A"/>
          <w:sz w:val="22"/>
          <w:szCs w:val="22"/>
        </w:rPr>
        <w:t xml:space="preserve">[4] Bitcoin Developer Documentation — Block Headers. https://developer.bitcoin.org/reference/block_chain.html</w:t>
      </w:r>
    </w:p>
    <w:p>
      <w:pPr>
        <w:spacing w:after="60" w:before="60"/>
      </w:pPr>
      <w:r>
        <w:rPr>
          <w:rFonts w:ascii="Arial" w:cs="Arial" w:eastAsia="Arial" w:hAnsi="Arial"/>
          <w:color w:val="4A4A4A"/>
          <w:sz w:val="22"/>
          <w:szCs w:val="22"/>
        </w:rPr>
        <w:t xml:space="preserve">[5] Python Software Foundation. hashlib — Secure hashes and message digests. https://docs.python.org/3/library/hashlib.html</w:t>
      </w:r>
    </w:p>
    <w:p>
      <w:pPr>
        <w:spacing w:after="60" w:before="60"/>
      </w:pPr>
      <w:r>
        <w:rPr>
          <w:rFonts w:ascii="Arial" w:cs="Arial" w:eastAsia="Arial" w:hAnsi="Arial"/>
          <w:color w:val="4A4A4A"/>
          <w:sz w:val="22"/>
          <w:szCs w:val="22"/>
        </w:rPr>
        <w:t xml:space="preserve">[6] SciPy Documentation — scipy.stats.expon. https://docs.scipy.org/doc/scipy/</w:t>
      </w:r>
    </w:p>
    <w:p>
      <w:pPr>
        <w:spacing w:after="60" w:before="60"/>
      </w:pPr>
      <w:r>
        <w:rPr>
          <w:rFonts w:ascii="Arial" w:cs="Arial" w:eastAsia="Arial" w:hAnsi="Arial"/>
          <w:color w:val="4A4A4A"/>
          <w:sz w:val="22"/>
          <w:szCs w:val="22"/>
        </w:rPr>
        <w:t xml:space="preserve">[7] Scikit-learn — Linear Regression. https://scikit-learn.org/stable/modules/generated/sklearn.linear_model.LinearRegression.html</w:t>
      </w:r>
    </w:p>
    <w:p>
      <w:pPr>
        <w:spacing w:after="60" w:before="60"/>
      </w:pPr>
      <w:r>
        <w:rPr>
          <w:rFonts w:ascii="Arial" w:cs="Arial" w:eastAsia="Arial" w:hAnsi="Arial"/>
          <w:color w:val="4A4A4A"/>
          <w:sz w:val="22"/>
          <w:szCs w:val="22"/>
        </w:rPr>
        <w:t xml:space="preserve">[8] Streamlit Documentation. https://docs.streamlit.io</w:t>
      </w:r>
    </w:p>
    <w:p>
      <w:pPr>
        <w:spacing w:after="0" w:before="100"/>
      </w:pPr>
      <w:r>
        <w:rPr>
          <w:rFonts w:ascii="Arial" w:cs="Arial" w:eastAsia="Arial" w:hAnsi="Arial"/>
          <w:color w:val="4A4A4A"/>
          <w:sz w:val="22"/>
          <w:szCs w:val="22"/>
        </w:rPr>
        <w:t xml:space="preserve"/>
      </w:r>
    </w:p>
    <w:p>
      <w:r>
        <w:br w:type="page"/>
      </w:r>
    </w:p>
    <w:p>
      <w:pPr>
        <w:pStyle w:val="Heading1"/>
        <w:pBdr>
          <w:bottom w:val="single" w:color="2E75B6" w:sz="8" w:space="4"/>
        </w:pBdr>
        <w:spacing w:after="120" w:before="360"/>
      </w:pPr>
      <w:r>
        <w:rPr>
          <w:rFonts w:ascii="Arial" w:cs="Arial" w:eastAsia="Arial" w:hAnsi="Arial"/>
          <w:b/>
          <w:bCs/>
          <w:color w:val="1A3A6B"/>
          <w:sz w:val="32"/>
          <w:szCs w:val="32"/>
        </w:rPr>
        <w:t xml:space="preserve">9. Requirement Coverage Checklist</w:t>
      </w:r>
    </w:p>
    <w:p>
      <w:pPr>
        <w:spacing w:after="80" w:before="60"/>
      </w:pPr>
      <w:r>
        <w:rPr>
          <w:rFonts w:ascii="Arial" w:cs="Arial" w:eastAsia="Arial" w:hAnsi="Arial"/>
          <w:color w:val="4A4A4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1080"/>
        <w:gridCol w:w="2760"/>
      </w:tblGrid>
      <w:tr>
        <w:tc>
          <w:tcPr>
            <w:tcW w:type="dxa" w:w="480"/>
            <w:tcBorders>
              <w:top w:val="single" w:color="2E75B6" w:sz="1"/>
              <w:left w:val="single" w:color="2E75B6" w:sz="1"/>
              <w:bottom w:val="single" w:color="2E75B6" w:sz="1"/>
              <w:right w:val="single" w:color="2E75B6"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20"/>
            <w:tcBorders>
              <w:top w:val="single" w:color="2E75B6" w:sz="1"/>
              <w:left w:val="single" w:color="2E75B6" w:sz="1"/>
              <w:bottom w:val="single" w:color="2E75B6" w:sz="1"/>
              <w:right w:val="single" w:color="2E75B6"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80"/>
            <w:tcBorders>
              <w:top w:val="single" w:color="2E75B6" w:sz="1"/>
              <w:left w:val="single" w:color="2E75B6" w:sz="1"/>
              <w:bottom w:val="single" w:color="2E75B6" w:sz="1"/>
              <w:right w:val="single" w:color="2E75B6"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760"/>
            <w:tcBorders>
              <w:top w:val="single" w:color="2E75B6" w:sz="1"/>
              <w:left w:val="single" w:color="2E75B6" w:sz="1"/>
              <w:bottom w:val="single" w:color="2E75B6" w:sz="1"/>
              <w:right w:val="single" w:color="2E75B6"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1</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Live Bitcoin data via public API</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M1</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2</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SHA-256 double hash computed locally</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M2</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3</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Hash verified against API</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M2</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4</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Bits field decoded to target threshold</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M1, M2</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5</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hash &lt; target verified visually</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M1, M2</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6</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Leading zero bits counted</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M1, M2</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7</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256-bit space visualization</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M1</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8</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Inter-block time histogram</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M1</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9</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Exponential distribution explanation</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M1</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10</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Hash rate estimation formula</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M1</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11</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Auto-refresh every 60 seconds</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M1</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12</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80-byte header field breakdown</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M2</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13</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Byte order explanation</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M2</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14</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Difficulty history over adjustment periods</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M3</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15</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Actual/target ratio computed</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M3</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16</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Difficulty change percentage shown</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M3</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17</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AI model trained on real Bitcoin data</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M4</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18</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Train/test split (chronological)</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M4</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19</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Anomaly detection with p-values</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M4</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20</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Metric justification (no Accuracy/F1)</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M4</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21</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Merkle proof fetched and reconstructed</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M5</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 Optional</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22</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SHA256(SHA256(left||right)) shown per step</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M5</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 Optional</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23</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51% attack cost estimation</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M6</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 Optional</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24</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Nakamoto confirmation probability formula</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M6</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 Optional</w:t>
            </w:r>
          </w:p>
        </w:tc>
      </w:tr>
      <w:tr>
        <w:tc>
          <w:tcPr>
            <w:tcW w:type="dxa" w:w="4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25</w:t>
            </w:r>
          </w:p>
        </w:tc>
        <w:tc>
          <w:tcPr>
            <w:tcW w:type="dxa" w:w="432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Second AI approach (different from M4)</w:t>
            </w:r>
          </w:p>
        </w:tc>
        <w:tc>
          <w:tcPr>
            <w:tcW w:type="dxa" w:w="108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color w:val="4A4A4A"/>
                <w:sz w:val="20"/>
                <w:szCs w:val="20"/>
              </w:rPr>
              <w:t xml:space="preserve">M7</w:t>
            </w:r>
          </w:p>
        </w:tc>
        <w:tc>
          <w:tcPr>
            <w:tcW w:type="dxa" w:w="2760"/>
            <w:tcBorders>
              <w:top w:val="single" w:color="D9DCE3" w:sz="1"/>
              <w:left w:val="single" w:color="D9DCE3" w:sz="1"/>
              <w:bottom w:val="single" w:color="D9DCE3" w:sz="1"/>
              <w:right w:val="single" w:color="D9DCE3" w:sz="1"/>
            </w:tcBorders>
            <w:shd w:fill="FFFFFF" w:val="clear"/>
            <w:tcMar>
              <w:top w:type="dxa" w:w="70"/>
              <w:left w:type="dxa" w:w="120"/>
              <w:bottom w:type="dxa" w:w="70"/>
              <w:right w:type="dxa" w:w="120"/>
            </w:tcMar>
          </w:tcPr>
          <w:p>
            <w:r>
              <w:rPr>
                <w:rFonts w:ascii="Arial" w:cs="Arial" w:eastAsia="Arial" w:hAnsi="Arial"/>
                <w:b/>
                <w:bCs/>
                <w:color w:val="1E7A3A"/>
                <w:sz w:val="20"/>
                <w:szCs w:val="20"/>
              </w:rPr>
              <w:t xml:space="preserve">✅ Optional</w:t>
            </w:r>
          </w:p>
        </w:tc>
      </w:tr>
      <w:tr>
        <w:tc>
          <w:tcPr>
            <w:tcW w:type="dxa" w:w="4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26</w:t>
            </w:r>
          </w:p>
        </w:tc>
        <w:tc>
          <w:tcPr>
            <w:tcW w:type="dxa" w:w="432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Baseline comparison for second AI</w:t>
            </w:r>
          </w:p>
        </w:tc>
        <w:tc>
          <w:tcPr>
            <w:tcW w:type="dxa" w:w="108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color w:val="4A4A4A"/>
                <w:sz w:val="20"/>
                <w:szCs w:val="20"/>
              </w:rPr>
              <w:t xml:space="preserve">M7</w:t>
            </w:r>
          </w:p>
        </w:tc>
        <w:tc>
          <w:tcPr>
            <w:tcW w:type="dxa" w:w="2760"/>
            <w:tcBorders>
              <w:top w:val="single" w:color="D9DCE3" w:sz="1"/>
              <w:left w:val="single" w:color="D9DCE3" w:sz="1"/>
              <w:bottom w:val="single" w:color="D9DCE3" w:sz="1"/>
              <w:right w:val="single" w:color="D9DCE3" w:sz="1"/>
            </w:tcBorders>
            <w:shd w:fill="F2F4F8" w:val="clear"/>
            <w:tcMar>
              <w:top w:type="dxa" w:w="70"/>
              <w:left w:type="dxa" w:w="120"/>
              <w:bottom w:type="dxa" w:w="70"/>
              <w:right w:type="dxa" w:w="120"/>
            </w:tcMar>
          </w:tcPr>
          <w:p>
            <w:r>
              <w:rPr>
                <w:rFonts w:ascii="Arial" w:cs="Arial" w:eastAsia="Arial" w:hAnsi="Arial"/>
                <w:b/>
                <w:bCs/>
                <w:color w:val="1E7A3A"/>
                <w:sz w:val="20"/>
                <w:szCs w:val="20"/>
              </w:rPr>
              <w:t xml:space="preserve">✅ Optional</w:t>
            </w:r>
          </w:p>
        </w:tc>
      </w:tr>
    </w:tbl>
    <w:p>
      <w:pPr>
        <w:spacing w:after="0" w:before="120"/>
      </w:pPr>
      <w:r>
        <w:rPr>
          <w:rFonts w:ascii="Arial" w:cs="Arial" w:eastAsia="Arial" w:hAnsi="Arial"/>
          <w:color w:val="4A4A4A"/>
          <w:sz w:val="22"/>
          <w:szCs w:val="22"/>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CryptoChain Analyzer Dashboard — Final Report  |  Universidad Alfonso X el Sabio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2026-05-14T20:57:08.005Z</dcterms:created>
  <dcterms:modified xsi:type="dcterms:W3CDTF">2026-05-14T20:57:08.005Z</dcterms:modified>
</cp:coreProperties>
</file>

<file path=docProps/custom.xml><?xml version="1.0" encoding="utf-8"?>
<Properties xmlns="http://schemas.openxmlformats.org/officeDocument/2006/custom-properties" xmlns:vt="http://schemas.openxmlformats.org/officeDocument/2006/docPropsVTypes"/>
</file>