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1NC — SYNTHETIC TEST DOCUMENT</w:t>
      </w:r>
    </w:p>
    <w:p>
      <w:pPr>
        <w:pStyle w:val="Heading2"/>
      </w:pPr>
      <w:r>
        <w:t xml:space="preserve">States CP</w:t>
      </w:r>
    </w:p>
    <w:p>
      <w:pPr>
        <w:pStyle w:val="Heading4"/>
      </w:pPr>
      <w:r>
        <w:t xml:space="preserve">Text: The fifty states and all relevant territories in the United States should substantially expand protection of ephemeral streams, intermittent streams, and wetlands.</w:t>
      </w:r>
    </w:p>
    <w:p>
      <w:pPr>
        <w:pStyle w:val="Heading4"/>
      </w:pPr>
      <w:r>
        <w:t xml:space="preserve">States solve better – they can regulate, implement, and allocate funding for water protection effectively.</w:t>
      </w:r>
    </w:p>
    <w:p>
      <w:r>
        <w:rPr>
          <w:rStyle w:val="Style13ptBold"/>
        </w:rPr>
        <w:t xml:space="preserve">Berry &amp; Huckins ’19</w:t>
      </w:r>
      <w:r>
        <w:t xml:space="preserve"> (Scott Berry at the US Water Alliance who led the writing and outreach around this toolkit and Sarah Huckins, program associate at the US Water Alliance, “One Water for America State Policymakers’ Toolkit,” April 2019, The Council of State Governments http://uswateralliance.org/sites/uswateralliance.org/files/publications/State%20Policymakers%27%20Toolkit.pdf)</w:t>
      </w:r>
    </w:p>
    <w:p>
      <w:r>
        <w:rPr>
          <w:rStyle w:val="StyleUnderline"/>
        </w:rPr>
        <w:t xml:space="preserve">Why</w:t>
      </w:r>
      <w:r>
        <w:rPr>
          <w:sz w:val="16"/>
          <w:szCs w:val="16"/>
        </w:rPr>
        <w:t xml:space="preserve"> A </w:t>
      </w:r>
      <w:r>
        <w:rPr>
          <w:rStyle w:val="StyleUnderline"/>
        </w:rPr>
        <w:t xml:space="preserve">State-Focused </w:t>
      </w:r>
      <w:r>
        <w:rPr>
          <w:sz w:val="16"/>
          <w:szCs w:val="16"/>
        </w:rPr>
        <w:t xml:space="preserve">Toolkit? As the Seven Big Ideas continue to spark action around the country, it’s clear that </w:t>
      </w:r>
      <w:r>
        <w:rPr>
          <w:rStyle w:val="StyleUnderline"/>
          <w:highlight w:val="cyan"/>
        </w:rPr>
        <w:t xml:space="preserve">state governments are </w:t>
      </w:r>
      <w:r>
        <w:rPr>
          <w:rStyle w:val="Emphasis"/>
          <w:highlight w:val="cyan"/>
        </w:rPr>
        <w:t xml:space="preserve">essential</w:t>
      </w:r>
      <w:r>
        <w:rPr>
          <w:rStyle w:val="StyleUnderline"/>
        </w:rPr>
        <w:t xml:space="preserve"> to realizing the promise of One Water</w:t>
      </w:r>
      <w:r>
        <w:rPr>
          <w:sz w:val="16"/>
          <w:szCs w:val="16"/>
        </w:rPr>
        <w:t xml:space="preserve">. </w:t>
      </w:r>
      <w:r>
        <w:rPr>
          <w:rStyle w:val="StyleUnderline"/>
          <w:highlight w:val="cyan"/>
        </w:rPr>
        <w:t xml:space="preserve">State agencies have a </w:t>
      </w:r>
      <w:r>
        <w:rPr>
          <w:rStyle w:val="Emphasis"/>
          <w:highlight w:val="cyan"/>
        </w:rPr>
        <w:t xml:space="preserve">primary role</w:t>
      </w:r>
      <w:r>
        <w:rPr>
          <w:rStyle w:val="StyleUnderline"/>
          <w:highlight w:val="cyan"/>
        </w:rPr>
        <w:t xml:space="preserve"> in implementing </w:t>
      </w:r>
      <w:r>
        <w:rPr>
          <w:rStyle w:val="StyleUnderline"/>
        </w:rPr>
        <w:t xml:space="preserve">and enforcing clean water, surface water, and drinking </w:t>
      </w:r>
      <w:r>
        <w:rPr>
          <w:rStyle w:val="Emphasis"/>
          <w:highlight w:val="cyan"/>
        </w:rPr>
        <w:t xml:space="preserve">water laws.</w:t>
      </w:r>
      <w:r>
        <w:rPr>
          <w:rStyle w:val="StyleUnderline"/>
          <w:highlight w:val="cyan"/>
        </w:rPr>
        <w:t xml:space="preserve"> State policymakers are </w:t>
      </w:r>
      <w:r>
        <w:rPr>
          <w:rStyle w:val="Emphasis"/>
          <w:highlight w:val="cyan"/>
        </w:rPr>
        <w:t xml:space="preserve">uniquely positioned</w:t>
      </w:r>
      <w:r>
        <w:rPr>
          <w:rStyle w:val="StyleUnderline"/>
          <w:highlight w:val="cyan"/>
        </w:rPr>
        <w:t xml:space="preserve"> </w:t>
      </w:r>
      <w:r>
        <w:rPr>
          <w:rStyle w:val="StyleUnderline"/>
        </w:rPr>
        <w:t xml:space="preserve">to address water management issues</w:t>
      </w:r>
      <w:r>
        <w:rPr>
          <w:sz w:val="16"/>
          <w:szCs w:val="16"/>
        </w:rPr>
        <w:t xml:space="preserve"> through legislation </w:t>
      </w:r>
      <w:r>
        <w:rPr>
          <w:rStyle w:val="StyleUnderline"/>
          <w:highlight w:val="cyan"/>
        </w:rPr>
        <w:t xml:space="preserve">and</w:t>
      </w:r>
      <w:r>
        <w:rPr>
          <w:sz w:val="16"/>
          <w:szCs w:val="16"/>
        </w:rPr>
        <w:t xml:space="preserve"> executive office initiatives. These </w:t>
      </w:r>
      <w:r>
        <w:rPr>
          <w:rStyle w:val="StyleUnderline"/>
        </w:rPr>
        <w:t xml:space="preserve">policymakers </w:t>
      </w:r>
      <w:r>
        <w:rPr>
          <w:rStyle w:val="StyleUnderline"/>
          <w:highlight w:val="cyan"/>
        </w:rPr>
        <w:t xml:space="preserve">can work directly with</w:t>
      </w:r>
      <w:r>
        <w:rPr>
          <w:rStyle w:val="StyleUnderline"/>
        </w:rPr>
        <w:t xml:space="preserve"> their </w:t>
      </w:r>
      <w:r>
        <w:rPr>
          <w:rStyle w:val="StyleUnderline"/>
          <w:highlight w:val="cyan"/>
        </w:rPr>
        <w:t xml:space="preserve">municipalities</w:t>
      </w:r>
      <w:r>
        <w:rPr>
          <w:rStyle w:val="StyleUnderline"/>
        </w:rPr>
        <w:t xml:space="preserve"> to hear the concerns of ratepayers </w:t>
      </w:r>
      <w:r>
        <w:rPr>
          <w:rStyle w:val="StyleUnderline"/>
          <w:highlight w:val="cyan"/>
        </w:rPr>
        <w:t xml:space="preserve">and give local governments </w:t>
      </w:r>
      <w:r>
        <w:rPr>
          <w:rStyle w:val="StyleUnderline"/>
        </w:rPr>
        <w:t xml:space="preserve">the </w:t>
      </w:r>
      <w:r>
        <w:rPr>
          <w:rStyle w:val="StyleUnderline"/>
          <w:highlight w:val="cyan"/>
        </w:rPr>
        <w:t xml:space="preserve">flexibility</w:t>
      </w:r>
      <w:r>
        <w:rPr>
          <w:rStyle w:val="StyleUnderline"/>
        </w:rPr>
        <w:t xml:space="preserve"> and support they need. </w:t>
      </w:r>
      <w:r>
        <w:rPr>
          <w:rStyle w:val="StyleUnderline"/>
          <w:highlight w:val="cyan"/>
        </w:rPr>
        <w:t xml:space="preserve">Drawing </w:t>
      </w:r>
      <w:r>
        <w:rPr>
          <w:rStyle w:val="StyleUnderline"/>
        </w:rPr>
        <w:t xml:space="preserve">public </w:t>
      </w:r>
      <w:r>
        <w:rPr>
          <w:rStyle w:val="StyleUnderline"/>
          <w:highlight w:val="cyan"/>
        </w:rPr>
        <w:t xml:space="preserve">attention to water</w:t>
      </w:r>
      <w:r>
        <w:rPr>
          <w:rStyle w:val="StyleUnderline"/>
        </w:rPr>
        <w:t xml:space="preserve"> challenges and solutions </w:t>
      </w:r>
      <w:r>
        <w:rPr>
          <w:rStyle w:val="StyleUnderline"/>
          <w:highlight w:val="cyan"/>
        </w:rPr>
        <w:t xml:space="preserve">can be an effective way to develop the </w:t>
      </w:r>
      <w:r>
        <w:rPr>
          <w:rStyle w:val="StyleUnderline"/>
        </w:rPr>
        <w:t xml:space="preserve">public and political </w:t>
      </w:r>
      <w:r>
        <w:rPr>
          <w:rStyle w:val="StyleUnderline"/>
          <w:highlight w:val="cyan"/>
        </w:rPr>
        <w:t xml:space="preserve">will for innovative policy</w:t>
      </w:r>
      <w:r>
        <w:rPr>
          <w:sz w:val="16"/>
          <w:szCs w:val="16"/>
        </w:rPr>
        <w:t xml:space="preserve">. The </w:t>
      </w:r>
      <w:r>
        <w:rPr>
          <w:rStyle w:val="StyleUnderline"/>
          <w:highlight w:val="cyan"/>
        </w:rPr>
        <w:t xml:space="preserve">state agencies</w:t>
      </w:r>
      <w:r>
        <w:rPr>
          <w:sz w:val="16"/>
          <w:szCs w:val="16"/>
        </w:rPr>
        <w:t xml:space="preserve"> that are part of a governor’s administration </w:t>
      </w:r>
      <w:r>
        <w:rPr>
          <w:rStyle w:val="StyleUnderline"/>
        </w:rPr>
        <w:t xml:space="preserve">can also </w:t>
      </w:r>
      <w:r>
        <w:rPr>
          <w:rStyle w:val="StyleUnderline"/>
          <w:highlight w:val="cyan"/>
        </w:rPr>
        <w:t xml:space="preserve">set</w:t>
      </w:r>
      <w:r>
        <w:rPr>
          <w:rStyle w:val="Emphasis"/>
          <w:highlight w:val="cyan"/>
        </w:rPr>
        <w:t xml:space="preserve"> </w:t>
      </w:r>
      <w:r>
        <w:rPr>
          <w:rStyle w:val="StyleUnderline"/>
        </w:rPr>
        <w:t xml:space="preserve">reasonable</w:t>
      </w:r>
      <w:r>
        <w:rPr>
          <w:rStyle w:val="Emphasis"/>
        </w:rPr>
        <w:t xml:space="preserve"> </w:t>
      </w:r>
      <w:r>
        <w:rPr>
          <w:rStyle w:val="Emphasis"/>
          <w:highlight w:val="cyan"/>
        </w:rPr>
        <w:t xml:space="preserve">regulatory policy</w:t>
      </w:r>
      <w:r>
        <w:rPr>
          <w:sz w:val="16"/>
          <w:szCs w:val="16"/>
        </w:rPr>
        <w:t xml:space="preserve"> that ensures compliance but also preserves local government flexibility and innovation. </w:t>
      </w:r>
      <w:r>
        <w:rPr>
          <w:rStyle w:val="StyleUnderline"/>
          <w:highlight w:val="cyan"/>
        </w:rPr>
        <w:t xml:space="preserve">State legislatures can</w:t>
      </w:r>
      <w:r>
        <w:rPr>
          <w:rStyle w:val="StyleUnderline"/>
        </w:rPr>
        <w:t xml:space="preserve"> also </w:t>
      </w:r>
      <w:r>
        <w:rPr>
          <w:rStyle w:val="StyleUnderline"/>
          <w:highlight w:val="cyan"/>
        </w:rPr>
        <w:t xml:space="preserve">advance sustainable water management by </w:t>
      </w:r>
      <w:r>
        <w:rPr>
          <w:rStyle w:val="Emphasis"/>
          <w:highlight w:val="cyan"/>
        </w:rPr>
        <w:t xml:space="preserve">prioritizing funding</w:t>
      </w:r>
      <w:r>
        <w:rPr>
          <w:rStyle w:val="StyleUnderline"/>
        </w:rPr>
        <w:t xml:space="preserve"> and financing for water infrastructure and management programs</w:t>
      </w:r>
      <w:r>
        <w:rPr>
          <w:sz w:val="16"/>
          <w:szCs w:val="16"/>
        </w:rPr>
        <w:t xml:space="preserve">. In many states, governor’s offices also propose and advocate for their own legislative ideas. Governors and legislatures also have a role in cooperating with the federal government, which assists in funding and sets regulatory standards through agencies such as the Environmental Protection Agency (EPA). </w:t>
      </w:r>
      <w:r>
        <w:rPr>
          <w:rStyle w:val="Emphasis"/>
        </w:rPr>
        <w:t xml:space="preserve">Roles of State Government </w:t>
      </w:r>
      <w:r>
        <w:rPr>
          <w:sz w:val="16"/>
          <w:szCs w:val="16"/>
        </w:rPr>
        <w:t xml:space="preserve">• </w:t>
      </w:r>
      <w:r>
        <w:rPr>
          <w:rStyle w:val="StyleUnderline"/>
        </w:rPr>
        <w:t xml:space="preserve">Establish Targets and Goals</w:t>
      </w:r>
      <w:r>
        <w:rPr>
          <w:sz w:val="16"/>
          <w:szCs w:val="16"/>
        </w:rPr>
        <w:t xml:space="preserve">. Develop and broadcast an achievable One Water vision. For example, the water service extension goals set by Kentucky in Big Idea 1. • </w:t>
      </w:r>
      <w:r>
        <w:rPr>
          <w:rStyle w:val="StyleUnderline"/>
        </w:rPr>
        <w:t xml:space="preserve">Benchmark Performance</w:t>
      </w:r>
      <w:r>
        <w:rPr>
          <w:sz w:val="16"/>
          <w:szCs w:val="16"/>
        </w:rPr>
        <w:t xml:space="preserve">. Set strong but realistic performance metrics. For example, the Lead and Copper Rule changes established by Michigan in Big Idea 6. • </w:t>
      </w:r>
      <w:r>
        <w:rPr>
          <w:rStyle w:val="StyleUnderline"/>
        </w:rPr>
        <w:t xml:space="preserve">Create Enabling Conditions</w:t>
      </w:r>
      <w:r>
        <w:rPr>
          <w:sz w:val="16"/>
          <w:szCs w:val="16"/>
        </w:rPr>
        <w:t xml:space="preserve">. Create incentives for innovation and performance. For example, the targeted funding used by North Carolina in Big Idea 5, or permit flexibility implemented by Wisconsin in Big Idea 2. • </w:t>
      </w:r>
      <w:r>
        <w:rPr>
          <w:rStyle w:val="StyleUnderline"/>
        </w:rPr>
        <w:t xml:space="preserve">Remove Barriers and Bottlenecks</w:t>
      </w:r>
      <w:r>
        <w:rPr>
          <w:sz w:val="16"/>
          <w:szCs w:val="16"/>
        </w:rPr>
        <w:t xml:space="preserve">. Reevaluate state laws or regulations that may hamper innovative problemsolving or filling gaps in existing law. For example, the California State Water Board receiving additional authority in Big Idea 1. • </w:t>
      </w:r>
      <w:r>
        <w:rPr>
          <w:rStyle w:val="StyleUnderline"/>
        </w:rPr>
        <w:t xml:space="preserve">Prioritize Funding and Financing</w:t>
      </w:r>
      <w:r>
        <w:rPr>
          <w:sz w:val="16"/>
          <w:szCs w:val="16"/>
        </w:rPr>
        <w:t xml:space="preserve">. Establish and secure funding and financing for water infrastructure and water management programs. For example, the dedicated funding mechanisms created by Iowa and Missouri in Big Idea 3</w:t>
      </w:r>
      <w:r>
        <w:rPr>
          <w:rStyle w:val="StyleUnderline"/>
        </w:rPr>
        <w:t xml:space="preserve">. </w:t>
      </w:r>
      <w:r>
        <w:rPr>
          <w:rStyle w:val="StyleUnderline"/>
          <w:highlight w:val="cyan"/>
        </w:rPr>
        <w:t xml:space="preserve">To spotlight the important role that state governments</w:t>
      </w:r>
      <w:r>
        <w:rPr>
          <w:rStyle w:val="StyleUnderline"/>
        </w:rPr>
        <w:t xml:space="preserve"> can </w:t>
      </w:r>
      <w:r>
        <w:rPr>
          <w:rStyle w:val="StyleUnderline"/>
          <w:highlight w:val="cyan"/>
        </w:rPr>
        <w:t xml:space="preserve">play in</w:t>
      </w:r>
      <w:r>
        <w:rPr>
          <w:rStyle w:val="StyleUnderline"/>
        </w:rPr>
        <w:t xml:space="preserve"> advancing </w:t>
      </w:r>
      <w:r>
        <w:rPr>
          <w:rStyle w:val="StyleUnderline"/>
          <w:highlight w:val="cyan"/>
        </w:rPr>
        <w:t xml:space="preserve">sustainable water management</w:t>
      </w:r>
      <w:r>
        <w:rPr>
          <w:rStyle w:val="StyleUnderline"/>
        </w:rPr>
        <w:t xml:space="preserve">, we developed this toolkit as a resource for elected officials and staff in the executive and legislative branches of state government. For each of the Seven Big Ideas, </w:t>
      </w:r>
      <w:r>
        <w:rPr>
          <w:rStyle w:val="StyleUnderline"/>
          <w:highlight w:val="cyan"/>
        </w:rPr>
        <w:t xml:space="preserve">we briefly summarize</w:t>
      </w:r>
      <w:r>
        <w:rPr>
          <w:rStyle w:val="StyleUnderline"/>
        </w:rPr>
        <w:t xml:space="preserve"> the key issues and then provide </w:t>
      </w:r>
      <w:r>
        <w:rPr>
          <w:rStyle w:val="StyleUnderline"/>
          <w:highlight w:val="cyan"/>
        </w:rPr>
        <w:t xml:space="preserve">real world examples</w:t>
      </w:r>
      <w:r>
        <w:rPr>
          <w:rStyle w:val="StyleUnderline"/>
        </w:rPr>
        <w:t xml:space="preserve"> of how states are forging progress.</w:t>
      </w:r>
      <w:r>
        <w:rPr>
          <w:sz w:val="16"/>
          <w:szCs w:val="16"/>
        </w:rPr>
        <w:t xml:space="preserve"> </w:t>
      </w:r>
      <w:r>
        <w:rPr>
          <w:rStyle w:val="Emphasis"/>
          <w:highlight w:val="cyan"/>
        </w:rPr>
        <w:t xml:space="preserve">The promising examples</w:t>
      </w:r>
      <w:r>
        <w:rPr>
          <w:rStyle w:val="StyleUnderline"/>
        </w:rPr>
        <w:t xml:space="preserve"> are not meant to be prescriptive, but rather </w:t>
      </w:r>
      <w:r>
        <w:rPr>
          <w:rStyle w:val="StyleUnderline"/>
          <w:highlight w:val="cyan"/>
        </w:rPr>
        <w:t xml:space="preserve">serve as a starting place for </w:t>
      </w:r>
      <w:r>
        <w:rPr>
          <w:rStyle w:val="StyleUnderline"/>
        </w:rPr>
        <w:t xml:space="preserve">the generation of </w:t>
      </w:r>
      <w:r>
        <w:rPr>
          <w:rStyle w:val="StyleUnderline"/>
          <w:highlight w:val="cyan"/>
        </w:rPr>
        <w:t xml:space="preserve">potential solutions</w:t>
      </w:r>
      <w:r>
        <w:rPr>
          <w:rStyle w:val="StyleUnderline"/>
        </w:rPr>
        <w:t xml:space="preserve"> that are specific to individual state contexts</w:t>
      </w:r>
      <w:r>
        <w:rPr>
          <w:sz w:val="16"/>
          <w:szCs w:val="16"/>
        </w:rPr>
        <w:t xml:space="preserve">. For research purposes, these examples include endnote citations back to the legislative or regulatory language that was passed and/or implemented.</w:t>
      </w:r>
    </w:p>
    <w:p>
      <w:pPr>
        <w:pStyle w:val="Heading4"/>
      </w:pPr>
      <w:r>
        <w:t xml:space="preserve">The CP ensures effective agency regulation at the state level – results in additional protections beyond the Clean Water Act.</w:t>
      </w:r>
    </w:p>
    <w:p>
      <w:r>
        <w:rPr>
          <w:rStyle w:val="Style13ptBold"/>
        </w:rPr>
        <w:t xml:space="preserve">ELI, 2013</w:t>
      </w:r>
      <w:r>
        <w:t xml:space="preserve"> (Environmental Law Institute, Principal ELI staff contributing to the project were Bruce Myers, Catherine McLinn, and James M. McElfish, Jr. Additional research and editing assistance was provided by Carolyn Clarkin, Michael Liu, Jocelyn Wiesner, Masumi Kikkawa, and more. “State-Imposed Limitations on the Authority of Agencies to Regulate Waters Beyond the Scope of the Federal Clean Water Act,” May 2013, https://www.eli.org/sites/default/files/eli-pubs/d23-04.pdf</w:t>
      </w:r>
    </w:p>
    <w:p>
      <w:r>
        <w:rPr>
          <w:sz w:val="16"/>
          <w:szCs w:val="16"/>
        </w:rPr>
        <w:t xml:space="preserve">Twice in the last 12 years, the U.S. Supreme Court has issued decisions limiting the reach of the federal Clean Water Act: Solid Waste Agency of Northern Cook County v. U.S. Army Corps of Engineers, in 2001, and Rapanos v. United States, in 2006. The result has been confusion among judges, regulators, the regulated community, and environmentalists over which waters are “in” for purposes of the federal Clean Water Act, and which waters are “out”—with serious consequences for environmental protection, development planning, and enforcement. </w:t>
      </w:r>
      <w:r>
        <w:rPr>
          <w:rStyle w:val="StyleUnderline"/>
        </w:rPr>
        <w:t xml:space="preserve">Absent comprehensive federal regulation</w:t>
      </w:r>
      <w:r>
        <w:rPr>
          <w:sz w:val="16"/>
          <w:szCs w:val="16"/>
        </w:rPr>
        <w:t xml:space="preserve"> for particular surface waters, </w:t>
      </w:r>
      <w:r>
        <w:rPr>
          <w:rStyle w:val="StyleUnderline"/>
        </w:rPr>
        <w:t xml:space="preserve">it falls to the states to decide</w:t>
      </w:r>
      <w:r>
        <w:rPr>
          <w:sz w:val="16"/>
          <w:szCs w:val="16"/>
        </w:rPr>
        <w:t xml:space="preserve"> whether or not to protect these waters under state law. </w:t>
      </w:r>
      <w:r>
        <w:rPr>
          <w:rStyle w:val="Emphasis"/>
          <w:highlight w:val="cyan"/>
        </w:rPr>
        <w:t xml:space="preserve">State legislatures can</w:t>
      </w:r>
      <w:r>
        <w:rPr>
          <w:rStyle w:val="Emphasis"/>
        </w:rPr>
        <w:t xml:space="preserve">, without question, </w:t>
      </w:r>
      <w:r>
        <w:rPr>
          <w:rStyle w:val="Emphasis"/>
          <w:highlight w:val="cyan"/>
        </w:rPr>
        <w:t xml:space="preserve">enact</w:t>
      </w:r>
      <w:r>
        <w:rPr>
          <w:rStyle w:val="Emphasis"/>
        </w:rPr>
        <w:t xml:space="preserve"> or amend </w:t>
      </w:r>
      <w:r>
        <w:rPr>
          <w:rStyle w:val="Emphasis"/>
          <w:highlight w:val="cyan"/>
        </w:rPr>
        <w:t xml:space="preserve">laws to protect state water resources</w:t>
      </w:r>
      <w:r>
        <w:rPr>
          <w:rStyle w:val="Emphasis"/>
        </w:rPr>
        <w:t xml:space="preserve"> that have lost federal protection,</w:t>
      </w:r>
      <w:r>
        <w:rPr>
          <w:sz w:val="16"/>
          <w:szCs w:val="16"/>
        </w:rPr>
        <w:t xml:space="preserve"> </w:t>
      </w:r>
      <w:r>
        <w:rPr>
          <w:rStyle w:val="StyleUnderline"/>
        </w:rPr>
        <w:t xml:space="preserve">or whose coverage by federal law is now clouded by legal uncertainty.</w:t>
      </w:r>
      <w:r>
        <w:rPr>
          <w:sz w:val="16"/>
          <w:szCs w:val="16"/>
        </w:rPr>
        <w:t xml:space="preserve"> A few states have done so, with respect to some waters. But </w:t>
      </w:r>
      <w:r>
        <w:rPr>
          <w:rStyle w:val="StyleUnderline"/>
          <w:highlight w:val="cyan"/>
        </w:rPr>
        <w:t xml:space="preserve">state </w:t>
      </w:r>
      <w:r>
        <w:rPr>
          <w:rStyle w:val="StyleUnderline"/>
        </w:rPr>
        <w:t xml:space="preserve">environmental </w:t>
      </w:r>
      <w:r>
        <w:rPr>
          <w:rStyle w:val="StyleUnderline"/>
          <w:highlight w:val="cyan"/>
        </w:rPr>
        <w:t xml:space="preserve">agencies</w:t>
      </w:r>
      <w:r>
        <w:rPr>
          <w:sz w:val="16"/>
          <w:szCs w:val="16"/>
        </w:rPr>
        <w:t xml:space="preserve">, and some local governments, </w:t>
      </w:r>
      <w:r>
        <w:rPr>
          <w:rStyle w:val="StyleUnderline"/>
          <w:highlight w:val="cyan"/>
        </w:rPr>
        <w:t xml:space="preserve">may</w:t>
      </w:r>
      <w:r>
        <w:rPr>
          <w:rStyle w:val="StyleUnderline"/>
        </w:rPr>
        <w:t xml:space="preserve"> also seek to </w:t>
      </w:r>
      <w:r>
        <w:rPr>
          <w:rStyle w:val="StyleUnderline"/>
          <w:highlight w:val="cyan"/>
        </w:rPr>
        <w:t xml:space="preserve">use</w:t>
      </w:r>
      <w:r>
        <w:rPr>
          <w:rStyle w:val="StyleUnderline"/>
        </w:rPr>
        <w:t xml:space="preserve"> their existing </w:t>
      </w:r>
      <w:r>
        <w:rPr>
          <w:rStyle w:val="StyleUnderline"/>
          <w:highlight w:val="cyan"/>
        </w:rPr>
        <w:t xml:space="preserve">legal authorities to address water resources that are vulnerable and merit </w:t>
      </w:r>
      <w:r>
        <w:rPr>
          <w:rStyle w:val="Emphasis"/>
          <w:highlight w:val="cyan"/>
        </w:rPr>
        <w:t xml:space="preserve">additional protection</w:t>
      </w:r>
      <w:r>
        <w:rPr>
          <w:rStyle w:val="StyleUnderline"/>
        </w:rPr>
        <w:t xml:space="preserve"> in the face of a newly limited Clean Water Act. </w:t>
      </w:r>
      <w:r>
        <w:rPr>
          <w:sz w:val="16"/>
          <w:szCs w:val="16"/>
        </w:rPr>
        <w:t xml:space="preserve">This 50-state study examines limitations imposed by state law that could constrain the ability of state agencies (and, to a lesser extent, localities) to do this. Findings</w:t>
      </w:r>
      <w:r>
        <w:rPr>
          <w:highlight w:val="cyan"/>
        </w:rPr>
        <w:t xml:space="preserve">. </w:t>
      </w:r>
      <w:r>
        <w:rPr>
          <w:rStyle w:val="StyleUnderline"/>
          <w:highlight w:val="cyan"/>
        </w:rPr>
        <w:t xml:space="preserve">Over two-thirds of</w:t>
      </w:r>
      <w:r>
        <w:rPr>
          <w:sz w:val="16"/>
          <w:szCs w:val="16"/>
        </w:rPr>
        <w:t xml:space="preserve"> U.S. </w:t>
      </w:r>
      <w:r>
        <w:rPr>
          <w:rStyle w:val="StyleUnderline"/>
          <w:highlight w:val="cyan"/>
        </w:rPr>
        <w:t xml:space="preserve">states</w:t>
      </w:r>
      <w:r>
        <w:rPr>
          <w:sz w:val="16"/>
          <w:szCs w:val="16"/>
        </w:rPr>
        <w:t xml:space="preserve">, 36 in all, </w:t>
      </w:r>
      <w:r>
        <w:rPr>
          <w:rStyle w:val="StyleUnderline"/>
        </w:rPr>
        <w:t xml:space="preserve">have laws that</w:t>
      </w:r>
      <w:r>
        <w:rPr>
          <w:sz w:val="16"/>
          <w:szCs w:val="16"/>
        </w:rPr>
        <w:t xml:space="preserve"> could </w:t>
      </w:r>
      <w:r>
        <w:rPr>
          <w:rStyle w:val="StyleUnderline"/>
          <w:highlight w:val="cyan"/>
        </w:rPr>
        <w:t xml:space="preserve">restrict</w:t>
      </w:r>
      <w:r>
        <w:rPr>
          <w:rStyle w:val="StyleUnderline"/>
        </w:rPr>
        <w:t xml:space="preserve"> the </w:t>
      </w:r>
      <w:r>
        <w:rPr>
          <w:rStyle w:val="StyleUnderline"/>
          <w:highlight w:val="cyan"/>
        </w:rPr>
        <w:t xml:space="preserve">authority</w:t>
      </w:r>
      <w:r>
        <w:rPr>
          <w:rStyle w:val="StyleUnderline"/>
        </w:rPr>
        <w:t xml:space="preserve"> of</w:t>
      </w:r>
      <w:r>
        <w:rPr>
          <w:sz w:val="16"/>
          <w:szCs w:val="16"/>
        </w:rPr>
        <w:t xml:space="preserve"> state </w:t>
      </w:r>
      <w:r>
        <w:rPr>
          <w:rStyle w:val="StyleUnderline"/>
        </w:rPr>
        <w:t xml:space="preserve">agencies</w:t>
      </w:r>
      <w:r>
        <w:rPr>
          <w:sz w:val="16"/>
          <w:szCs w:val="16"/>
        </w:rPr>
        <w:t xml:space="preserve"> or localities </w:t>
      </w:r>
      <w:r>
        <w:rPr>
          <w:rStyle w:val="StyleUnderline"/>
          <w:highlight w:val="cyan"/>
        </w:rPr>
        <w:t xml:space="preserve">to regulate waters</w:t>
      </w:r>
      <w:r>
        <w:rPr>
          <w:sz w:val="16"/>
          <w:szCs w:val="16"/>
        </w:rPr>
        <w:t xml:space="preserve"> left unprotected by the federal Clean Water Act. </w:t>
      </w:r>
      <w:r>
        <w:rPr>
          <w:rStyle w:val="StyleUnderline"/>
          <w:highlight w:val="cyan"/>
        </w:rPr>
        <w:t xml:space="preserve">These restrictions take the form of</w:t>
      </w:r>
      <w:r>
        <w:rPr>
          <w:rStyle w:val="StyleUnderline"/>
        </w:rPr>
        <w:t xml:space="preserve"> absolute or qualified prohibitions that require state law to be </w:t>
      </w:r>
      <w:r>
        <w:rPr>
          <w:rStyle w:val="StyleUnderline"/>
          <w:highlight w:val="cyan"/>
        </w:rPr>
        <w:t xml:space="preserve">“no more stringent than” federal law; property rights limitations; or a combination of the two</w:t>
      </w:r>
      <w:r>
        <w:rPr>
          <w:sz w:val="16"/>
          <w:szCs w:val="16"/>
        </w:rPr>
        <w:t xml:space="preserve">. Such provisions constrain, and in some instances eliminate, the authority of state or local regulators to protect aquatic resources whose Clean Water Act coverage has disappeared or been rendered uncertain as a result of the SWANCC and Rapanos decisions. In 14 states and the District of Columbia, there are no such state-law impediments. “No more stringent than” laws. Twenty-eight states have laws that could operate to either prohibit state agencies from regulating waters more stringently than the federal Clean Water Act, or limit their authority to do so. </w:t>
      </w:r>
      <w:r>
        <w:rPr>
          <w:rStyle w:val="StyleUnderline"/>
          <w:highlight w:val="cyan"/>
        </w:rPr>
        <w:t xml:space="preserve">The Clean Water Act establishes</w:t>
      </w:r>
      <w:r>
        <w:rPr>
          <w:rStyle w:val="StyleUnderline"/>
        </w:rPr>
        <w:t xml:space="preserve"> national minimum standards— essentially, </w:t>
      </w:r>
      <w:r>
        <w:rPr>
          <w:rStyle w:val="StyleUnderline"/>
          <w:highlight w:val="cyan"/>
        </w:rPr>
        <w:t xml:space="preserve">a stringency “floor</w:t>
      </w:r>
      <w:r>
        <w:rPr>
          <w:rStyle w:val="StyleUnderline"/>
        </w:rPr>
        <w:t xml:space="preserve">”—beneath which states are not allowed to fall in their protection of water quality.</w:t>
      </w:r>
      <w:r>
        <w:rPr>
          <w:sz w:val="16"/>
          <w:szCs w:val="16"/>
        </w:rPr>
        <w:t xml:space="preserve"> </w:t>
      </w:r>
      <w:r>
        <w:rPr>
          <w:rStyle w:val="Emphasis"/>
          <w:highlight w:val="cyan"/>
        </w:rPr>
        <w:t xml:space="preserve">States may</w:t>
      </w:r>
      <w:r>
        <w:rPr>
          <w:highlight w:val="cyan"/>
        </w:rPr>
        <w:t xml:space="preserve">,</w:t>
      </w:r>
      <w:r>
        <w:rPr>
          <w:sz w:val="16"/>
          <w:szCs w:val="16"/>
        </w:rPr>
        <w:t xml:space="preserve"> however, </w:t>
      </w:r>
      <w:r>
        <w:rPr>
          <w:rStyle w:val="Emphasis"/>
          <w:highlight w:val="cyan"/>
        </w:rPr>
        <w:t xml:space="preserve">protect their waters more rigorously.</w:t>
      </w:r>
      <w:r>
        <w:rPr>
          <w:sz w:val="16"/>
          <w:szCs w:val="16"/>
        </w:rPr>
        <w:t xml:space="preserve"> A “no more stringent than” prohibition, found in 13 states, ensures that the federal program floor also will be a state “ceiling” with respect to whatever subject matter the stringency provision covers. A “qualified” stringency provision, found in 23 states, makes it more difficult for states to regulate more stringently than the federal programs do, but stops short of creating a bar to state agency action. Private property rights laws. </w:t>
      </w:r>
      <w:r>
        <w:rPr>
          <w:rStyle w:val="StyleUnderline"/>
        </w:rPr>
        <w:t xml:space="preserve">Twenty-two states have adopted legal protections, often contained in state private property rights acts, for the benefit of landowners whose property values may be affected by government regulation</w:t>
      </w:r>
      <w:r>
        <w:rPr>
          <w:sz w:val="16"/>
          <w:szCs w:val="16"/>
        </w:rPr>
        <w:t xml:space="preserve">. These statutes rarely reference water quality or water pollution directly, but they are likely implicated by any new state regulation that affects the uses to which property may be put. </w:t>
      </w:r>
      <w:r>
        <w:rPr>
          <w:rStyle w:val="StyleUnderline"/>
        </w:rPr>
        <w:t xml:space="preserve">State laws containing what this study calls “compensation/prohibition provisions” can bar or impede new environmental regulation</w:t>
      </w:r>
      <w:r>
        <w:rPr>
          <w:sz w:val="16"/>
          <w:szCs w:val="16"/>
        </w:rPr>
        <w:t xml:space="preserve">, as agencies generally cannot afford to pay compensation to have their regulations enforced. In other instances, state law requires agencies to perform property impact assessments or take other steps 2 that serve as a disincentive for an agency to regulate in any manner that arguably affects property rights. Finally, a handful of states have established a property rights ombudsman/advocate, or set up a private property dispute resolution program, which facilitate property owners’ ability to challenge state regulations. Ability of states to regulate non-CWA waters given these limitations. Half of the states—25 in all— have in place state regulatory protections that cover at least some waters that are either no longer subject to federal coverage following SWANCC and Rapanos, or whose federal coverage has been rendered uncertain. The list of states that attempt to afford these additional state protections intersects with the list of states identified by this study as having relevant limitations, as follows: • Eight states—including all EPA Region 1 states except Maine, as well as New York, Illinois, and California—have no relevant stringency or property-based limitations provisions and regulate waters more broadly than is required by the Clean Water Act. • Seven jurisdictions (including the District of Columbia) have no relevant limitations provisions, but also do not regulate waters more broadly than is required by the Clean Water Act. • Seventeen states have relevant limitations provisions but also regulate waters more broadly than is required by the Clean Water Act. • Nineteen states have relevant limitations provisions and do not regulate waters more broadly than is required by the Clean Water Act. This category includes all EPA Region 8 states, and all Region 6 states but New Mexico. These states thus have an identifiable “gap” in the coverage of their waters following SWANCC and Rapanos, but are constrained (to varying degrees) in regulating to fill that gap under existing state laws. </w:t>
      </w:r>
      <w:r>
        <w:rPr>
          <w:rStyle w:val="Emphasis"/>
        </w:rPr>
        <w:t xml:space="preserve">Conclusion</w:t>
      </w:r>
      <w:r>
        <w:rPr>
          <w:sz w:val="16"/>
          <w:szCs w:val="16"/>
        </w:rPr>
        <w:t xml:space="preserve">. </w:t>
      </w:r>
      <w:r>
        <w:rPr>
          <w:rStyle w:val="StyleUnderline"/>
        </w:rPr>
        <w:t xml:space="preserve">State laws imposing limitations on the authority of state agencies</w:t>
      </w:r>
      <w:r>
        <w:rPr>
          <w:sz w:val="16"/>
          <w:szCs w:val="16"/>
        </w:rPr>
        <w:t xml:space="preserve"> (and to some extent, municipalities) </w:t>
      </w:r>
      <w:r>
        <w:rPr>
          <w:rStyle w:val="StyleUnderline"/>
        </w:rPr>
        <w:t xml:space="preserve">to protect aquatic resources</w:t>
      </w:r>
      <w:r>
        <w:rPr>
          <w:sz w:val="16"/>
          <w:szCs w:val="16"/>
        </w:rPr>
        <w:t xml:space="preserve"> are commonplace. Although these laws vary significantly in their scope and application, </w:t>
      </w:r>
      <w:r>
        <w:rPr>
          <w:rStyle w:val="StyleUnderline"/>
        </w:rPr>
        <w:t xml:space="preserve">they can constrain</w:t>
      </w:r>
      <w:r>
        <w:rPr>
          <w:sz w:val="16"/>
          <w:szCs w:val="16"/>
        </w:rPr>
        <w:t xml:space="preserve">, and in some cases eliminate, </w:t>
      </w:r>
      <w:r>
        <w:rPr>
          <w:rStyle w:val="StyleUnderline"/>
        </w:rPr>
        <w:t xml:space="preserve">the ability of state regulators to protect waters</w:t>
      </w:r>
      <w:r>
        <w:rPr>
          <w:sz w:val="16"/>
          <w:szCs w:val="16"/>
        </w:rPr>
        <w:t xml:space="preserve"> no longer covered by the federal Clean Water Act, or whose federal protection has become uncertain</w:t>
      </w:r>
      <w:r>
        <w:rPr>
          <w:rStyle w:val="StyleUnderline"/>
        </w:rPr>
        <w:t xml:space="preserve">. </w:t>
      </w:r>
      <w:r>
        <w:rPr>
          <w:rStyle w:val="StyleUnderline"/>
          <w:highlight w:val="cyan"/>
        </w:rPr>
        <w:t xml:space="preserve">Since these laws are statutory, they do not affect the ability of state legislatures to alter them or to enact additional water protections</w:t>
      </w:r>
      <w:r>
        <w:rPr>
          <w:highlight w:val="cyan"/>
        </w:rPr>
        <w:t xml:space="preserve">.</w:t>
      </w:r>
      <w:r>
        <w:rPr>
          <w:sz w:val="16"/>
          <w:szCs w:val="16"/>
        </w:rPr>
        <w:t xml:space="preserve"> However, the prevalence of these state constraints across the country, together with the reality that only half of all states already protect waters more broadly than is required by federal law, suggest that states are not currently “filling the gap” left by U.S. Supreme Court rulings limiting the Clean Water Act, and face significant obstacles to doing so.</w:t>
      </w:r>
    </w:p>
    <w:p>
      <w:pPr>
        <w:pStyle w:val="Heading2"/>
      </w:pPr>
      <w:r>
        <w:t xml:space="preserve">Climate Tradeoff DA</w:t>
      </w:r>
    </w:p>
    <w:p>
      <w:pPr>
        <w:pStyle w:val="Heading4"/>
      </w:pPr>
      <w:r>
        <w:t xml:space="preserve">Biden’s focusing on climate change - water policy is already in the budget</w:t>
      </w:r>
    </w:p>
    <w:p>
      <w:r>
        <w:rPr>
          <w:rStyle w:val="Style13ptBold"/>
        </w:rPr>
        <w:t xml:space="preserve">Newburger</w:t>
      </w:r>
      <w:r>
        <w:t xml:space="preserve"> 21, Biden’s budget proposal calls for more than $36 billion to fight climate change, 1-27-2021, CNBC, https://www.cnbc.com/2021/05/28/bidens-budget-proposal-calls-for-36-billion-to-fight-climate-change.html/ck</w:t>
      </w:r>
    </w:p>
    <w:p>
      <w:r>
        <w:rPr>
          <w:sz w:val="16"/>
          <w:szCs w:val="16"/>
        </w:rPr>
        <w:t xml:space="preserve">President </w:t>
      </w:r>
      <w:r>
        <w:rPr>
          <w:rStyle w:val="StyleUnderline"/>
        </w:rPr>
        <w:t xml:space="preserve">Joe </w:t>
      </w:r>
      <w:r>
        <w:rPr>
          <w:rStyle w:val="StyleUnderline"/>
          <w:highlight w:val="green"/>
        </w:rPr>
        <w:t xml:space="preserve">Biden</w:t>
      </w:r>
      <w:r>
        <w:rPr>
          <w:rStyle w:val="StyleUnderline"/>
        </w:rPr>
        <w:t xml:space="preserve">’s 2022 </w:t>
      </w:r>
      <w:r>
        <w:rPr>
          <w:rStyle w:val="StyleUnderline"/>
          <w:highlight w:val="green"/>
        </w:rPr>
        <w:t xml:space="preserve">budget proposal calls for more than $36 billion to fight global climate change</w:t>
      </w:r>
      <w:r>
        <w:rPr>
          <w:sz w:val="16"/>
          <w:szCs w:val="16"/>
        </w:rPr>
        <w:t xml:space="preserve">, an </w:t>
      </w:r>
      <w:r>
        <w:rPr>
          <w:rStyle w:val="StyleUnderline"/>
          <w:highlight w:val="green"/>
        </w:rPr>
        <w:t xml:space="preserve">increase of more than $14 billion</w:t>
      </w:r>
      <w:r>
        <w:rPr>
          <w:rStyle w:val="StyleUnderline"/>
        </w:rPr>
        <w:t xml:space="preserve"> compared with 2021</w:t>
      </w:r>
      <w:r>
        <w:rPr>
          <w:sz w:val="16"/>
          <w:szCs w:val="16"/>
        </w:rPr>
        <w:t xml:space="preserve">, </w:t>
      </w:r>
      <w:r>
        <w:rPr>
          <w:rStyle w:val="StyleUnderline"/>
        </w:rPr>
        <w:t xml:space="preserve">with </w:t>
      </w:r>
      <w:r>
        <w:rPr>
          <w:rStyle w:val="StyleUnderline"/>
          <w:highlight w:val="green"/>
        </w:rPr>
        <w:t xml:space="preserve">major</w:t>
      </w:r>
      <w:r>
        <w:rPr>
          <w:rStyle w:val="StyleUnderline"/>
        </w:rPr>
        <w:t xml:space="preserve"> new </w:t>
      </w:r>
      <w:r>
        <w:rPr>
          <w:rStyle w:val="StyleUnderline"/>
          <w:highlight w:val="green"/>
        </w:rPr>
        <w:t xml:space="preserve">investments focused on clean energy</w:t>
      </w:r>
      <w:r>
        <w:rPr>
          <w:rStyle w:val="StyleUnderline"/>
        </w:rPr>
        <w:t xml:space="preserve">, climate and sustainability research </w:t>
      </w:r>
      <w:r>
        <w:rPr>
          <w:rStyle w:val="StyleUnderline"/>
          <w:highlight w:val="green"/>
        </w:rPr>
        <w:t xml:space="preserve">and improved water infrastructure</w:t>
      </w:r>
      <w:r>
        <w:rPr>
          <w:sz w:val="16"/>
          <w:szCs w:val="16"/>
        </w:rPr>
        <w:t xml:space="preserve">. The </w:t>
      </w:r>
      <w:r>
        <w:rPr>
          <w:rStyle w:val="StyleUnderline"/>
        </w:rPr>
        <w:t xml:space="preserve">widespread funding for climate change issues would </w:t>
      </w:r>
      <w:r>
        <w:rPr>
          <w:rStyle w:val="StyleUnderline"/>
          <w:highlight w:val="green"/>
        </w:rPr>
        <w:t xml:space="preserve">move forward the president’s vow to slash U.S. carbon emissions in half by 2030</w:t>
      </w:r>
      <w:r>
        <w:rPr>
          <w:sz w:val="16"/>
          <w:szCs w:val="16"/>
        </w:rPr>
        <w:t xml:space="preserve"> and </w:t>
      </w:r>
      <w:r>
        <w:rPr>
          <w:rStyle w:val="StyleUnderline"/>
        </w:rPr>
        <w:t xml:space="preserve">put the economy on a path to carbon neutrality</w:t>
      </w:r>
      <w:r>
        <w:rPr>
          <w:sz w:val="16"/>
          <w:szCs w:val="16"/>
        </w:rPr>
        <w:t xml:space="preserve"> by mid-century. Biden’s main spending areas on climate include: $10 billion for clean energy innovation $7 billion for NOAA research $6.5 billion for rural clean energy storage, transmission projects $4 billion for advancing climate research $3.6 billion for water infrastructure $1.7 billion for retrofitting homes and federal buildings $1.4 billion for environmental justice initiatives </w:t>
      </w:r>
      <w:r>
        <w:rPr>
          <w:rStyle w:val="StyleUnderline"/>
        </w:rPr>
        <w:t xml:space="preserve">Climate change is “</w:t>
      </w:r>
      <w:r>
        <w:rPr>
          <w:rStyle w:val="StyleUnderline"/>
          <w:highlight w:val="green"/>
        </w:rPr>
        <w:t xml:space="preserve">an opportunity to create new industries</w:t>
      </w:r>
      <w:r>
        <w:rPr>
          <w:rStyle w:val="StyleUnderline"/>
        </w:rPr>
        <w:t xml:space="preserve"> and good-paying jobs with a free and fair </w:t>
      </w:r>
      <w:r>
        <w:rPr>
          <w:rStyle w:val="StyleUnderline"/>
          <w:highlight w:val="green"/>
        </w:rPr>
        <w:t xml:space="preserve">choice to join a union</w:t>
      </w:r>
      <w:r>
        <w:rPr>
          <w:rStyle w:val="StyleUnderline"/>
        </w:rPr>
        <w:t xml:space="preserve">, revitalize America’s energy communities and the economy, and </w:t>
      </w:r>
      <w:r>
        <w:rPr>
          <w:rStyle w:val="StyleUnderline"/>
          <w:highlight w:val="green"/>
        </w:rPr>
        <w:t xml:space="preserve">position America as the world’s clean energy superpower</w:t>
      </w:r>
      <w:r>
        <w:rPr>
          <w:sz w:val="16"/>
          <w:szCs w:val="16"/>
        </w:rPr>
        <w:t xml:space="preserve">,” the White House proposal released on Friday said. </w:t>
      </w:r>
      <w:r>
        <w:rPr>
          <w:rStyle w:val="StyleUnderline"/>
        </w:rPr>
        <w:t xml:space="preserve">In an effort to decarbonize the electricity sector by 2035, the budget calls for $2 billion to employ welders, electricians and other laborers on clean energy projects across the U.S.</w:t>
      </w:r>
      <w:r>
        <w:rPr>
          <w:sz w:val="16"/>
          <w:szCs w:val="16"/>
        </w:rPr>
        <w:t xml:space="preserve"> It also includes $580 million to remediate abandoned oil and gas wells and reclaim old mines. The budget calls for </w:t>
      </w:r>
      <w:r>
        <w:rPr>
          <w:rStyle w:val="StyleUnderline"/>
        </w:rPr>
        <w:t xml:space="preserve">$815 million to incorporate climate change risk in disaster planning and includes more than $</w:t>
      </w:r>
      <w:r>
        <w:rPr>
          <w:rStyle w:val="StyleUnderline"/>
          <w:highlight w:val="green"/>
        </w:rPr>
        <w:t xml:space="preserve">1.2 billion</w:t>
      </w:r>
      <w:r>
        <w:rPr>
          <w:rStyle w:val="StyleUnderline"/>
        </w:rPr>
        <w:t xml:space="preserve"> above 2021 levels </w:t>
      </w:r>
      <w:r>
        <w:rPr>
          <w:rStyle w:val="StyleUnderline"/>
          <w:highlight w:val="green"/>
        </w:rPr>
        <w:t xml:space="preserve">to boost U.S. resilience to more frequent and intense climate disasters like</w:t>
      </w:r>
      <w:r>
        <w:rPr>
          <w:rStyle w:val="StyleUnderline"/>
        </w:rPr>
        <w:t xml:space="preserve"> wildfires, floods and </w:t>
      </w:r>
      <w:r>
        <w:rPr>
          <w:rStyle w:val="StyleUnderline"/>
          <w:highlight w:val="green"/>
        </w:rPr>
        <w:t xml:space="preserve">drought</w:t>
      </w:r>
      <w:r>
        <w:rPr>
          <w:highlight w:val="green"/>
        </w:rPr>
        <w:t xml:space="preserve">.</w:t>
      </w:r>
    </w:p>
    <w:p>
      <w:pPr>
        <w:pStyle w:val="Heading4"/>
      </w:pPr>
      <w:r>
        <w:t xml:space="preserve">Water policies trade off with climate policies</w:t>
      </w:r>
    </w:p>
    <w:p>
      <w:r>
        <w:rPr>
          <w:rStyle w:val="Style13ptBold"/>
        </w:rPr>
        <w:t xml:space="preserve">Parkinson et al 2019</w:t>
      </w:r>
      <w:r>
        <w:t xml:space="preserve"> Environ. Res. Lett. 14 014009/ck</w:t>
      </w:r>
    </w:p>
    <w:p>
      <w:r>
        <w:rPr>
          <w:sz w:val="16"/>
          <w:szCs w:val="16"/>
        </w:rPr>
        <w:t xml:space="preserve">3.2. Impact on system costs The undiscounted total costs representing the sum of the investment (capital) and operational expenditures for water, energy and land systems (figure 3(f)) indicate in order to achieve the clean water targets by 2030 while placing infrastructure on a path consistent with 1.5 °C that annual spending needs to be increased 92%–125% relative to the baseline scenario. Comparing results across scenarios further indicates that to 2030, similar effort is needed to move towards pathways consistent with SDG6 as with 1.5 °C, but that in the long-term, spending to achieve 1.5 °C dominate</w:t>
      </w:r>
      <w:r>
        <w:rPr>
          <w:rStyle w:val="StyleUnderline"/>
        </w:rPr>
        <w:t xml:space="preserve">. </w:t>
      </w:r>
      <w:r>
        <w:rPr>
          <w:rStyle w:val="StyleUnderline"/>
          <w:highlight w:val="green"/>
        </w:rPr>
        <w:t xml:space="preserve">Regional cost</w:t>
      </w:r>
      <w:r>
        <w:rPr>
          <w:rStyle w:val="StyleUnderline"/>
        </w:rPr>
        <w:t xml:space="preserve"> results isolated </w:t>
      </w:r>
      <w:r>
        <w:rPr>
          <w:rStyle w:val="StyleUnderline"/>
          <w:highlight w:val="green"/>
        </w:rPr>
        <w:t xml:space="preserve">for water and energy</w:t>
      </w:r>
      <w:r>
        <w:rPr>
          <w:rStyle w:val="StyleUnderline"/>
        </w:rPr>
        <w:t xml:space="preserve"> systems and </w:t>
      </w:r>
      <w:r>
        <w:rPr>
          <w:rStyle w:val="StyleUnderline"/>
          <w:highlight w:val="green"/>
        </w:rPr>
        <w:t xml:space="preserve">interpret</w:t>
      </w:r>
      <w:r>
        <w:rPr>
          <w:rStyle w:val="StyleUnderline"/>
        </w:rPr>
        <w:t xml:space="preserve">ed </w:t>
      </w:r>
      <w:r>
        <w:rPr>
          <w:rStyle w:val="StyleUnderline"/>
          <w:highlight w:val="green"/>
        </w:rPr>
        <w:t xml:space="preserve">on a per capita basis</w:t>
      </w:r>
      <w:r>
        <w:rPr>
          <w:rStyle w:val="StyleUnderline"/>
        </w:rPr>
        <w:t xml:space="preserve"> </w:t>
      </w:r>
      <w:r>
        <w:rPr>
          <w:sz w:val="16"/>
          <w:szCs w:val="16"/>
        </w:rPr>
        <w:t xml:space="preserve">(table 1) are 100–300 USD per year. Per capita costs are largest in high-income economies because these regions consume most on a per capita basis. </w:t>
      </w:r>
      <w:r>
        <w:rPr>
          <w:rStyle w:val="StyleUnderline"/>
        </w:rPr>
        <w:t xml:space="preserve">Regional results further demonstrate that the costs associated with achieving both climate and clean water targets range between 0.8% and 2.5% of regional GDP, with higher fractions occurring in developing regions</w:t>
      </w:r>
      <w:r>
        <w:rPr>
          <w:sz w:val="16"/>
          <w:szCs w:val="16"/>
        </w:rPr>
        <w:t xml:space="preserve">. The sustainable consumption narrative embedded in the SDG6- Efficiency scenario results in the long-term costs decreasing relative to the other scenarios tested (figure 3(f)), and this is due to avoided spending on supply infrastructure. It is important to emphasize that broader impacts of the SDG6-Efficiency narrative 5 on e.g. production </w:t>
      </w:r>
      <w:r>
        <w:rPr>
          <w:rStyle w:val="StyleUnderline"/>
        </w:rPr>
        <w:t xml:space="preserve">costs in the agriculture and manufacturing sectors are not accounted for in the presented cost estimates, which would impact the anticipated benefits of water conservation</w:t>
      </w:r>
      <w:r>
        <w:rPr>
          <w:rStyle w:val="StyleUnderline"/>
          <w:highlight w:val="green"/>
        </w:rPr>
        <w:t xml:space="preserve">. Analysis</w:t>
      </w:r>
      <w:r>
        <w:rPr>
          <w:rStyle w:val="StyleUnderline"/>
        </w:rPr>
        <w:t xml:space="preserve"> of the investment portfolios</w:t>
      </w:r>
      <w:r>
        <w:rPr>
          <w:sz w:val="16"/>
          <w:szCs w:val="16"/>
        </w:rPr>
        <w:t xml:space="preserve"> (expenditures on new infrastructure capacity) </w:t>
      </w:r>
      <w:r>
        <w:rPr>
          <w:rStyle w:val="StyleUnderline"/>
          <w:highlight w:val="green"/>
        </w:rPr>
        <w:t xml:space="preserve">by 2030 indicates re-allocation of financing away from fossil fuels and</w:t>
      </w:r>
      <w:r>
        <w:rPr>
          <w:rStyle w:val="StyleUnderline"/>
        </w:rPr>
        <w:t xml:space="preserve"> conventional </w:t>
      </w:r>
      <w:r>
        <w:rPr>
          <w:rStyle w:val="StyleUnderline"/>
          <w:highlight w:val="green"/>
        </w:rPr>
        <w:t xml:space="preserve">freshwater supply systems combined with a massive ramp-up in investment in efficiency and clean supply projects across water and energy systems</w:t>
      </w:r>
      <w:r>
        <w:rPr>
          <w:rStyle w:val="StyleUnderline"/>
        </w:rPr>
        <w:t xml:space="preserve"> supports the multi-sectoral policy objectives</w:t>
      </w:r>
      <w:r>
        <w:rPr>
          <w:sz w:val="16"/>
          <w:szCs w:val="16"/>
        </w:rPr>
        <w:t xml:space="preserve"> (figure 4). In SDG6-1.5C scenarios, by 2030 on average more than 170 billion USD per year is disinvested in fossil fuel activities relative to the baseline scenario and used to partially fund the 910 billion USD per year in increased spending on efficiency and low-carbon resources. </w:t>
      </w:r>
      <w:r>
        <w:rPr>
          <w:rStyle w:val="StyleUnderline"/>
        </w:rPr>
        <w:t xml:space="preserve">Compared to the 1.5 °C scenario without SDG6 targets, there is increased use of wind and solar to reduce the capacity of thermal power generation and associated water requirements</w:t>
      </w:r>
      <w:r>
        <w:rPr>
          <w:sz w:val="16"/>
          <w:szCs w:val="16"/>
        </w:rPr>
        <w:t xml:space="preserve"> (supplementary Figure 3.</w:t>
      </w:r>
      <w:r>
        <w:rPr>
          <w:rStyle w:val="StyleUnderline"/>
        </w:rPr>
        <w:t xml:space="preserve">Impacts of combined water and climate policies on select global indicator pathways(2010–2070):(a) freshwater withdrawals from rivers and aquifers across irrigation, municipal and industrial sectors; (b) untreated return-flows from the municipal and industrial sectors;(c) total carbon emissions across energy and land systems; (d)water sector energy consumption (electricity);(e) energy sector water consumption (excluding hydropower); and (f) undiscounted costs calculated across water and energy systems (sum of the investment, fixed and variable cost components).</w:t>
      </w:r>
      <w:r>
        <w:rPr>
          <w:sz w:val="16"/>
          <w:szCs w:val="16"/>
        </w:rPr>
        <w:t xml:space="preserve"> Table 1. Regional water and energy costs(investment plus operational)for the baseline and integrated policy scenarios. SDG6-1.5C-S represents the scenario combining the SDG6-Supply policies with the 1.5 °C emissions constraint. SDG6-1.5C-E represents the scenario combining the SDG6-Efficiency policies with the 1.5 °C emissions constraint. The presented indicators are computed as annual averages over the 2020 and 2030 model decision-making periods. Africa+ includes the countries within Sub-Saharan Africa, the Middle East and North Africa. OECD+ includes countries in North America and Western Europe, as well as countries in Eastern Europe and including Russia. LAM includes countries in Latin America. A full list of the countries considered in each region is provided in the supplementary information (table S1). Region Total cost(billion USD2010 per year) Cost per capita (USD2010 per year) Percent GDP (%) Baseline SDG6- 1.5C-S SDG6- 1.5C-E Baseline SDG6- 1.5C-S SDG6- 1.5C-E Baseline SDG6- 1.5C-S SDG6- 1.5C-E Asia 450 660 650 110 160 150 0.9 1.4 1.4 LAM 80 170 130 120 250 200 0.8 1.7 1.3 Africa+ 180 270 220 110 160 130 1.6 2.5 2.0 OECD+ 290 460 380 200 310 260 0.6 1.0 0.8 6 information, figures S20 and S21). In the water sector, </w:t>
      </w:r>
      <w:r>
        <w:rPr>
          <w:rStyle w:val="StyleUnderline"/>
        </w:rPr>
        <w:t xml:space="preserve">average investments into conventional surface and groundwater systems including large-scale dams is reduced by 60 billion USD per year relative to the baseline scenario</w:t>
      </w:r>
      <w:r>
        <w:rPr>
          <w:sz w:val="16"/>
          <w:szCs w:val="16"/>
        </w:rPr>
        <w:t xml:space="preserve">. At the same time</w:t>
      </w:r>
      <w:r>
        <w:rPr>
          <w:rStyle w:val="StyleUnderline"/>
        </w:rPr>
        <w:t xml:space="preserve"> incremental investment into piped water access and water treatment reaches 260 billion USD per year, closing the infrastructure gaps projected under baseline conditions</w:t>
      </w:r>
      <w:r>
        <w:rPr>
          <w:sz w:val="16"/>
          <w:szCs w:val="16"/>
        </w:rPr>
        <w:t xml:space="preserve"> (figure 2). Incremental water sector investment needs are found to be greatest in Asia and Africa (figure 5(a)) because these regions face a combination of rapidly Figure 4.Global investment and investment change portfolios for achieving the SDG6 policies by 2030 while placing energy systems on a path consistent with 1.5 °C. Depicted costs for scenarios including SDG6 are averages across SDG6-Supply and SDG6-Efficiency. Dam storage represents large-scale reservoir systems used for surface water storage. River/aquifer diversion represents extractions of freshwater from surface and groundwater resources. </w:t>
      </w:r>
      <w:r>
        <w:rPr>
          <w:rStyle w:val="StyleUnderline"/>
        </w:rPr>
        <w:t xml:space="preserve">Water distribution includes piped water supply and wastewater collection. Water treatment includes both conventional and advanced (recyling and desalination) technologies. Water efficiency measures cover irrigation, urban, rural and manufacturing sectors. Power plant cooling includes once-through (fresh and ocean water), closed-loop and air cooling technologies. Fossil energy represents all technologies that extract and convert fossil energy resources. Storage/ Distribution technologies include energy grids and liquid fuel storage. Renewables includes wind, solar, geothermal and bioenergy technologies. Energy efficiency measures cover the industrial, building and transport sectors.</w:t>
      </w:r>
      <w:r>
        <w:rPr>
          <w:sz w:val="16"/>
          <w:szCs w:val="16"/>
        </w:rPr>
        <w:t xml:space="preserve"> Figure 5.Incremental water and energy investment costs by 2030 across global regions: (a) SDG6-1.5C relative to baseline; and (b) SDG6-1.5C relative to 1.5C for energy investments and SDG6-1.5C relative to SDG6 for water investments. Depicted costs for scenarios including SDG6 are averages across SDG6-Supply and SDG6-Efficiency. Africa+ includes the countries within Sub-Saharan Africa, the Middle East and North Africa.OECD+ includes countries in North America and Western Europe, as well as countries in Eastern Europe and including Russia. LAM includes countries in Latin America. A full list of the countries considered in each region is provided in the supplementary information (table S1). 7 growing demands and existing water stress in certain basins. </w:t>
      </w:r>
      <w:r>
        <w:rPr>
          <w:rStyle w:val="StyleUnderline"/>
        </w:rPr>
        <w:t xml:space="preserve">Relatively </w:t>
      </w:r>
      <w:r>
        <w:rPr>
          <w:rStyle w:val="StyleUnderline"/>
          <w:highlight w:val="green"/>
        </w:rPr>
        <w:t xml:space="preserve">little incremental water sector investment needs are projected for developed economies</w:t>
      </w:r>
      <w:r>
        <w:rPr>
          <w:sz w:val="16"/>
          <w:szCs w:val="16"/>
        </w:rPr>
        <w:t xml:space="preserve"> (North America and Europe) because these countries already have high access and treatment rates exceeding the SDG6 targets. Incremental investments in these regions are supporting efficiency and advanced water treatment, which are helping to reduce projected withdrawals from rivers and aquifers in water stressed regions. Incremental energy investment needs to achieve 1.5 °C exceed water investment needs for the SDG6 targets in each of the aggregated macro-regions, but these trends may differ when assessed at higher spatial resolutions. A comprehensive analysis of the energy investments to achieve the Paris Agreement and associated uncertainties are detailed in McCollum et al [29]. In this paper, we find that energy sector investments in 2030 increase by an estimated 35 billion USD per year when the SDG6 policies are added on top of the 1.5 °C climate policy (figure 5(b)). </w:t>
      </w:r>
      <w:r>
        <w:rPr>
          <w:rStyle w:val="StyleUnderline"/>
        </w:rPr>
        <w:t xml:space="preserve">The incremental investments are supporting increased electricity generation capacity needed to supply water sector demands and for implementation of water-efficient power plant cooling technologies</w:t>
      </w:r>
      <w:r>
        <w:rPr>
          <w:sz w:val="16"/>
          <w:szCs w:val="16"/>
        </w:rPr>
        <w:t xml:space="preserve">. Conversely, </w:t>
      </w:r>
      <w:r>
        <w:rPr>
          <w:rStyle w:val="StyleUnderline"/>
          <w:highlight w:val="green"/>
        </w:rPr>
        <w:t xml:space="preserve">investments supporting</w:t>
      </w:r>
      <w:r>
        <w:rPr>
          <w:rStyle w:val="StyleUnderline"/>
        </w:rPr>
        <w:t xml:space="preserve"> the SDG6 policies display much less sensitivity when the 1.5 °C </w:t>
      </w:r>
      <w:r>
        <w:rPr>
          <w:rStyle w:val="StyleUnderline"/>
          <w:highlight w:val="green"/>
        </w:rPr>
        <w:t xml:space="preserve">climate policy</w:t>
      </w:r>
      <w:r>
        <w:rPr>
          <w:rStyle w:val="StyleUnderline"/>
        </w:rPr>
        <w:t xml:space="preserve"> is added</w:t>
      </w:r>
      <w:r>
        <w:rPr>
          <w:sz w:val="16"/>
          <w:szCs w:val="16"/>
        </w:rPr>
        <w:t xml:space="preserve"> (figure 5(b)) because the SDG6 </w:t>
      </w:r>
      <w:r>
        <w:rPr>
          <w:rStyle w:val="StyleUnderline"/>
        </w:rPr>
        <w:t xml:space="preserve">policies </w:t>
      </w:r>
      <w:r>
        <w:rPr>
          <w:rStyle w:val="StyleUnderline"/>
          <w:highlight w:val="green"/>
        </w:rPr>
        <w:t xml:space="preserve">are constraining water infrastructure coverage</w:t>
      </w:r>
      <w:r>
        <w:rPr>
          <w:rStyle w:val="StyleUnderline"/>
        </w:rPr>
        <w:t xml:space="preserve"> and thus driving the observed investment levels across scenarios.</w:t>
      </w:r>
      <w:r>
        <w:rPr>
          <w:sz w:val="16"/>
          <w:szCs w:val="16"/>
        </w:rPr>
        <w:t xml:space="preserve"> Disinvestments in the water sector found when comparing the SDG6 scenarios with and without the 1.5 °C target (figure 5(b)) are attributed to reduced capacity of river/aquifer diversions and dam storage upstream from the energy sector. </w:t>
      </w:r>
      <w:r>
        <w:rPr>
          <w:rStyle w:val="StyleUnderline"/>
        </w:rPr>
        <w:t xml:space="preserve">Specifically, when the 1.5 °C target is added, </w:t>
      </w:r>
      <w:r>
        <w:rPr>
          <w:rStyle w:val="StyleUnderline"/>
          <w:highlight w:val="green"/>
        </w:rPr>
        <w:t xml:space="preserve">the energy system must transform rapidly</w:t>
      </w:r>
      <w:r>
        <w:rPr>
          <w:rStyle w:val="StyleUnderline"/>
        </w:rPr>
        <w:t xml:space="preserve">, and </w:t>
      </w:r>
      <w:r>
        <w:rPr>
          <w:rStyle w:val="StyleUnderline"/>
          <w:highlight w:val="green"/>
        </w:rPr>
        <w:t xml:space="preserve">to avoid</w:t>
      </w:r>
      <w:r>
        <w:rPr>
          <w:rStyle w:val="StyleUnderline"/>
        </w:rPr>
        <w:t xml:space="preserve"> exceeding the embedded </w:t>
      </w:r>
      <w:r>
        <w:rPr>
          <w:rStyle w:val="StyleUnderline"/>
          <w:highlight w:val="green"/>
        </w:rPr>
        <w:t xml:space="preserve">water efficiency targets</w:t>
      </w:r>
      <w:r>
        <w:rPr>
          <w:rStyle w:val="StyleUnderline"/>
        </w:rPr>
        <w:t xml:space="preserve"> later in the time horizon and the prospect of stranded assets, the integrated SDG6-1.5C pathways feature accelerated transformation towards water-efficient energy technologies, and this results in lower energy sector water withdrawals in the near term and the avoided water sector investment costs observed in figure</w:t>
      </w:r>
      <w:r>
        <w:rPr>
          <w:sz w:val="16"/>
          <w:szCs w:val="16"/>
        </w:rPr>
        <w:t xml:space="preserve"> 5(b). Despite limited impacts to water sector investments, the increasing energy supply costs under a 1.5 °C policy are translated to water infrastructure systems according to their energy consumption intensity, which is increasing in the SDG6 pathways in many regions due to expanded water treatment. Figure 6(a) depicts estimated future operational electricity costs in the water sector across scenarios, and indicates that combining the 1.5 °C policy with the SDG6-Supply scenario results in annual spending on electricity reaching 110 billion USD in 2030 and growing further to 160 billion USD in 2070. Conversely, spending on electricity in the water sector remains relatively steady in the SDG6-Efficiency scenario, reaching a much lower global expenditure of 110 billion USD per year by 2070. We find a similar scale of spending (investment and operational costs) will be needed to simultaneously transition power systems towards more water efficient cooling technologies (figure 5(b)), which are more expensive and less energy-efficient than conventional options and becoming increasingly expensive to operate under decarbonization. 4. Discussion The results demonstrate that </w:t>
      </w:r>
      <w:r>
        <w:rPr>
          <w:rStyle w:val="StyleUnderline"/>
          <w:highlight w:val="green"/>
        </w:rPr>
        <w:t xml:space="preserve">balancing trade-offs between climate change mitigation and clean water policies requires a</w:t>
      </w:r>
      <w:r>
        <w:rPr>
          <w:rStyle w:val="StyleUnderline"/>
        </w:rPr>
        <w:t xml:space="preserve"> global </w:t>
      </w:r>
      <w:r>
        <w:rPr>
          <w:rStyle w:val="StyleUnderline"/>
          <w:highlight w:val="green"/>
        </w:rPr>
        <w:t xml:space="preserve">shift in investment</w:t>
      </w:r>
      <w:r>
        <w:rPr>
          <w:rStyle w:val="StyleUnderline"/>
        </w:rPr>
        <w:t xml:space="preserve"> and operational decision-making across sectors that is best delivered through targeted policies developed from an integrated water–energy perspective.</w:t>
      </w:r>
      <w:r>
        <w:rPr>
          <w:sz w:val="16"/>
          <w:szCs w:val="16"/>
        </w:rPr>
        <w:t xml:space="preserve"> </w:t>
      </w:r>
      <w:r>
        <w:rPr>
          <w:rStyle w:val="StyleUnderline"/>
        </w:rPr>
        <w:t xml:space="preserve">We find that </w:t>
      </w:r>
      <w:r>
        <w:rPr>
          <w:rStyle w:val="StyleUnderline"/>
          <w:highlight w:val="green"/>
        </w:rPr>
        <w:t xml:space="preserve">implementation</w:t>
      </w:r>
      <w:r>
        <w:rPr>
          <w:rStyle w:val="StyleUnderline"/>
        </w:rPr>
        <w:t xml:space="preserve"> of the SDG6 targets </w:t>
      </w:r>
      <w:r>
        <w:rPr>
          <w:rStyle w:val="StyleUnderline"/>
          <w:highlight w:val="green"/>
        </w:rPr>
        <w:t xml:space="preserve">for water access and wastewater treatment cause relatively minor impacts to the energy sector when compared to the effort needed for climate change mitigation</w:t>
      </w:r>
      <w:r>
        <w:rPr>
          <w:rStyle w:val="StyleUnderline"/>
        </w:rPr>
        <w:t xml:space="preserve">.</w:t>
      </w:r>
      <w:r>
        <w:rPr>
          <w:sz w:val="16"/>
          <w:szCs w:val="16"/>
        </w:rPr>
        <w:t xml:space="preserve"> Conversely, water efficiency targets aligned with SDG6 applied to the energy sector cause changes to the longterm energy technology strategy used to mitigate climate change. Specifically, there is increased exploitation of wind and solar technologies as well as use of air cooling systems in the near-term to simultaneously reduce carbon and water intensity of electricity.</w:t>
      </w:r>
    </w:p>
    <w:p>
      <w:pPr>
        <w:pStyle w:val="Heading4"/>
      </w:pPr>
      <w:r>
        <w:t xml:space="preserve">Extinction – their defense is based on inaccurate models</w:t>
      </w:r>
    </w:p>
    <w:p>
      <w:r>
        <w:rPr>
          <w:rStyle w:val="Style13ptBold"/>
        </w:rPr>
        <w:t xml:space="preserve">Specktor 19</w:t>
      </w:r>
      <w:r>
        <w:t xml:space="preserve"> [Brandon Specktor, Senior Writer, "Human Civilization Will Crumble by 2050 If We Don't Stop Climate Change Now, New Paper Claims," Live Science, 6-4-2019, https://www.livescience.com/65633-climate-change-dooms-humans-by-2050.html]</w:t>
      </w:r>
    </w:p>
    <w:p>
      <w:r>
        <w:rPr>
          <w:sz w:val="16"/>
          <w:szCs w:val="16"/>
        </w:rPr>
        <w:t xml:space="preserve">It seems every week there's a scary new report about how man-made climate change is going to cause the collapse of the world's ice sheets, result in the extinction of up to 1 million animal species and — if that wasn't bad enough — make our beer very, very expensive. This week, a new policy paper from an Australian think tank claims that those other reports are slightly off; </w:t>
      </w:r>
      <w:r>
        <w:rPr>
          <w:rStyle w:val="StyleUnderline"/>
          <w:highlight w:val="green"/>
        </w:rPr>
        <w:t xml:space="preserve">the risk</w:t>
      </w:r>
      <w:r>
        <w:rPr>
          <w:rStyle w:val="StyleUnderline"/>
        </w:rPr>
        <w:t xml:space="preserve">s </w:t>
      </w:r>
      <w:r>
        <w:rPr>
          <w:rStyle w:val="StyleUnderline"/>
          <w:highlight w:val="green"/>
        </w:rPr>
        <w:t xml:space="preserve">of climate change</w:t>
      </w:r>
      <w:r>
        <w:rPr>
          <w:rStyle w:val="StyleUnderline"/>
        </w:rPr>
        <w:t xml:space="preserve"> are actually much, much worse than anyone can imagine. </w:t>
      </w:r>
      <w:r>
        <w:rPr>
          <w:sz w:val="16"/>
          <w:szCs w:val="16"/>
        </w:rPr>
        <w:t xml:space="preserve">According to the paper, </w:t>
      </w:r>
      <w:r>
        <w:rPr>
          <w:rStyle w:val="Emphasis"/>
        </w:rPr>
        <w:t xml:space="preserve">climate change </w:t>
      </w:r>
      <w:r>
        <w:rPr>
          <w:rStyle w:val="Emphasis"/>
          <w:highlight w:val="green"/>
        </w:rPr>
        <w:t xml:space="preserve">poses a</w:t>
      </w:r>
      <w:r>
        <w:rPr>
          <w:sz w:val="16"/>
          <w:szCs w:val="16"/>
        </w:rPr>
        <w:t xml:space="preserve"> "near- to mid-term </w:t>
      </w:r>
      <w:r>
        <w:rPr>
          <w:rStyle w:val="Emphasis"/>
          <w:highlight w:val="green"/>
        </w:rPr>
        <w:t xml:space="preserve">existential threat to human civilization</w:t>
      </w:r>
      <w:r>
        <w:rPr>
          <w:sz w:val="16"/>
          <w:szCs w:val="16"/>
        </w:rPr>
        <w:t xml:space="preserve">," and </w:t>
      </w:r>
      <w:r>
        <w:rPr>
          <w:rStyle w:val="StyleUnderline"/>
        </w:rPr>
        <w:t xml:space="preserve">there's a good chance</w:t>
      </w:r>
      <w:r>
        <w:rPr>
          <w:rStyle w:val="Emphasis"/>
        </w:rPr>
        <w:t xml:space="preserve"> society could collapse</w:t>
      </w:r>
      <w:r>
        <w:rPr>
          <w:sz w:val="16"/>
          <w:szCs w:val="16"/>
        </w:rPr>
        <w:t xml:space="preserve"> as soon as 2050 </w:t>
      </w:r>
      <w:r>
        <w:rPr>
          <w:rStyle w:val="Emphasis"/>
        </w:rPr>
        <w:t xml:space="preserve">if serious mitigation actions aren't taken</w:t>
      </w:r>
      <w:r>
        <w:rPr>
          <w:sz w:val="16"/>
          <w:szCs w:val="16"/>
        </w:rPr>
        <w:t xml:space="preserve"> in the next decade. Published by the Breakthrough National Centre for Climate Restoration in Melbourne (an independent think tank focused on climate policy) and authored by a climate researcher and a former fossil fuel executive, the paper's central thesis is that </w:t>
      </w:r>
      <w:r>
        <w:rPr>
          <w:rStyle w:val="StyleUnderline"/>
        </w:rPr>
        <w:t xml:space="preserve">climate </w:t>
      </w:r>
      <w:r>
        <w:rPr>
          <w:rStyle w:val="StyleUnderline"/>
          <w:highlight w:val="green"/>
        </w:rPr>
        <w:t xml:space="preserve">scientists are</w:t>
      </w:r>
      <w:r>
        <w:rPr>
          <w:rStyle w:val="StyleUnderline"/>
        </w:rPr>
        <w:t xml:space="preserve"> too </w:t>
      </w:r>
      <w:r>
        <w:rPr>
          <w:rStyle w:val="StyleUnderline"/>
          <w:highlight w:val="green"/>
        </w:rPr>
        <w:t xml:space="preserve">restrained in their predictions of how climate change will affect the planet in the near future</w:t>
      </w:r>
      <w:r>
        <w:rPr>
          <w:rStyle w:val="StyleUnderline"/>
        </w:rPr>
        <w:t xml:space="preserve">.</w:t>
      </w:r>
      <w:r>
        <w:rPr>
          <w:sz w:val="16"/>
          <w:szCs w:val="16"/>
        </w:rPr>
        <w:t xml:space="preserve"> [Top 9 Ways the World Could End] </w:t>
      </w:r>
      <w:r>
        <w:rPr>
          <w:rStyle w:val="StyleUnderline"/>
        </w:rPr>
        <w:t xml:space="preserve">The current climate crisis</w:t>
      </w:r>
      <w:r>
        <w:rPr>
          <w:sz w:val="16"/>
          <w:szCs w:val="16"/>
        </w:rPr>
        <w:t xml:space="preserve">, they say, </w:t>
      </w:r>
      <w:r>
        <w:rPr>
          <w:rStyle w:val="StyleUnderline"/>
        </w:rPr>
        <w:t xml:space="preserve">is larger and more complex than any humans have ever dealt with before. </w:t>
      </w:r>
      <w:r>
        <w:rPr>
          <w:rStyle w:val="Emphasis"/>
          <w:highlight w:val="green"/>
        </w:rPr>
        <w:t xml:space="preserve">General climate model</w:t>
      </w:r>
      <w:r>
        <w:rPr>
          <w:rStyle w:val="Emphasis"/>
        </w:rPr>
        <w:t xml:space="preserve">s</w:t>
      </w:r>
      <w:r>
        <w:rPr>
          <w:sz w:val="16"/>
          <w:szCs w:val="16"/>
        </w:rPr>
        <w:t xml:space="preserve"> — like the one that the United Nations' Panel on Climate Change (IPCC) used in 2018 to predict that a global temperature increase of 3.6 degrees Fahrenheit (2 degrees Celsius) could put hundreds of millions of people at risk </w:t>
      </w:r>
      <w:r>
        <w:rPr>
          <w:rStyle w:val="StyleUnderline"/>
        </w:rPr>
        <w:t xml:space="preserve">— </w:t>
      </w:r>
      <w:r>
        <w:rPr>
          <w:rStyle w:val="StyleUnderline"/>
          <w:highlight w:val="green"/>
        </w:rPr>
        <w:t xml:space="preserve">fail to account for the sheer complexity of Earth's</w:t>
      </w:r>
      <w:r>
        <w:rPr>
          <w:rStyle w:val="Emphasis"/>
        </w:rPr>
        <w:t xml:space="preserve"> </w:t>
      </w:r>
      <w:r>
        <w:rPr>
          <w:rStyle w:val="StyleUnderline"/>
        </w:rPr>
        <w:t xml:space="preserve">many </w:t>
      </w:r>
      <w:r>
        <w:rPr>
          <w:rStyle w:val="StyleUnderline"/>
          <w:highlight w:val="green"/>
        </w:rPr>
        <w:t xml:space="preserve">interlinked geological processes</w:t>
      </w:r>
      <w:r>
        <w:rPr>
          <w:sz w:val="16"/>
          <w:szCs w:val="16"/>
        </w:rPr>
        <w:t xml:space="preserve">; as such, </w:t>
      </w:r>
      <w:r>
        <w:rPr>
          <w:rStyle w:val="StyleUnderline"/>
        </w:rPr>
        <w:t xml:space="preserve">they</w:t>
      </w:r>
      <w:r>
        <w:rPr>
          <w:rStyle w:val="Emphasis"/>
        </w:rPr>
        <w:t xml:space="preserve"> fail to adequately predict the scale of the potential consequences.</w:t>
      </w:r>
      <w:r>
        <w:rPr>
          <w:rStyle w:val="StyleUnderline"/>
        </w:rPr>
        <w:t xml:space="preserve"> The truth</w:t>
      </w:r>
      <w:r>
        <w:rPr>
          <w:sz w:val="16"/>
          <w:szCs w:val="16"/>
        </w:rPr>
        <w:t xml:space="preserve">, the authors wrote, </w:t>
      </w:r>
      <w:r>
        <w:rPr>
          <w:rStyle w:val="StyleUnderline"/>
        </w:rPr>
        <w:t xml:space="preserve">is</w:t>
      </w:r>
      <w:r>
        <w:rPr>
          <w:sz w:val="16"/>
          <w:szCs w:val="16"/>
        </w:rPr>
        <w:t xml:space="preserve"> probably far </w:t>
      </w:r>
      <w:r>
        <w:rPr>
          <w:rStyle w:val="StyleUnderline"/>
        </w:rPr>
        <w:t xml:space="preserve">worse than any models can fathom. </w:t>
      </w:r>
      <w:r>
        <w:rPr>
          <w:sz w:val="16"/>
          <w:szCs w:val="16"/>
        </w:rPr>
        <w:t xml:space="preserve">How the world ends What might an accurate worst-case picture of the planet's climate-addled future actually look like, then? 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w:t>
      </w:r>
      <w:r>
        <w:rPr>
          <w:rStyle w:val="StyleUnderline"/>
        </w:rPr>
        <w:t xml:space="preserve">the world's ice sheets vanish; brutal droughts kill many of the trees in the Amazon rainforest (removing one of the world's largest carbon offsets); and </w:t>
      </w:r>
      <w:r>
        <w:rPr>
          <w:rStyle w:val="StyleUnderline"/>
          <w:highlight w:val="green"/>
        </w:rPr>
        <w:t xml:space="preserve">the planet plunges into </w:t>
      </w:r>
      <w:r>
        <w:rPr>
          <w:rStyle w:val="Emphasis"/>
          <w:highlight w:val="green"/>
        </w:rPr>
        <w:t xml:space="preserve">a feedback loop of ever-hotter</w:t>
      </w:r>
      <w:r>
        <w:rPr>
          <w:rStyle w:val="Emphasis"/>
        </w:rPr>
        <w:t xml:space="preserve">, ever-deadlier </w:t>
      </w:r>
      <w:r>
        <w:rPr>
          <w:rStyle w:val="Emphasis"/>
          <w:highlight w:val="green"/>
        </w:rPr>
        <w:t xml:space="preserve">conditions</w:t>
      </w:r>
      <w:r>
        <w:rPr>
          <w:rStyle w:val="Emphasis"/>
        </w:rPr>
        <w:t xml:space="preserve">. </w:t>
      </w:r>
      <w:r>
        <w:rPr>
          <w:sz w:val="16"/>
          <w:szCs w:val="16"/>
        </w:rPr>
        <w:t xml:space="preserve">"</w:t>
      </w:r>
      <w:r>
        <w:rPr>
          <w:rStyle w:val="StyleUnderline"/>
        </w:rPr>
        <w:t xml:space="preserve">Thirty-five percent of</w:t>
      </w:r>
      <w:r>
        <w:rPr>
          <w:sz w:val="16"/>
          <w:szCs w:val="16"/>
        </w:rPr>
        <w:t xml:space="preserve"> the </w:t>
      </w:r>
      <w:r>
        <w:rPr>
          <w:rStyle w:val="StyleUnderline"/>
        </w:rPr>
        <w:t xml:space="preserve">global land area, and 55 percent of the global population, are subject to more than 20 days a year of lethal heat conditions, </w:t>
      </w:r>
      <w:r>
        <w:rPr>
          <w:rStyle w:val="Emphasis"/>
          <w:highlight w:val="green"/>
        </w:rPr>
        <w:t xml:space="preserve">beyond the threshold of human survivability</w:t>
      </w:r>
      <w:r>
        <w:rPr>
          <w:sz w:val="16"/>
          <w:szCs w:val="16"/>
        </w:rPr>
        <w:t xml:space="preserve">," the authors hypothesized. Meanwhile, </w:t>
      </w:r>
      <w:r>
        <w:rPr>
          <w:rStyle w:val="StyleUnderline"/>
        </w:rPr>
        <w:t xml:space="preserve">droughts, floods and wildfires regularly ravage the land.</w:t>
      </w:r>
      <w:r>
        <w:rPr>
          <w:sz w:val="16"/>
          <w:szCs w:val="16"/>
        </w:rPr>
        <w:t xml:space="preserve"> Nearly </w:t>
      </w:r>
      <w:r>
        <w:rPr>
          <w:rStyle w:val="StyleUnderline"/>
        </w:rPr>
        <w:t xml:space="preserve">one-third of the world's land surface turns to desert. Entire ecosystems collapse, beginning with the planet's coral reefs, the rainforest and the Arctic ice sheets. The world's tropics are hit hardest by</w:t>
      </w:r>
      <w:r>
        <w:rPr>
          <w:sz w:val="16"/>
          <w:szCs w:val="16"/>
        </w:rPr>
        <w:t xml:space="preserve"> these </w:t>
      </w:r>
      <w:r>
        <w:rPr>
          <w:rStyle w:val="StyleUnderline"/>
        </w:rPr>
        <w:t xml:space="preserve">new climate extremes, destroying the region's ag</w:t>
      </w:r>
      <w:r>
        <w:rPr>
          <w:sz w:val="16"/>
          <w:szCs w:val="16"/>
        </w:rPr>
        <w:t xml:space="preserve">riculture </w:t>
      </w:r>
      <w:r>
        <w:rPr>
          <w:rStyle w:val="StyleUnderline"/>
        </w:rPr>
        <w:t xml:space="preserve">and turning more than 1 billion people into refugees. This </w:t>
      </w:r>
      <w:r>
        <w:rPr>
          <w:rStyle w:val="StyleUnderline"/>
          <w:highlight w:val="green"/>
        </w:rPr>
        <w:t xml:space="preserve">mass movement of refugees</w:t>
      </w:r>
      <w:r>
        <w:rPr>
          <w:rStyle w:val="StyleUnderline"/>
        </w:rPr>
        <w:t xml:space="preserve"> — </w:t>
      </w:r>
      <w:r>
        <w:rPr>
          <w:rStyle w:val="StyleUnderline"/>
          <w:highlight w:val="green"/>
        </w:rPr>
        <w:t xml:space="preserve">coupled with shrinking coastlines and severe drops in food and water</w:t>
      </w:r>
      <w:r>
        <w:rPr>
          <w:sz w:val="16"/>
          <w:szCs w:val="16"/>
        </w:rPr>
        <w:t xml:space="preserve"> availability </w:t>
      </w:r>
      <w:r>
        <w:rPr>
          <w:rStyle w:val="StyleUnderline"/>
        </w:rPr>
        <w:t xml:space="preserve">— begin to </w:t>
      </w:r>
      <w:r>
        <w:rPr>
          <w:rStyle w:val="StyleUnderline"/>
          <w:highlight w:val="green"/>
        </w:rPr>
        <w:t xml:space="preserve">stress the fabric of the world's largest natio</w:t>
      </w:r>
      <w:r>
        <w:rPr>
          <w:rStyle w:val="StyleUnderline"/>
        </w:rPr>
        <w:t xml:space="preserve">ns, including the U</w:t>
      </w:r>
      <w:r>
        <w:rPr>
          <w:sz w:val="16"/>
          <w:szCs w:val="16"/>
        </w:rPr>
        <w:t xml:space="preserve">nited </w:t>
      </w:r>
      <w:r>
        <w:rPr>
          <w:rStyle w:val="StyleUnderline"/>
        </w:rPr>
        <w:t xml:space="preserve">S</w:t>
      </w:r>
      <w:r>
        <w:rPr>
          <w:sz w:val="16"/>
          <w:szCs w:val="16"/>
        </w:rPr>
        <w:t xml:space="preserve">tates. </w:t>
      </w:r>
      <w:r>
        <w:rPr>
          <w:rStyle w:val="Emphasis"/>
          <w:highlight w:val="green"/>
        </w:rPr>
        <w:t xml:space="preserve">Armed conflicts over resources</w:t>
      </w:r>
      <w:r>
        <w:rPr>
          <w:sz w:val="16"/>
          <w:szCs w:val="16"/>
        </w:rPr>
        <w:t xml:space="preserve">, perhaps </w:t>
      </w:r>
      <w:r>
        <w:rPr>
          <w:rStyle w:val="Emphasis"/>
          <w:highlight w:val="green"/>
        </w:rPr>
        <w:t xml:space="preserve">culminating in nuclear war</w:t>
      </w:r>
      <w:r>
        <w:rPr>
          <w:highlight w:val="green"/>
        </w:rPr>
        <w:t xml:space="preserve">, </w:t>
      </w:r>
      <w:r>
        <w:rPr>
          <w:rStyle w:val="Emphasis"/>
          <w:highlight w:val="green"/>
        </w:rPr>
        <w:t xml:space="preserve">are likely</w:t>
      </w:r>
      <w:r>
        <w:rPr>
          <w:rStyle w:val="Emphasis"/>
        </w:rPr>
        <w:t xml:space="preserve">. </w:t>
      </w:r>
      <w:r>
        <w:rPr>
          <w:rStyle w:val="StyleUnderline"/>
          <w:highlight w:val="green"/>
        </w:rPr>
        <w:t xml:space="preserve">The result</w:t>
      </w:r>
      <w:r>
        <w:rPr>
          <w:sz w:val="16"/>
          <w:szCs w:val="16"/>
        </w:rPr>
        <w:t xml:space="preserve">, according to the new paper, </w:t>
      </w:r>
      <w:r>
        <w:rPr>
          <w:rStyle w:val="StyleUnderline"/>
          <w:highlight w:val="green"/>
        </w:rPr>
        <w:t xml:space="preserve">is</w:t>
      </w:r>
      <w:r>
        <w:rPr>
          <w:rStyle w:val="StyleUnderline"/>
        </w:rPr>
        <w:t xml:space="preserve"> "outright chaos" and</w:t>
      </w:r>
      <w:r>
        <w:rPr>
          <w:sz w:val="16"/>
          <w:szCs w:val="16"/>
        </w:rPr>
        <w:t xml:space="preserve"> perhaps </w:t>
      </w:r>
      <w:r>
        <w:rPr>
          <w:rStyle w:val="Emphasis"/>
        </w:rPr>
        <w:t xml:space="preserve">"</w:t>
      </w:r>
      <w:r>
        <w:rPr>
          <w:rStyle w:val="Emphasis"/>
          <w:highlight w:val="green"/>
        </w:rPr>
        <w:t xml:space="preserve">the end of human global civilization as we know it</w:t>
      </w:r>
      <w:r>
        <w:rPr>
          <w:rStyle w:val="Emphasis"/>
        </w:rPr>
        <w:t xml:space="preserve">."</w:t>
      </w:r>
    </w:p>
    <w:p>
      <w:pPr>
        <w:pStyle w:val="Heading2"/>
      </w:pPr>
      <w:r>
        <w:t xml:space="preserve">Case — Water Security</w:t>
      </w:r>
    </w:p>
    <w:p>
      <w:pPr>
        <w:pStyle w:val="Heading4"/>
      </w:pPr>
      <w:r>
        <w:t xml:space="preserve">No water wars — states cooperate over shared water far more often than they fight</w:t>
      </w:r>
    </w:p>
    <w:p>
      <w:pPr>
        <w:pStyle w:val="Heading4"/>
      </w:pPr>
      <w:r>
        <w:t xml:space="preserve">Alternate causes — agricultural runoff, not ephemeral streams, drives drinking water contamination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eastAsia="Calibri" w:hAnsi="Calibri" w:cs="Times New Roman"/>
        <w:sz w:val="22"/>
        <w:szCs w:val="22"/>
        <w:lang w:val="en-US" w:eastAsia="en-US" w:bidi="ar-SA"/>
      </w:rPr>
    </w:rPrDefault>
    <w:pPrDefault>
      <w:pPr>
        <w:spacing w:after="0" w:line="240" w:lineRule="auto"/>
      </w:pPr>
    </w:pPrDefault>
  </w:docDefaults>
  <w:style w:type="paragraph" w:default="1" w:styleId="Normal">
    <w:name w:val="Normal"/>
    <w:qFormat/>
    <w:rPr>
      <w:rFonts w:ascii="Calibri" w:hAnsi="Calibri" w:cs="Calibri"/>
      <w:sz w:val="22"/>
      <w:szCs w:val="22"/>
    </w:rPr>
  </w:style>
  <w:style w:type="paragraph" w:styleId="Heading1">
    <w:name w:val="heading 1,Pocket"/>
    <w:basedOn w:val="Normal"/>
    <w:next w:val="Normal"/>
    <w:uiPriority w:val="9"/>
    <w:unhideWhenUsed/>
    <w:qFormat/>
    <w:pPr>
      <w:keepNext/>
      <w:keepLines/>
      <w:spacing w:before="240" w:after="0"/>
      <w:pBdr>
        <w:top w:val="double" w:sz="4" w:space="1" w:color="auto"/>
        <w:left w:val="double" w:sz="4" w:space="4" w:color="auto"/>
        <w:bottom w:val="double" w:sz="4" w:space="1" w:color="auto"/>
        <w:right w:val="double" w:sz="4" w:space="4" w:color="auto"/>
      </w:pBdr>
      <w:jc w:val="center"/>
      <w:outlineLvl w:val="0"/>
    </w:pPr>
    <w:rPr>
      <w:rFonts w:ascii="Calibri" w:hAnsi="Calibri" w:cs="Calibri"/>
      <w:b/>
      <w:bCs/>
      <w:sz w:val="52"/>
      <w:szCs w:val="52"/>
    </w:rPr>
  </w:style>
  <w:style w:type="paragraph" w:styleId="Heading2">
    <w:name w:val="heading 2,Hat"/>
    <w:basedOn w:val="Normal"/>
    <w:next w:val="Normal"/>
    <w:uiPriority w:val="10"/>
    <w:unhideWhenUsed/>
    <w:qFormat/>
    <w:pPr>
      <w:keepNext/>
      <w:keepLines/>
      <w:spacing w:before="240" w:after="0"/>
      <w:pageBreakBefore/>
      <w:jc w:val="center"/>
      <w:outlineLvl w:val="1"/>
    </w:pPr>
    <w:rPr>
      <w:rFonts w:ascii="Calibri" w:hAnsi="Calibri" w:cs="Calibri"/>
      <w:b/>
      <w:bCs/>
      <w:sz w:val="44"/>
      <w:szCs w:val="44"/>
      <w:u w:val="double"/>
    </w:rPr>
  </w:style>
  <w:style w:type="paragraph" w:styleId="Heading3">
    <w:name w:val="heading 3,Block"/>
    <w:basedOn w:val="Normal"/>
    <w:next w:val="Normal"/>
    <w:uiPriority w:val="11"/>
    <w:unhideWhenUsed/>
    <w:qFormat/>
    <w:pPr>
      <w:keepNext/>
      <w:keepLines/>
      <w:spacing w:before="40" w:after="0"/>
      <w:jc w:val="center"/>
      <w:outlineLvl w:val="2"/>
    </w:pPr>
    <w:rPr>
      <w:rFonts w:ascii="Calibri" w:hAnsi="Calibri" w:cs="Calibri"/>
      <w:b/>
      <w:bCs/>
      <w:sz w:val="32"/>
      <w:szCs w:val="32"/>
    </w:rPr>
  </w:style>
  <w:style w:type="paragraph" w:styleId="Heading4">
    <w:name w:val="heading 4,Tag"/>
    <w:basedOn w:val="Normal"/>
    <w:next w:val="Normal"/>
    <w:uiPriority w:val="12"/>
    <w:unhideWhenUsed/>
    <w:qFormat/>
    <w:pPr>
      <w:keepNext/>
      <w:keepLines/>
      <w:spacing w:before="40" w:after="0"/>
      <w:outlineLvl w:val="3"/>
    </w:pPr>
    <w:rPr>
      <w:rFonts w:ascii="Calibri" w:hAnsi="Calibri" w:cs="Calibri"/>
      <w:b/>
      <w:bCs/>
      <w:sz w:val="26"/>
      <w:szCs w:val="26"/>
    </w:rPr>
  </w:style>
  <w:style w:type="character" w:default="1" w:styleId="DefaultParagraphFont">
    <w:name w:val="Default Paragraph Font"/>
    <w:uiPriority w:val="1"/>
    <w:semiHidden/>
    <w:unhideWhenUsed/>
  </w:style>
  <w:style w:type="character" w:styleId="Style13ptBold">
    <w:name w:val="Style 13 pt Bold,Cite"/>
    <w:basedOn w:val="DefaultParagraphFont"/>
    <w:uiPriority w:val="1"/>
    <w:qFormat/>
    <w:rPr>
      <w:b/>
      <w:bCs/>
      <w:sz w:val="26"/>
    </w:rPr>
  </w:style>
  <w:style w:type="character" w:styleId="StyleUnderline">
    <w:name w:val="Style Underline,Underline"/>
    <w:basedOn w:val="DefaultParagraphFont"/>
    <w:uiPriority w:val="1"/>
    <w:qFormat/>
    <w:rPr>
      <w:b/>
      <w:bCs/>
      <w:sz w:val="22"/>
      <w:u w:val="single"/>
    </w:rPr>
  </w:style>
  <w:style w:type="character" w:styleId="Emphasis">
    <w:name w:val="Emphasis"/>
    <w:basedOn w:val="DefaultParagraphFont"/>
    <w:uiPriority w:val="7"/>
    <w:qFormat/>
    <w:rPr>
      <w:rFonts w:ascii="Calibri" w:hAnsi="Calibri"/>
      <w:b/>
      <w:i w:val="0"/>
      <w:iCs w:val="0"/>
      <w:sz w:val="22"/>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Clash</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1NC</dc:title>
  <dc:creator>Clash</dc:creator>
  <dcterms:created xsi:type="dcterms:W3CDTF">2026-09-25T09:18:16Z</dcterms:created>
  <dcterms:modified xsi:type="dcterms:W3CDTF">2026-09-25T09:18:16Z</dcterms:modified>
</cp:coreProperties>
</file>