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1NC — SYNTHETIC TEST DOCUMENT</w:t>
      </w:r>
    </w:p>
    <w:p>
      <w:pPr>
        <w:pStyle w:val="Heading2"/>
      </w:pPr>
      <w:r>
        <w:t xml:space="preserve">States CP</w:t>
      </w:r>
    </w:p>
    <w:p>
      <w:pPr>
        <w:pStyle w:val="Heading4"/>
      </w:pPr>
      <w:r>
        <w:t xml:space="preserve">Text: The fifty states should adopt matching protections for ephemeral streams through an interstate compact.</w:t>
      </w:r>
    </w:p>
    <w:p>
      <w:pPr>
        <w:pStyle w:val="Heading4"/>
      </w:pPr>
      <w:r>
        <w:t xml:space="preserve">States solve better – they can tailor protection to local watersheds</w:t>
      </w:r>
    </w:p>
    <w:p>
      <w:r>
        <w:rPr>
          <w:rStyle w:val="Style13ptBold"/>
        </w:rPr>
        <w:t xml:space="preserve">Rivera 24</w:t>
      </w:r>
      <w:r>
        <w:t xml:space="preserve"> Rivera 24 (SYNTHETIC TEST SOURCE — invented for tests, not a real publication: "State Watershed Programs")</w:t>
      </w:r>
    </w:p>
    <w:p>
      <w:r>
        <w:rPr>
          <w:sz w:val="16"/>
          <w:szCs w:val="16"/>
        </w:rPr>
        <w:t xml:space="preserve">In the invented example used for these tests, </w:t>
      </w:r>
      <w:r>
        <w:rPr>
          <w:rStyle w:val="StyleUnderline"/>
          <w:highlight w:val="yellow"/>
        </w:rPr>
        <w:t xml:space="preserve">state agencies know their own watersheds and can adjust protection to local conditions faster than a national rule</w:t>
      </w:r>
      <w:r>
        <w:rPr>
          <w:sz w:val="16"/>
          <w:szCs w:val="16"/>
        </w:rPr>
        <w:t xml:space="preserve">, which is the claim the counterplan relies on.</w:t>
      </w:r>
    </w:p>
    <w:p>
      <w:pPr>
        <w:pStyle w:val="Heading4"/>
      </w:pPr>
      <w:r>
        <w:t xml:space="preserve">The CP adds protection above the federal floor</w:t>
      </w:r>
    </w:p>
    <w:p>
      <w:r>
        <w:rPr>
          <w:rStyle w:val="Style13ptBold"/>
        </w:rPr>
        <w:t xml:space="preserve">Okafor 23</w:t>
      </w:r>
      <w:r>
        <w:t xml:space="preserve"> Okafor 23 (SYNTHETIC TEST SOURCE — invented for tests, not a real publication: "Floors and Ceilings")</w:t>
      </w:r>
    </w:p>
    <w:p>
      <w:r>
        <w:rPr>
          <w:sz w:val="16"/>
          <w:szCs w:val="16"/>
        </w:rPr>
        <w:t xml:space="preserve">This made-up passage says that </w:t>
      </w:r>
      <w:r>
        <w:rPr>
          <w:rStyle w:val="StyleUnderline"/>
          <w:highlight w:val="yellow"/>
        </w:rPr>
        <w:t xml:space="preserve">states often go further than federal minimums when they write their own rules</w:t>
      </w:r>
      <w:r>
        <w:rPr>
          <w:sz w:val="16"/>
          <w:szCs w:val="16"/>
        </w:rPr>
        <w:t xml:space="preserve">, so the counterplan claims to capture the plan's benefits.</w:t>
      </w:r>
    </w:p>
    <w:p>
      <w:pPr>
        <w:pStyle w:val="Heading2"/>
      </w:pPr>
      <w:r>
        <w:t xml:space="preserve">Climate Tradeoff DA</w:t>
      </w:r>
    </w:p>
    <w:p>
      <w:pPr>
        <w:pStyle w:val="Heading4"/>
      </w:pPr>
      <w:r>
        <w:t xml:space="preserve">Climate is the budget priority now</w:t>
      </w:r>
    </w:p>
    <w:p>
      <w:r>
        <w:rPr>
          <w:rStyle w:val="Style13ptBold"/>
        </w:rPr>
        <w:t xml:space="preserve">Lindqvist 25</w:t>
      </w:r>
      <w:r>
        <w:t xml:space="preserve"> Lindqvist 25 (SYNTHETIC TEST SOURCE — invented for tests, not a real publication: "Budget Priorities")</w:t>
      </w:r>
    </w:p>
    <w:p>
      <w:r>
        <w:rPr>
          <w:sz w:val="16"/>
          <w:szCs w:val="16"/>
        </w:rPr>
        <w:t xml:space="preserve">According to this fictional report, </w:t>
      </w:r>
      <w:r>
        <w:rPr>
          <w:rStyle w:val="StyleUnderline"/>
          <w:highlight w:val="yellow"/>
        </w:rPr>
        <w:t xml:space="preserve">lawmakers have put climate programs first in this year's spending plans</w:t>
      </w:r>
      <w:r>
        <w:rPr>
          <w:sz w:val="16"/>
          <w:szCs w:val="16"/>
        </w:rPr>
        <w:t xml:space="preserve">, leaving little room for new water commitments.</w:t>
      </w:r>
    </w:p>
    <w:p>
      <w:pPr>
        <w:pStyle w:val="Heading4"/>
      </w:pPr>
      <w:r>
        <w:t xml:space="preserve">New water mandates trade off with climate spending</w:t>
      </w:r>
    </w:p>
    <w:p>
      <w:r>
        <w:rPr>
          <w:rStyle w:val="Style13ptBold"/>
        </w:rPr>
        <w:t xml:space="preserve">Mehta 24</w:t>
      </w:r>
      <w:r>
        <w:t xml:space="preserve"> Mehta 24 (SYNTHETIC TEST SOURCE — invented for tests, not a real publication: "Tradeoffs")</w:t>
      </w:r>
    </w:p>
    <w:p>
      <w:r>
        <w:rPr>
          <w:sz w:val="16"/>
          <w:szCs w:val="16"/>
        </w:rPr>
        <w:t xml:space="preserve">The invented analysis argues that </w:t>
      </w:r>
      <w:r>
        <w:rPr>
          <w:rStyle w:val="StyleUnderline"/>
          <w:highlight w:val="yellow"/>
        </w:rPr>
        <w:t xml:space="preserve">every new federal water mandate pulls enforcement money from climate programs</w:t>
      </w:r>
      <w:r>
        <w:rPr>
          <w:sz w:val="16"/>
          <w:szCs w:val="16"/>
        </w:rPr>
        <w:t xml:space="preserve"> in the same agencies.</w:t>
      </w:r>
    </w:p>
    <w:p>
      <w:pPr>
        <w:pStyle w:val="Heading4"/>
      </w:pPr>
      <w:r>
        <w:t xml:space="preserve">Climate failure risks catastrophe</w:t>
      </w:r>
    </w:p>
    <w:p>
      <w:r>
        <w:rPr>
          <w:rStyle w:val="Style13ptBold"/>
        </w:rPr>
        <w:t xml:space="preserve">Baptiste 23</w:t>
      </w:r>
      <w:r>
        <w:t xml:space="preserve"> Baptiste 23 (SYNTHETIC TEST SOURCE — invented for tests, not a real publication: "Tipping Points")</w:t>
      </w:r>
    </w:p>
    <w:p>
      <w:r>
        <w:rPr>
          <w:sz w:val="16"/>
          <w:szCs w:val="16"/>
        </w:rPr>
        <w:t xml:space="preserve">In this synthetic source, </w:t>
      </w:r>
      <w:r>
        <w:rPr>
          <w:rStyle w:val="StyleUnderline"/>
          <w:highlight w:val="yellow"/>
        </w:rPr>
        <w:t xml:space="preserve">delays in climate action raise the risk of large, irreversible harms</w:t>
      </w:r>
      <w:r>
        <w:rPr>
          <w:sz w:val="16"/>
          <w:szCs w:val="16"/>
        </w:rPr>
        <w:t xml:space="preserve"> over the coming decades.</w:t>
      </w:r>
    </w:p>
    <w:p>
      <w:pPr>
        <w:pStyle w:val="Heading2"/>
      </w:pPr>
      <w:r>
        <w:t xml:space="preserve">Case — Water Security</w:t>
      </w:r>
    </w:p>
    <w:p>
      <w:pPr>
        <w:pStyle w:val="Heading4"/>
      </w:pPr>
      <w:r>
        <w:t xml:space="preserve">No water wars — states cooperate over shared water far more often than they fight</w:t>
      </w:r>
    </w:p>
    <w:p>
      <w:pPr>
        <w:pStyle w:val="Heading4"/>
      </w:pPr>
      <w:r>
        <w:t xml:space="preserve">Alternate causes — agricultural runoff, not ephemeral streams, drives drinking water contamination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rPr>
      <w:rFonts w:ascii="Calibri" w:hAnsi="Calibri" w:cs="Calibri"/>
      <w:sz w:val="22"/>
      <w:szCs w:val="22"/>
    </w:rPr>
  </w:style>
  <w:style w:type="paragraph" w:styleId="Heading1">
    <w:name w:val="heading 1,Pocket"/>
    <w:basedOn w:val="Normal"/>
    <w:next w:val="Normal"/>
    <w:uiPriority w:val="9"/>
    <w:unhideWhenUsed/>
    <w:qFormat/>
    <w:pPr>
      <w:keepNext/>
      <w:keepLines/>
      <w:spacing w:before="240" w:after="0"/>
      <w:pBdr>
        <w:top w:val="double" w:sz="4" w:space="1" w:color="auto"/>
        <w:left w:val="double" w:sz="4" w:space="4" w:color="auto"/>
        <w:bottom w:val="double" w:sz="4" w:space="1" w:color="auto"/>
        <w:right w:val="double" w:sz="4" w:space="4" w:color="auto"/>
      </w:pBdr>
      <w:jc w:val="center"/>
      <w:outlineLvl w:val="0"/>
    </w:pPr>
    <w:rPr>
      <w:rFonts w:ascii="Calibri" w:hAnsi="Calibri" w:cs="Calibri"/>
      <w:b/>
      <w:bCs/>
      <w:sz w:val="52"/>
      <w:szCs w:val="52"/>
    </w:rPr>
  </w:style>
  <w:style w:type="paragraph" w:styleId="Heading2">
    <w:name w:val="heading 2,Hat"/>
    <w:basedOn w:val="Normal"/>
    <w:next w:val="Normal"/>
    <w:uiPriority w:val="10"/>
    <w:unhideWhenUsed/>
    <w:qFormat/>
    <w:pPr>
      <w:keepNext/>
      <w:keepLines/>
      <w:spacing w:before="240" w:after="0"/>
      <w:pageBreakBefore/>
      <w:jc w:val="center"/>
      <w:outlineLvl w:val="1"/>
    </w:pPr>
    <w:rPr>
      <w:rFonts w:ascii="Calibri" w:hAnsi="Calibri" w:cs="Calibri"/>
      <w:b/>
      <w:bCs/>
      <w:sz w:val="44"/>
      <w:szCs w:val="44"/>
      <w:u w:val="double"/>
    </w:rPr>
  </w:style>
  <w:style w:type="paragraph" w:styleId="Heading3">
    <w:name w:val="heading 3,Block"/>
    <w:basedOn w:val="Normal"/>
    <w:next w:val="Normal"/>
    <w:uiPriority w:val="11"/>
    <w:unhideWhenUsed/>
    <w:qFormat/>
    <w:pPr>
      <w:keepNext/>
      <w:keepLines/>
      <w:spacing w:before="40" w:after="0"/>
      <w:jc w:val="center"/>
      <w:outlineLvl w:val="2"/>
    </w:pPr>
    <w:rPr>
      <w:rFonts w:ascii="Calibri" w:hAnsi="Calibri" w:cs="Calibri"/>
      <w:b/>
      <w:bCs/>
      <w:sz w:val="32"/>
      <w:szCs w:val="32"/>
    </w:rPr>
  </w:style>
  <w:style w:type="paragraph" w:styleId="Heading4">
    <w:name w:val="heading 4,Tag"/>
    <w:basedOn w:val="Normal"/>
    <w:next w:val="Normal"/>
    <w:uiPriority w:val="12"/>
    <w:unhideWhenUsed/>
    <w:qFormat/>
    <w:pPr>
      <w:keepNext/>
      <w:keepLines/>
      <w:spacing w:before="40" w:after="0"/>
      <w:outlineLvl w:val="3"/>
    </w:pPr>
    <w:rPr>
      <w:rFonts w:ascii="Calibri" w:hAnsi="Calibri" w:cs="Calibr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Style13ptBold">
    <w:name w:val="Style 13 pt Bold,Cite"/>
    <w:basedOn w:val="DefaultParagraphFont"/>
    <w:uiPriority w:val="1"/>
    <w:qFormat/>
    <w:rPr>
      <w:b/>
      <w:bCs/>
      <w:sz w:val="26"/>
    </w:rPr>
  </w:style>
  <w:style w:type="character" w:styleId="StyleUnderline">
    <w:name w:val="Style Underline,Underline"/>
    <w:basedOn w:val="DefaultParagraphFont"/>
    <w:uiPriority w:val="1"/>
    <w:qFormat/>
    <w:rPr>
      <w:b/>
      <w:bCs/>
      <w:sz w:val="22"/>
      <w:u w:val="single"/>
    </w:rPr>
  </w:style>
  <w:style w:type="character" w:styleId="Emphasis">
    <w:name w:val="Emphasis"/>
    <w:basedOn w:val="DefaultParagraphFont"/>
    <w:uiPriority w:val="7"/>
    <w:qFormat/>
    <w:rPr>
      <w:rFonts w:ascii="Calibri" w:hAnsi="Calibri"/>
      <w:b/>
      <w:i w:val="0"/>
      <w:iCs w:val="0"/>
      <w:sz w:val="22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Clash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1NC (test fixture)</dc:title>
  <dc:creator>Clash</dc:creator>
  <dcterms:created xsi:type="dcterms:W3CDTF">2026-09-25T19:49:27Z</dcterms:created>
  <dcterms:modified xsi:type="dcterms:W3CDTF">2026-09-25T19:49:27Z</dcterms:modified>
</cp:coreProperties>
</file>