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A69" w:rsidRPr="007272E6" w:rsidRDefault="007272E6" w:rsidP="007272E6">
      <w:pPr>
        <w:pStyle w:val="Titre"/>
        <w:rPr>
          <w:rFonts w:eastAsia="Times New Roman"/>
          <w:sz w:val="48"/>
          <w:lang w:eastAsia="fr-CH"/>
        </w:rPr>
      </w:pPr>
      <w:r w:rsidRPr="007272E6">
        <w:rPr>
          <w:rFonts w:eastAsia="Times New Roman"/>
          <w:sz w:val="48"/>
          <w:lang w:eastAsia="fr-CH"/>
        </w:rPr>
        <w:t>Dialogue robotique avec le robot Thymio II</w:t>
      </w:r>
    </w:p>
    <w:p w:rsidR="007272E6" w:rsidRDefault="007272E6" w:rsidP="00433F56">
      <w:pPr>
        <w:pStyle w:val="Sous-titre"/>
        <w:spacing w:after="120"/>
        <w:jc w:val="center"/>
        <w:rPr>
          <w:rFonts w:eastAsia="Times New Roman"/>
          <w:lang w:eastAsia="fr-CH"/>
        </w:rPr>
      </w:pPr>
      <w:r>
        <w:rPr>
          <w:rFonts w:eastAsia="Times New Roman"/>
          <w:lang w:eastAsia="fr-CH"/>
        </w:rPr>
        <w:t>Guide d'utilisation:</w:t>
      </w:r>
    </w:p>
    <w:p w:rsidR="001F623C" w:rsidRPr="001F623C" w:rsidRDefault="001F623C" w:rsidP="00433F56">
      <w:pPr>
        <w:spacing w:after="120"/>
        <w:rPr>
          <w:u w:val="single"/>
          <w:lang w:eastAsia="fr-CH"/>
        </w:rPr>
      </w:pPr>
      <w:r w:rsidRPr="001F623C">
        <w:rPr>
          <w:u w:val="single"/>
          <w:lang w:eastAsia="fr-CH"/>
        </w:rPr>
        <w:t>Le programme</w:t>
      </w:r>
    </w:p>
    <w:p w:rsidR="001F623C" w:rsidRDefault="001F623C" w:rsidP="00433F56">
      <w:pPr>
        <w:spacing w:after="0"/>
        <w:jc w:val="both"/>
        <w:rPr>
          <w:lang w:eastAsia="fr-CH"/>
        </w:rPr>
      </w:pPr>
      <w:r>
        <w:rPr>
          <w:lang w:eastAsia="fr-CH"/>
        </w:rPr>
        <w:t xml:space="preserve">Le programme de dialogue robotique avec le robot </w:t>
      </w:r>
      <w:r w:rsidR="00433F56">
        <w:rPr>
          <w:lang w:eastAsia="fr-CH"/>
        </w:rPr>
        <w:t>T</w:t>
      </w:r>
      <w:r>
        <w:rPr>
          <w:lang w:eastAsia="fr-CH"/>
        </w:rPr>
        <w:t>hymio II est un projet visant a essayez de simulez un dialogue humain entre deux robots de type Thymio 2</w:t>
      </w:r>
      <w:r w:rsidR="00433F56">
        <w:rPr>
          <w:lang w:eastAsia="fr-CH"/>
        </w:rPr>
        <w:t>. Il est constitué de plusieurs phase.</w:t>
      </w:r>
    </w:p>
    <w:p w:rsidR="00433F56" w:rsidRDefault="00433F56" w:rsidP="00433F56">
      <w:pPr>
        <w:spacing w:after="0"/>
        <w:jc w:val="both"/>
        <w:rPr>
          <w:lang w:eastAsia="fr-CH"/>
        </w:rPr>
      </w:pPr>
      <w:r>
        <w:rPr>
          <w:lang w:eastAsia="fr-CH"/>
        </w:rPr>
        <w:t>Dans un premier temps, il y a la préparation et le paramétrage du Thymio, ces deux phases, sont totalement a géré par l'utilisateur.</w:t>
      </w:r>
    </w:p>
    <w:p w:rsidR="001F623C" w:rsidRDefault="00433F56" w:rsidP="001F623C">
      <w:pPr>
        <w:spacing w:after="0"/>
        <w:rPr>
          <w:lang w:eastAsia="fr-CH"/>
        </w:rPr>
      </w:pPr>
      <w:r>
        <w:rPr>
          <w:lang w:eastAsia="fr-CH"/>
        </w:rPr>
        <w:t>Lorsque vous avez bien paramétrez vos robots et lancez le programme, le dialogue commencera. Dans un premier temps, les deux robots vont se cherchez mutuellement. lorsqu'il se seront trouvé, ils commenceront le dialogue a proprement parlé.</w:t>
      </w:r>
    </w:p>
    <w:p w:rsidR="001F623C" w:rsidRDefault="00433F56" w:rsidP="00433F56">
      <w:pPr>
        <w:spacing w:after="120"/>
        <w:rPr>
          <w:lang w:eastAsia="fr-CH"/>
        </w:rPr>
      </w:pPr>
      <w:r>
        <w:rPr>
          <w:lang w:eastAsia="fr-CH"/>
        </w:rPr>
        <w:t>Ce dialogue se compose de 4 phases. Dans un premier temps, les robots deviendront blancs et se saluerons. Après cela, un des deux (l'initiateur) deviendra bleu pour proposez une activité (ou jaune si il hésite sur quel activité proposé). Lorsque l'activité aura été proposé, le deuxième robots choisira si il accepte (couleur verte), refuse (rouge) ou si il hésite sur la réaction a avoir (jaune). En fonction de la réponse, les robots effectuerons ou non l'action proposée puis se séparerons pour se remettre en recherche.</w:t>
      </w:r>
    </w:p>
    <w:p w:rsidR="007272E6" w:rsidRPr="003E11AC" w:rsidRDefault="003E11AC" w:rsidP="00433F56">
      <w:pPr>
        <w:jc w:val="both"/>
        <w:rPr>
          <w:u w:val="single"/>
          <w:lang w:eastAsia="fr-CH"/>
        </w:rPr>
      </w:pPr>
      <w:r w:rsidRPr="003E11AC">
        <w:rPr>
          <w:u w:val="single"/>
          <w:lang w:eastAsia="fr-CH"/>
        </w:rPr>
        <w:t>Matériel nécessaire:</w:t>
      </w:r>
    </w:p>
    <w:p w:rsidR="003E11AC" w:rsidRDefault="003E11AC" w:rsidP="00433F56">
      <w:pPr>
        <w:spacing w:after="0"/>
        <w:jc w:val="both"/>
        <w:rPr>
          <w:lang w:eastAsia="fr-CH"/>
        </w:rPr>
      </w:pPr>
      <w:r>
        <w:rPr>
          <w:lang w:eastAsia="fr-CH"/>
        </w:rPr>
        <w:t>-2 Thymio II avec le firmware 7 installé et ayant le programme de dialogue robotique installé</w:t>
      </w:r>
    </w:p>
    <w:p w:rsidR="003E11AC" w:rsidRDefault="003E11AC" w:rsidP="00433F56">
      <w:pPr>
        <w:spacing w:after="120"/>
        <w:jc w:val="both"/>
        <w:rPr>
          <w:lang w:eastAsia="fr-CH"/>
        </w:rPr>
      </w:pPr>
      <w:r>
        <w:rPr>
          <w:lang w:eastAsia="fr-CH"/>
        </w:rPr>
        <w:t>-2 Carte micro SD avec les sons du dialogue robotique</w:t>
      </w:r>
    </w:p>
    <w:p w:rsidR="003E11AC" w:rsidRDefault="003E11AC" w:rsidP="00433F56">
      <w:pPr>
        <w:jc w:val="both"/>
        <w:rPr>
          <w:u w:val="single"/>
          <w:lang w:eastAsia="fr-CH"/>
        </w:rPr>
      </w:pPr>
      <w:r>
        <w:rPr>
          <w:u w:val="single"/>
          <w:lang w:eastAsia="fr-CH"/>
        </w:rPr>
        <w:t>Préparation des Thymio II</w:t>
      </w:r>
    </w:p>
    <w:p w:rsidR="003E11AC" w:rsidRDefault="003E11AC" w:rsidP="00433F56">
      <w:pPr>
        <w:jc w:val="both"/>
        <w:rPr>
          <w:lang w:eastAsia="fr-CH"/>
        </w:rPr>
      </w:pPr>
      <w:r>
        <w:rPr>
          <w:lang w:eastAsia="fr-CH"/>
        </w:rPr>
        <w:t>Dans un premier temps, prenez les deux carte micro SD et inséré les dans les emplacement adéquat a l'arrière des deux thymio</w:t>
      </w:r>
    </w:p>
    <w:p w:rsidR="003E11AC" w:rsidRDefault="00962320" w:rsidP="003E11AC">
      <w:pPr>
        <w:rPr>
          <w:lang w:eastAsia="fr-CH"/>
        </w:rPr>
      </w:pPr>
      <w:r>
        <w:rPr>
          <w:noProof/>
          <w:lang w:eastAsia="fr-CH"/>
        </w:rPr>
        <w:pict>
          <v:shapetype id="_x0000_t32" coordsize="21600,21600" o:spt="32" o:oned="t" path="m,l21600,21600e" filled="f">
            <v:path arrowok="t" fillok="f" o:connecttype="none"/>
            <o:lock v:ext="edit" shapetype="t"/>
          </v:shapetype>
          <v:shape id="_x0000_s1027" type="#_x0000_t32" style="position:absolute;margin-left:135.75pt;margin-top:37.35pt;width:155.3pt;height:14.2pt;flip:x;z-index:251658240" o:connectortype="straight">
            <v:stroke endarrow="block"/>
          </v:shape>
        </w:pict>
      </w:r>
      <w:r>
        <w:rPr>
          <w:noProof/>
          <w:lang w:eastAsia="fr-CH"/>
        </w:rPr>
        <w:pict>
          <v:shapetype id="_x0000_t202" coordsize="21600,21600" o:spt="202" path="m,l,21600r21600,l21600,xe">
            <v:stroke joinstyle="miter"/>
            <v:path gradientshapeok="t" o:connecttype="rect"/>
          </v:shapetype>
          <v:shape id="_x0000_s1028" type="#_x0000_t202" style="position:absolute;margin-left:291.05pt;margin-top:17.3pt;width:128.35pt;height:39.45pt;z-index:251659264">
            <v:textbox>
              <w:txbxContent>
                <w:p w:rsidR="003E11AC" w:rsidRDefault="003E11AC">
                  <w:pPr>
                    <w:rPr>
                      <w:lang w:eastAsia="fr-CH"/>
                    </w:rPr>
                  </w:pPr>
                  <w:r>
                    <w:rPr>
                      <w:lang w:eastAsia="fr-CH"/>
                    </w:rPr>
                    <w:t>Emplacement dédié a la carte mirco SD</w:t>
                  </w:r>
                </w:p>
              </w:txbxContent>
            </v:textbox>
          </v:shape>
        </w:pict>
      </w:r>
      <w:r w:rsidR="003E11AC">
        <w:rPr>
          <w:lang w:eastAsia="fr-CH"/>
        </w:rPr>
        <w:tab/>
      </w:r>
      <w:r w:rsidR="003E11AC">
        <w:rPr>
          <w:lang w:eastAsia="fr-CH"/>
        </w:rPr>
        <w:tab/>
      </w:r>
      <w:r w:rsidR="003E11AC">
        <w:rPr>
          <w:noProof/>
          <w:lang w:eastAsia="fr-CH"/>
        </w:rPr>
        <w:drawing>
          <wp:inline distT="0" distB="0" distL="0" distR="0">
            <wp:extent cx="1890919" cy="1418189"/>
            <wp:effectExtent l="57150" t="19050" r="109331" b="86761"/>
            <wp:docPr id="1" name="Image 0" descr="20140526_114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26_114819.jpg"/>
                    <pic:cNvPicPr/>
                  </pic:nvPicPr>
                  <pic:blipFill>
                    <a:blip r:embed="rId7" cstate="print"/>
                    <a:stretch>
                      <a:fillRect/>
                    </a:stretch>
                  </pic:blipFill>
                  <pic:spPr>
                    <a:xfrm>
                      <a:off x="0" y="0"/>
                      <a:ext cx="1893885" cy="1420413"/>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945AF" w:rsidRDefault="00962320" w:rsidP="00433F56">
      <w:pPr>
        <w:jc w:val="both"/>
        <w:rPr>
          <w:lang w:eastAsia="fr-CH"/>
        </w:rPr>
      </w:pPr>
      <w:r>
        <w:rPr>
          <w:noProof/>
          <w:lang w:eastAsia="fr-CH"/>
        </w:rPr>
        <w:pict>
          <v:shape id="_x0000_s1031" type="#_x0000_t202" style="position:absolute;left:0;text-align:left;margin-left:265.35pt;margin-top:51.5pt;width:105.8pt;height:23.8pt;z-index:251662336">
            <v:textbox>
              <w:txbxContent>
                <w:p w:rsidR="006945AF" w:rsidRDefault="006945AF">
                  <w:pPr>
                    <w:rPr>
                      <w:lang w:eastAsia="fr-CH"/>
                    </w:rPr>
                  </w:pPr>
                  <w:r>
                    <w:rPr>
                      <w:lang w:eastAsia="fr-CH"/>
                    </w:rPr>
                    <w:t>Bouton d'allumage</w:t>
                  </w:r>
                </w:p>
              </w:txbxContent>
            </v:textbox>
          </v:shape>
        </w:pict>
      </w:r>
      <w:r w:rsidR="006945AF">
        <w:rPr>
          <w:lang w:eastAsia="fr-CH"/>
        </w:rPr>
        <w:t>lorsque cela est fait allumé les deux thymio en appuyant longuement sur le bouton central plusieurs bips et que le voyant de batterie s'allume. Si l'un des voyants de batterie des robots n'affiche qu'une barre, veuillez recharger le thymio en question.</w:t>
      </w:r>
    </w:p>
    <w:p w:rsidR="006945AF" w:rsidRDefault="00962320" w:rsidP="003E11AC">
      <w:pPr>
        <w:rPr>
          <w:lang w:eastAsia="fr-CH"/>
        </w:rPr>
      </w:pPr>
      <w:r>
        <w:rPr>
          <w:noProof/>
          <w:lang w:eastAsia="fr-CH"/>
        </w:rPr>
        <w:pict>
          <v:shape id="_x0000_s1029" type="#_x0000_t32" style="position:absolute;margin-left:101.95pt;margin-top:8.3pt;width:163.4pt;height:26.3pt;flip:x;z-index:251660288" o:connectortype="straight">
            <v:stroke endarrow="block"/>
          </v:shape>
        </w:pict>
      </w:r>
      <w:r>
        <w:rPr>
          <w:noProof/>
          <w:lang w:eastAsia="fr-CH"/>
        </w:rPr>
        <w:pict>
          <v:shape id="_x0000_s1030" type="#_x0000_t32" style="position:absolute;margin-left:199pt;margin-top:34.6pt;width:66.35pt;height:25.65pt;flip:x y;z-index:251661312" o:connectortype="straight">
            <v:stroke endarrow="block"/>
          </v:shape>
        </w:pict>
      </w:r>
      <w:r>
        <w:rPr>
          <w:noProof/>
          <w:lang w:eastAsia="fr-CH"/>
        </w:rPr>
        <w:pict>
          <v:shape id="_x0000_s1032" type="#_x0000_t202" style="position:absolute;margin-left:265.35pt;margin-top:49pt;width:118.95pt;height:20.65pt;z-index:251663360">
            <v:textbox>
              <w:txbxContent>
                <w:p w:rsidR="006945AF" w:rsidRDefault="006945AF">
                  <w:r>
                    <w:t>indicateur de batterie</w:t>
                  </w:r>
                </w:p>
              </w:txbxContent>
            </v:textbox>
          </v:shape>
        </w:pict>
      </w:r>
      <w:r w:rsidR="006945AF">
        <w:rPr>
          <w:lang w:eastAsia="fr-CH"/>
        </w:rPr>
        <w:tab/>
      </w:r>
      <w:r w:rsidR="006945AF">
        <w:rPr>
          <w:lang w:eastAsia="fr-CH"/>
        </w:rPr>
        <w:tab/>
      </w:r>
      <w:r w:rsidR="006945AF">
        <w:rPr>
          <w:noProof/>
          <w:lang w:eastAsia="fr-CH"/>
        </w:rPr>
        <w:drawing>
          <wp:inline distT="0" distB="0" distL="0" distR="0">
            <wp:extent cx="1653540" cy="942975"/>
            <wp:effectExtent l="57150" t="19050" r="118110" b="104775"/>
            <wp:docPr id="3" name="Image 1" descr="20140526_113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26_113123.jpg"/>
                    <pic:cNvPicPr/>
                  </pic:nvPicPr>
                  <pic:blipFill>
                    <a:blip r:embed="rId8" cstate="print"/>
                    <a:srcRect l="29781" t="24464" b="22184"/>
                    <a:stretch>
                      <a:fillRect/>
                    </a:stretch>
                  </pic:blipFill>
                  <pic:spPr>
                    <a:xfrm>
                      <a:off x="0" y="0"/>
                      <a:ext cx="1653540" cy="942975"/>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945AF" w:rsidRPr="00CE60FD" w:rsidRDefault="00CE60FD" w:rsidP="003E11AC">
      <w:pPr>
        <w:rPr>
          <w:u w:val="single"/>
          <w:lang w:eastAsia="fr-CH"/>
        </w:rPr>
      </w:pPr>
      <w:r w:rsidRPr="00CE60FD">
        <w:rPr>
          <w:u w:val="single"/>
          <w:lang w:eastAsia="fr-CH"/>
        </w:rPr>
        <w:lastRenderedPageBreak/>
        <w:t>Paramétrage</w:t>
      </w:r>
    </w:p>
    <w:p w:rsidR="006945AF" w:rsidRDefault="00CE60FD" w:rsidP="00433F56">
      <w:pPr>
        <w:spacing w:after="0"/>
        <w:jc w:val="both"/>
        <w:rPr>
          <w:lang w:eastAsia="fr-CH"/>
        </w:rPr>
      </w:pPr>
      <w:r>
        <w:rPr>
          <w:lang w:eastAsia="fr-CH"/>
        </w:rPr>
        <w:t>Grâce au touche fléchée gauche et droite, il est possible de contrôler le son et les lumières du projet</w:t>
      </w:r>
    </w:p>
    <w:p w:rsidR="00E546F0" w:rsidRDefault="00CE60FD" w:rsidP="00433F56">
      <w:pPr>
        <w:spacing w:after="0"/>
        <w:jc w:val="both"/>
        <w:rPr>
          <w:lang w:eastAsia="fr-CH"/>
        </w:rPr>
      </w:pPr>
      <w:r>
        <w:rPr>
          <w:lang w:eastAsia="fr-CH"/>
        </w:rPr>
        <w:t>Le bouton gauche permet de géré les lumières. Si la led avant témoin est allumée les lumières son activée.</w:t>
      </w:r>
    </w:p>
    <w:p w:rsidR="00CE60FD" w:rsidRDefault="00CE60FD" w:rsidP="00433F56">
      <w:pPr>
        <w:spacing w:after="0"/>
        <w:jc w:val="both"/>
        <w:rPr>
          <w:lang w:eastAsia="fr-CH"/>
        </w:rPr>
      </w:pPr>
      <w:r>
        <w:rPr>
          <w:lang w:eastAsia="fr-CH"/>
        </w:rPr>
        <w:t>Le bouton droite permet de géré les son. Lorsque vous appuierez le dit bouton, vous entendrez un bip lorsque les son sont actif.</w:t>
      </w:r>
    </w:p>
    <w:p w:rsidR="00E546F0" w:rsidRDefault="00962320" w:rsidP="00E546F0">
      <w:pPr>
        <w:spacing w:after="0"/>
        <w:rPr>
          <w:lang w:eastAsia="fr-CH"/>
        </w:rPr>
      </w:pPr>
      <w:r>
        <w:rPr>
          <w:noProof/>
          <w:lang w:eastAsia="fr-CH"/>
        </w:rPr>
        <w:pict>
          <v:shape id="_x0000_s1035" type="#_x0000_t32" style="position:absolute;margin-left:166.45pt;margin-top:77.6pt;width:62.6pt;height:.05pt;flip:x;z-index:251666432" o:connectortype="straight">
            <v:stroke endarrow="block"/>
          </v:shape>
        </w:pict>
      </w:r>
      <w:r>
        <w:rPr>
          <w:noProof/>
          <w:lang w:eastAsia="fr-CH"/>
        </w:rPr>
        <w:pict>
          <v:shape id="_x0000_s1038" type="#_x0000_t202" style="position:absolute;margin-left:229.05pt;margin-top:68.2pt;width:148.4pt;height:20.05pt;z-index:251669504">
            <v:textbox>
              <w:txbxContent>
                <w:p w:rsidR="00E546F0" w:rsidRDefault="00E546F0" w:rsidP="00E546F0">
                  <w:r>
                    <w:t>Bouton d'activation des sons</w:t>
                  </w:r>
                </w:p>
                <w:p w:rsidR="00E546F0" w:rsidRDefault="00E546F0"/>
              </w:txbxContent>
            </v:textbox>
          </v:shape>
        </w:pict>
      </w:r>
      <w:r>
        <w:rPr>
          <w:noProof/>
          <w:lang w:eastAsia="fr-CH"/>
        </w:rPr>
        <w:pict>
          <v:shape id="_x0000_s1037" type="#_x0000_t202" style="position:absolute;margin-left:229.05pt;margin-top:40.65pt;width:165.9pt;height:18.15pt;z-index:251668480">
            <v:textbox>
              <w:txbxContent>
                <w:p w:rsidR="00E546F0" w:rsidRDefault="00E546F0">
                  <w:r>
                    <w:t>Bouton d'activation des lumières</w:t>
                  </w:r>
                </w:p>
              </w:txbxContent>
            </v:textbox>
          </v:shape>
        </w:pict>
      </w:r>
      <w:r>
        <w:rPr>
          <w:noProof/>
          <w:lang w:eastAsia="fr-CH"/>
        </w:rPr>
        <w:pict>
          <v:shape id="_x0000_s1036" type="#_x0000_t202" style="position:absolute;margin-left:229.05pt;margin-top:11.25pt;width:106.45pt;height:20pt;z-index:251667456">
            <v:textbox style="mso-next-textbox:#_x0000_s1036">
              <w:txbxContent>
                <w:p w:rsidR="00E546F0" w:rsidRDefault="00E546F0">
                  <w:r>
                    <w:t>Lumière led témoin</w:t>
                  </w:r>
                </w:p>
              </w:txbxContent>
            </v:textbox>
          </v:shape>
        </w:pict>
      </w:r>
      <w:r>
        <w:rPr>
          <w:noProof/>
          <w:lang w:eastAsia="fr-CH"/>
        </w:rPr>
        <w:pict>
          <v:shape id="_x0000_s1033" type="#_x0000_t32" style="position:absolute;margin-left:96.3pt;margin-top:50.7pt;width:132.75pt;height:23.15pt;flip:x;z-index:251664384" o:connectortype="straight">
            <v:stroke endarrow="block"/>
          </v:shape>
        </w:pict>
      </w:r>
      <w:r>
        <w:rPr>
          <w:noProof/>
          <w:lang w:eastAsia="fr-CH"/>
        </w:rPr>
        <w:pict>
          <v:shape id="_x0000_s1034" type="#_x0000_t32" style="position:absolute;margin-left:130.1pt;margin-top:20.65pt;width:98.95pt;height:1.85pt;flip:x;z-index:251665408" o:connectortype="straight">
            <v:stroke endarrow="block"/>
          </v:shape>
        </w:pict>
      </w:r>
      <w:r w:rsidR="00E546F0">
        <w:rPr>
          <w:lang w:eastAsia="fr-CH"/>
        </w:rPr>
        <w:tab/>
      </w:r>
      <w:r w:rsidR="00E546F0">
        <w:rPr>
          <w:lang w:eastAsia="fr-CH"/>
        </w:rPr>
        <w:tab/>
      </w:r>
      <w:r w:rsidR="00E546F0">
        <w:rPr>
          <w:noProof/>
          <w:lang w:eastAsia="fr-CH"/>
        </w:rPr>
        <w:drawing>
          <wp:inline distT="0" distB="0" distL="0" distR="0">
            <wp:extent cx="990497" cy="1407183"/>
            <wp:effectExtent l="266700" t="0" r="323953" b="0"/>
            <wp:docPr id="12" name="Image 6" descr="20140526_113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26_113123.jpg"/>
                    <pic:cNvPicPr/>
                  </pic:nvPicPr>
                  <pic:blipFill>
                    <a:blip r:embed="rId9" cstate="print"/>
                    <a:srcRect l="1568" r="45517"/>
                    <a:stretch>
                      <a:fillRect/>
                    </a:stretch>
                  </pic:blipFill>
                  <pic:spPr>
                    <a:xfrm rot="5400000">
                      <a:off x="0" y="0"/>
                      <a:ext cx="990497" cy="1407183"/>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DE7146" w:rsidRDefault="00E546F0" w:rsidP="00433F56">
      <w:pPr>
        <w:spacing w:after="0"/>
        <w:jc w:val="both"/>
        <w:rPr>
          <w:lang w:eastAsia="fr-CH"/>
        </w:rPr>
      </w:pPr>
      <w:r>
        <w:rPr>
          <w:lang w:eastAsia="fr-CH"/>
        </w:rPr>
        <w:t>Lorsque vous avez selectionner vos paramètre de lumière et de son, vous pouvez grâce a la flèche avant</w:t>
      </w:r>
      <w:r w:rsidR="00DE7146">
        <w:rPr>
          <w:lang w:eastAsia="fr-CH"/>
        </w:rPr>
        <w:t xml:space="preserve"> lancé le programme. sur les deux thymio.</w:t>
      </w:r>
    </w:p>
    <w:p w:rsidR="00DE7146" w:rsidRDefault="00DE7146" w:rsidP="00433F56">
      <w:pPr>
        <w:spacing w:after="0"/>
        <w:jc w:val="both"/>
        <w:rPr>
          <w:lang w:eastAsia="fr-CH"/>
        </w:rPr>
      </w:pPr>
    </w:p>
    <w:p w:rsidR="00DE7146" w:rsidRDefault="00DE7146" w:rsidP="00433F56">
      <w:pPr>
        <w:spacing w:after="0"/>
        <w:jc w:val="both"/>
        <w:rPr>
          <w:lang w:eastAsia="fr-CH"/>
        </w:rPr>
      </w:pPr>
      <w:r>
        <w:rPr>
          <w:lang w:eastAsia="fr-CH"/>
        </w:rPr>
        <w:t>A partir de ce moment, vous pouvez laisser le programme s'effectuez. Néanmoins, si besoin, certaine touche sont a votre disposition pour modifiez le programme.</w:t>
      </w:r>
    </w:p>
    <w:p w:rsidR="006F0A12" w:rsidRDefault="006F0A12" w:rsidP="00433F56">
      <w:pPr>
        <w:spacing w:after="0"/>
        <w:jc w:val="both"/>
        <w:rPr>
          <w:lang w:eastAsia="fr-CH"/>
        </w:rPr>
      </w:pPr>
    </w:p>
    <w:p w:rsidR="00DE7146" w:rsidRDefault="00DE7146" w:rsidP="00433F56">
      <w:pPr>
        <w:spacing w:after="0"/>
        <w:jc w:val="both"/>
        <w:rPr>
          <w:lang w:eastAsia="fr-CH"/>
        </w:rPr>
      </w:pPr>
      <w:r>
        <w:rPr>
          <w:lang w:eastAsia="fr-CH"/>
        </w:rPr>
        <w:t>Le bouton central vous permet de mettre en pause le programme. Il prendra alors en mémoire la valeur de l'état qu'il a actuellement et le recommencera a cet état lorsque vous rappuyer sur le bouton pause.</w:t>
      </w:r>
    </w:p>
    <w:p w:rsidR="00DE7146" w:rsidRDefault="00DE7146" w:rsidP="00433F56">
      <w:pPr>
        <w:spacing w:after="0"/>
        <w:jc w:val="both"/>
        <w:rPr>
          <w:lang w:eastAsia="fr-CH"/>
        </w:rPr>
      </w:pPr>
      <w:r>
        <w:rPr>
          <w:lang w:eastAsia="fr-CH"/>
        </w:rPr>
        <w:t>La flèche en bas vous permet de reset le programme comme avant que vous aillez appuyez le bouton haut. Attention quand même il ne resettera pas le compteur de rencontre, le seul moyen de le reset est d'éteindre et de rallumer le thymio. Cette fonction vous permet entre autre, de débuggé le programme si par hasard une erreur se produit. Il permet aussi de stoppez les thymio lorsque vous souhaitez arrêter d'utiliser le programme.</w:t>
      </w:r>
    </w:p>
    <w:p w:rsidR="006F0A12" w:rsidRDefault="006F0A12" w:rsidP="00433F56">
      <w:pPr>
        <w:spacing w:after="0"/>
        <w:jc w:val="both"/>
        <w:rPr>
          <w:lang w:eastAsia="fr-CH"/>
        </w:rPr>
      </w:pPr>
      <w:r>
        <w:rPr>
          <w:lang w:eastAsia="fr-CH"/>
        </w:rPr>
        <w:t>Il est a noté que il est possible a tout moment de changé les paramètre de lumière et de son défini précédemment, de la même manière que vous les avez setter</w:t>
      </w:r>
    </w:p>
    <w:p w:rsidR="006F0A12" w:rsidRDefault="006F0A12" w:rsidP="00433F56">
      <w:pPr>
        <w:spacing w:after="0"/>
        <w:jc w:val="both"/>
        <w:rPr>
          <w:lang w:eastAsia="fr-CH"/>
        </w:rPr>
      </w:pPr>
    </w:p>
    <w:p w:rsidR="006F0A12" w:rsidRDefault="00962320" w:rsidP="00E546F0">
      <w:pPr>
        <w:spacing w:after="0"/>
        <w:rPr>
          <w:lang w:eastAsia="fr-CH"/>
        </w:rPr>
      </w:pPr>
      <w:r>
        <w:rPr>
          <w:noProof/>
          <w:lang w:eastAsia="fr-CH"/>
        </w:rPr>
        <w:pict>
          <v:shape id="_x0000_s1041" type="#_x0000_t32" style="position:absolute;margin-left:169.55pt;margin-top:126.2pt;width:105.85pt;height:5.65pt;flip:x y;z-index:251672576" o:connectortype="straight">
            <v:stroke endarrow="block"/>
          </v:shape>
        </w:pict>
      </w:r>
      <w:r>
        <w:rPr>
          <w:noProof/>
          <w:lang w:eastAsia="fr-CH"/>
        </w:rPr>
        <w:pict>
          <v:shape id="_x0000_s1044" type="#_x0000_t202" style="position:absolute;margin-left:275.4pt;margin-top:114.3pt;width:137.05pt;height:36.3pt;z-index:251675648">
            <v:textbox>
              <w:txbxContent>
                <w:p w:rsidR="006F0A12" w:rsidRDefault="006F0A12">
                  <w:r>
                    <w:t>Bouton reset (ne reset pas la mémoire)</w:t>
                  </w:r>
                </w:p>
              </w:txbxContent>
            </v:textbox>
          </v:shape>
        </w:pict>
      </w:r>
      <w:r>
        <w:rPr>
          <w:noProof/>
          <w:lang w:eastAsia="fr-CH"/>
        </w:rPr>
        <w:pict>
          <v:shape id="_x0000_s1043" type="#_x0000_t202" style="position:absolute;margin-left:275.4pt;margin-top:67.35pt;width:133.3pt;height:25.05pt;z-index:251674624">
            <v:textbox>
              <w:txbxContent>
                <w:p w:rsidR="006F0A12" w:rsidRDefault="006F0A12">
                  <w:r>
                    <w:t>Bouton pause / unpause</w:t>
                  </w:r>
                </w:p>
              </w:txbxContent>
            </v:textbox>
          </v:shape>
        </w:pict>
      </w:r>
      <w:r>
        <w:rPr>
          <w:noProof/>
          <w:lang w:eastAsia="fr-CH"/>
        </w:rPr>
        <w:pict>
          <v:shape id="_x0000_s1040" type="#_x0000_t32" style="position:absolute;margin-left:169.55pt;margin-top:79.25pt;width:105.85pt;height:0;flip:x;z-index:251671552" o:connectortype="straight">
            <v:stroke endarrow="block"/>
          </v:shape>
        </w:pict>
      </w:r>
      <w:r>
        <w:rPr>
          <w:noProof/>
          <w:lang w:eastAsia="fr-CH"/>
        </w:rPr>
        <w:pict>
          <v:shape id="_x0000_s1039" type="#_x0000_t32" style="position:absolute;margin-left:169.55pt;margin-top:29.8pt;width:105.85pt;height:6.85pt;flip:x;z-index:251670528" o:connectortype="straight">
            <v:stroke endarrow="block"/>
          </v:shape>
        </w:pict>
      </w:r>
      <w:r>
        <w:rPr>
          <w:noProof/>
          <w:lang w:eastAsia="fr-CH"/>
        </w:rPr>
        <w:pict>
          <v:shape id="_x0000_s1042" type="#_x0000_t202" style="position:absolute;margin-left:275.4pt;margin-top:9.75pt;width:142.1pt;height:38.8pt;z-index:251673600">
            <v:textbox>
              <w:txbxContent>
                <w:p w:rsidR="006F0A12" w:rsidRDefault="006F0A12">
                  <w:r>
                    <w:t>Lance le programme ou le relance après un reset</w:t>
                  </w:r>
                </w:p>
              </w:txbxContent>
            </v:textbox>
          </v:shape>
        </w:pict>
      </w:r>
      <w:r w:rsidR="006F0A12">
        <w:rPr>
          <w:lang w:eastAsia="fr-CH"/>
        </w:rPr>
        <w:tab/>
      </w:r>
      <w:r w:rsidR="006F0A12">
        <w:rPr>
          <w:lang w:eastAsia="fr-CH"/>
        </w:rPr>
        <w:tab/>
      </w:r>
      <w:r w:rsidR="006F0A12">
        <w:rPr>
          <w:noProof/>
          <w:lang w:eastAsia="fr-CH"/>
        </w:rPr>
        <w:drawing>
          <wp:inline distT="0" distB="0" distL="0" distR="0">
            <wp:extent cx="2451942" cy="1837793"/>
            <wp:effectExtent l="0" t="323850" r="0" b="410107"/>
            <wp:docPr id="15" name="Image 14" descr="20140526_113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26_113123.jpg"/>
                    <pic:cNvPicPr/>
                  </pic:nvPicPr>
                  <pic:blipFill>
                    <a:blip r:embed="rId10" cstate="print"/>
                    <a:stretch>
                      <a:fillRect/>
                    </a:stretch>
                  </pic:blipFill>
                  <pic:spPr>
                    <a:xfrm rot="5400000">
                      <a:off x="0" y="0"/>
                      <a:ext cx="2453494" cy="1838956"/>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F623C" w:rsidRPr="001F623C" w:rsidRDefault="001F623C">
      <w:pPr>
        <w:spacing w:after="0"/>
        <w:rPr>
          <w:u w:val="single"/>
          <w:lang w:eastAsia="fr-CH"/>
        </w:rPr>
      </w:pPr>
    </w:p>
    <w:sectPr w:rsidR="001F623C" w:rsidRPr="001F623C" w:rsidSect="00C978F2">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17A" w:rsidRDefault="0084117A" w:rsidP="00CE60FD">
      <w:pPr>
        <w:spacing w:after="0" w:line="240" w:lineRule="auto"/>
      </w:pPr>
      <w:r>
        <w:separator/>
      </w:r>
    </w:p>
  </w:endnote>
  <w:endnote w:type="continuationSeparator" w:id="1">
    <w:p w:rsidR="0084117A" w:rsidRDefault="0084117A" w:rsidP="00CE60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217" w:rsidRDefault="00C901CE" w:rsidP="00C901CE">
    <w:pPr>
      <w:pStyle w:val="Pieddepage"/>
      <w:pBdr>
        <w:top w:val="single" w:sz="4" w:space="1" w:color="auto"/>
      </w:pBdr>
    </w:pPr>
    <w:r>
      <w:t>Mai 2014</w:t>
    </w:r>
    <w:r>
      <w:tab/>
    </w:r>
    <w:fldSimple w:instr=" PAGE   \* MERGEFORMAT ">
      <w:r w:rsidR="00D660C5">
        <w:rPr>
          <w:noProof/>
        </w:rPr>
        <w:t>1</w:t>
      </w:r>
    </w:fldSimple>
    <w:r>
      <w:t>/</w:t>
    </w:r>
    <w:fldSimple w:instr=" NUMPAGES   \* MERGEFORMAT ">
      <w:r w:rsidR="00D660C5">
        <w:rPr>
          <w:noProof/>
        </w:rPr>
        <w:t>2</w:t>
      </w:r>
    </w:fldSimple>
    <w:r>
      <w:tab/>
      <w:t>Nicolas Mojon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17A" w:rsidRDefault="0084117A" w:rsidP="00CE60FD">
      <w:pPr>
        <w:spacing w:after="0" w:line="240" w:lineRule="auto"/>
      </w:pPr>
      <w:r>
        <w:separator/>
      </w:r>
    </w:p>
  </w:footnote>
  <w:footnote w:type="continuationSeparator" w:id="1">
    <w:p w:rsidR="0084117A" w:rsidRDefault="0084117A" w:rsidP="00CE60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2518"/>
      <w:gridCol w:w="4253"/>
      <w:gridCol w:w="2441"/>
    </w:tblGrid>
    <w:tr w:rsidR="00EE0217" w:rsidRPr="00C901CE" w:rsidTr="00C901CE">
      <w:tc>
        <w:tcPr>
          <w:tcW w:w="2518" w:type="dxa"/>
        </w:tcPr>
        <w:p w:rsidR="00EE0217" w:rsidRPr="00C901CE" w:rsidRDefault="00EE0217" w:rsidP="00C901CE">
          <w:pPr>
            <w:pStyle w:val="Pieddepage"/>
          </w:pPr>
          <w:r w:rsidRPr="00C901CE">
            <w:t>Guide d'utilisation:</w:t>
          </w:r>
        </w:p>
      </w:tc>
      <w:tc>
        <w:tcPr>
          <w:tcW w:w="4253" w:type="dxa"/>
        </w:tcPr>
        <w:p w:rsidR="00EE0217" w:rsidRDefault="00EE0217" w:rsidP="00C901CE">
          <w:pPr>
            <w:pStyle w:val="Pieddepage"/>
            <w:jc w:val="center"/>
          </w:pPr>
          <w:r w:rsidRPr="00C901CE">
            <w:t>Dialogue robotique avec le robot Thymio II</w:t>
          </w:r>
        </w:p>
      </w:tc>
      <w:tc>
        <w:tcPr>
          <w:tcW w:w="2441" w:type="dxa"/>
        </w:tcPr>
        <w:p w:rsidR="00EE0217" w:rsidRDefault="00EE0217" w:rsidP="00C901CE">
          <w:pPr>
            <w:pStyle w:val="Pieddepage"/>
            <w:jc w:val="right"/>
          </w:pPr>
          <w:r w:rsidRPr="00C901CE">
            <w:t>TPI</w:t>
          </w:r>
        </w:p>
      </w:tc>
    </w:tr>
  </w:tbl>
  <w:p w:rsidR="001521C3" w:rsidRPr="00EE0217" w:rsidRDefault="001521C3" w:rsidP="00EE0217">
    <w:pPr>
      <w:pStyle w:val="En-tte"/>
      <w:rPr>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EF7A69"/>
    <w:rsid w:val="001521C3"/>
    <w:rsid w:val="001F623C"/>
    <w:rsid w:val="003E11AC"/>
    <w:rsid w:val="00417D39"/>
    <w:rsid w:val="00433F56"/>
    <w:rsid w:val="00661FA7"/>
    <w:rsid w:val="006945AF"/>
    <w:rsid w:val="006A165B"/>
    <w:rsid w:val="006F0A12"/>
    <w:rsid w:val="007272E6"/>
    <w:rsid w:val="0084117A"/>
    <w:rsid w:val="00962320"/>
    <w:rsid w:val="00C901CE"/>
    <w:rsid w:val="00C978F2"/>
    <w:rsid w:val="00CE60FD"/>
    <w:rsid w:val="00D660C5"/>
    <w:rsid w:val="00DE7146"/>
    <w:rsid w:val="00E546F0"/>
    <w:rsid w:val="00EE0217"/>
    <w:rsid w:val="00EF7A69"/>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_x0000_s1040"/>
        <o:r id="V:Rule11" type="connector" idref="#_x0000_s1029"/>
        <o:r id="V:Rule12" type="connector" idref="#_x0000_s1027"/>
        <o:r id="V:Rule13" type="connector" idref="#_x0000_s1033"/>
        <o:r id="V:Rule14" type="connector" idref="#_x0000_s1041"/>
        <o:r id="V:Rule15" type="connector" idref="#_x0000_s1034"/>
        <o:r id="V:Rule16" type="connector" idref="#_x0000_s1030"/>
        <o:r id="V:Rule17" type="connector" idref="#_x0000_s1039"/>
        <o:r id="V:Rule1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8F2"/>
  </w:style>
  <w:style w:type="paragraph" w:styleId="Titre1">
    <w:name w:val="heading 1"/>
    <w:basedOn w:val="Normal"/>
    <w:next w:val="Normal"/>
    <w:link w:val="Titre1Car"/>
    <w:uiPriority w:val="9"/>
    <w:qFormat/>
    <w:rsid w:val="007272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F7A6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1Car">
    <w:name w:val="Titre 1 Car"/>
    <w:basedOn w:val="Policepardfaut"/>
    <w:link w:val="Titre1"/>
    <w:uiPriority w:val="9"/>
    <w:rsid w:val="007272E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272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272E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272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272E6"/>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3E11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1AC"/>
    <w:rPr>
      <w:rFonts w:ascii="Tahoma" w:hAnsi="Tahoma" w:cs="Tahoma"/>
      <w:sz w:val="16"/>
      <w:szCs w:val="16"/>
    </w:rPr>
  </w:style>
  <w:style w:type="paragraph" w:styleId="En-tte">
    <w:name w:val="header"/>
    <w:basedOn w:val="Normal"/>
    <w:link w:val="En-tteCar"/>
    <w:uiPriority w:val="99"/>
    <w:unhideWhenUsed/>
    <w:rsid w:val="00CE60FD"/>
    <w:pPr>
      <w:tabs>
        <w:tab w:val="center" w:pos="4536"/>
        <w:tab w:val="right" w:pos="9072"/>
      </w:tabs>
      <w:spacing w:after="0" w:line="240" w:lineRule="auto"/>
    </w:pPr>
  </w:style>
  <w:style w:type="character" w:customStyle="1" w:styleId="En-tteCar">
    <w:name w:val="En-tête Car"/>
    <w:basedOn w:val="Policepardfaut"/>
    <w:link w:val="En-tte"/>
    <w:uiPriority w:val="99"/>
    <w:rsid w:val="00CE60FD"/>
  </w:style>
  <w:style w:type="paragraph" w:styleId="Pieddepage">
    <w:name w:val="footer"/>
    <w:basedOn w:val="Normal"/>
    <w:link w:val="PieddepageCar"/>
    <w:unhideWhenUsed/>
    <w:rsid w:val="00CE60F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E60FD"/>
  </w:style>
  <w:style w:type="paragraph" w:styleId="TM5">
    <w:name w:val="toc 5"/>
    <w:basedOn w:val="Normal"/>
    <w:next w:val="Normal"/>
    <w:autoRedefine/>
    <w:semiHidden/>
    <w:rsid w:val="00EE0217"/>
    <w:pPr>
      <w:spacing w:after="0" w:line="240" w:lineRule="auto"/>
      <w:ind w:left="800"/>
    </w:pPr>
    <w:rPr>
      <w:rFonts w:ascii="Arial" w:eastAsia="Times New Roman" w:hAnsi="Arial" w:cs="Times New Roman"/>
      <w:sz w:val="24"/>
      <w:szCs w:val="20"/>
      <w:lang w:val="fr-FR" w:eastAsia="fr-FR"/>
    </w:rPr>
  </w:style>
  <w:style w:type="character" w:styleId="Numrodepage">
    <w:name w:val="page number"/>
    <w:basedOn w:val="Policepardfaut"/>
    <w:rsid w:val="00EE0217"/>
  </w:style>
  <w:style w:type="table" w:styleId="Grilledutableau">
    <w:name w:val="Table Grid"/>
    <w:basedOn w:val="TableauNormal"/>
    <w:uiPriority w:val="59"/>
    <w:rsid w:val="00EE02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253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86820-3BF1-4676-B670-0F8C8AA4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496</Words>
  <Characters>2733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TPI</dc:creator>
  <cp:lastModifiedBy>TPI</cp:lastModifiedBy>
  <cp:revision>10</cp:revision>
  <dcterms:created xsi:type="dcterms:W3CDTF">2014-05-26T09:18:00Z</dcterms:created>
  <dcterms:modified xsi:type="dcterms:W3CDTF">2014-05-26T13:39:00Z</dcterms:modified>
</cp:coreProperties>
</file>