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12" w:lineRule="auto"/>
      </w:pPr>
      <w:r>
        <w:rPr>
          <w:rFonts w:ascii="Times New Roman" w:hAnsi="Times New Roman" w:eastAsia="仿宋"/>
          <w:b/>
          <w:sz w:val="32"/>
        </w:rPr>
        <w:t>案件分析报告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案件编号：CASE-20260731-001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调查员：调查员-测试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数据版本：sqd-200k-v1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状态：COMPLETED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创建时间：2026-08-01T17:01:46.5873886Z</w:t>
      </w:r>
    </w:p>
    <w:p>
      <w:pPr>
        <w:spacing w:after="120" w:line="312" w:lineRule="auto"/>
      </w:pPr>
      <w:r>
        <w:rPr>
          <w:rFonts w:ascii="Times New Roman" w:hAnsi="Times New Roman" w:eastAsia="仿宋"/>
          <w:b/>
          <w:sz w:val="24"/>
        </w:rPr>
        <w:t>目标地址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0x278d858f05b94576c1e6f73285886876ff6ef8d2</w:t>
      </w:r>
    </w:p>
    <w:p>
      <w:pPr>
        <w:spacing w:after="120" w:line="312" w:lineRule="auto"/>
      </w:pPr>
      <w:r>
        <w:rPr>
          <w:rFonts w:ascii="Times New Roman" w:hAnsi="Times New Roman" w:eastAsia="仿宋"/>
          <w:b/>
          <w:sz w:val="24"/>
        </w:rPr>
        <w:t>目标地址分析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地址 0x238a358808379702088667322f80ac48bad5e6c4：类型 活跃交易方，交易 1662 笔，流入 1519 / 流出 1758，Token 69 个，风险 72.01（高）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地址 0x278d858f05b94576c1e6f73285886876ff6ef8d2：类型 活跃交易方，交易 802 笔，流入 776 / 流出 783，Token 116 个，风险 72.01（高）</w:t>
      </w:r>
    </w:p>
    <w:p>
      <w:pPr>
        <w:spacing w:after="120" w:line="312" w:lineRule="auto"/>
      </w:pPr>
      <w:r>
        <w:rPr>
          <w:rFonts w:ascii="Times New Roman" w:hAnsi="Times New Roman" w:eastAsia="仿宋"/>
          <w:b/>
          <w:sz w:val="24"/>
        </w:rPr>
        <w:t>资金流向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追踪路径 100 条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0x000be4f551e7440b93ce9d2cc11979879147e19f（1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0x278d858f05b94576c1e6f73285886876ff6ef8d2（1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0xfaa0a5c1a1aec3ee75a9963abc187fdc5455e5af（1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0x62ccef0b4545166f721caa9fee13c1d3767e27dc（1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0xfeed001448bed378402ed4b73c2a4ce98ffd0ba9（1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0xd36b6d646ac6e23672e9eedec558164c7f2d6deb（1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0xba85435b435c487be4b49cbe63ab8ea12669ec75（1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0xfcbe6840aa7702646bc94cbe1d8bf65e5532e0d5（1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0x78306b9a6834b5e78c53fa819ac4fb6bb4e8ff3d（1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0xca8d055d625f5fc29d0891ac0b67c687ed450f51（1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0x462e1c9eab620e0bd10be0a30ba2fd3f019d87e4（1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0x031942f26a094be40414f442a2f1295e3a5c1680（1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0x4b3ed57520eff9f87631b9851f3ad81cc9473596（1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0xe94753d6e067d25e0dbe90ed782b7ea21475fc48（1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0x47bdf280e1b247583e11a06f7d7b17b49af5d560（1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0x9580b2e4981433728b236da116b200d172dcf76a（1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0x4c1079f1c260da4444a002aaabcecc7fdc2b2b73（1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0x4812bb70890de10615b2dab53f1564ac5a07922c（1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0xd850594170e9faa8cd0012f04b0d754a386b0705（1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0x238a358808379702088667322f80ac48bad5e6c4 → 0x74412055bd5bba8bf6dbdb5090417338e3757ab8（1 跳）</w:t>
      </w:r>
    </w:p>
    <w:p>
      <w:pPr>
        <w:spacing w:after="120" w:line="312" w:lineRule="auto"/>
      </w:pPr>
      <w:r>
        <w:rPr>
          <w:rFonts w:ascii="Times New Roman" w:hAnsi="Times New Roman" w:eastAsia="仿宋"/>
          <w:b/>
          <w:sz w:val="24"/>
        </w:rPr>
        <w:t>公共资金来源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0x16b9a82891338f9ba80e2d6970fdda79d1eb0dae（覆盖 2 个目标）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0x28e2ea090877bf75740558f6bfb36a5ffee9e9df（覆盖 2 个目标）</w:t>
      </w:r>
    </w:p>
    <w:p>
      <w:pPr>
        <w:spacing w:after="120" w:line="312" w:lineRule="auto"/>
      </w:pPr>
      <w:r>
        <w:rPr>
          <w:rFonts w:ascii="Times New Roman" w:hAnsi="Times New Roman" w:eastAsia="仿宋"/>
          <w:b/>
          <w:sz w:val="24"/>
        </w:rPr>
        <w:t>公共去向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0x16b9a82891338f9ba80e2d6970fdda79d1eb0dae（覆盖 2 个目标）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0x28e2ea090877bf75740558f6bfb36a5ffee9e9df（覆盖 2 个目标）</w:t>
      </w:r>
    </w:p>
    <w:p>
      <w:pPr>
        <w:spacing w:after="120" w:line="312" w:lineRule="auto"/>
      </w:pPr>
      <w:r>
        <w:rPr>
          <w:rFonts w:ascii="Times New Roman" w:hAnsi="Times New Roman" w:eastAsia="仿宋"/>
          <w:b/>
          <w:sz w:val="24"/>
        </w:rPr>
        <w:t>关联地址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0xed87b4edbcebf6971d45192a7567bd83f435eb1f（score 0.500）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0x1e9ccd917759e249944fa6b3ee0584026e188644（score 0.500）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0x0655c22cb0284a0b14522ff1323caedc7615c099（score 0.500）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0x27820f8b2e7c5dbe1eef6805577c222afde1a191（score 0.500）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0x650b971a75064140d68457d838e334f280707b70（score 0.500）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0xa2bbded3f749ed41800b82e9a064196bb5174286（score 0.500）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0x09b9cba6956537e0b49340f0a8ceb50e79181ca5（score 0.500）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0xc28ae54686ecc554bd46af5f79814a0843e1550d（score 0.500）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0x0a4b571c4932d84de11a6bca96bb9ba5bf27ff1c（score 0.500）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· 0xabba7bef6dffba87d66e6c3d2d612b1a57df2303（score 0.500）</w:t>
      </w:r>
    </w:p>
    <w:p>
      <w:pPr>
        <w:spacing w:after="120" w:line="312" w:lineRule="auto"/>
      </w:pPr>
      <w:r>
        <w:rPr>
          <w:rFonts w:ascii="Times New Roman" w:hAnsi="Times New Roman" w:eastAsia="仿宋"/>
          <w:b/>
          <w:sz w:val="24"/>
        </w:rPr>
        <w:t>风险判断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地址 0x238a358808379702088667322f80ac48bad5e6c4：风险 72.01（高），模式：大额转入-快速转出-多地址分散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地址 0x278d858f05b94576c1e6f73285886876ff6ef8d2：风险 72.01（高），模式：大额转入-快速转出-多地址分散</w:t>
      </w:r>
    </w:p>
    <w:p>
      <w:pPr>
        <w:spacing w:after="120" w:line="312" w:lineRule="auto"/>
      </w:pPr>
      <w:r>
        <w:rPr>
          <w:rFonts w:ascii="Times New Roman" w:hAnsi="Times New Roman" w:eastAsia="仿宋"/>
          <w:b/>
          <w:sz w:val="24"/>
        </w:rPr>
        <w:t>结论</w:t>
      </w:r>
    </w:p>
    <w:p>
      <w:pPr>
        <w:spacing w:after="120" w:line="312" w:lineRule="auto"/>
      </w:pPr>
      <w:r>
        <w:rPr>
          <w:rFonts w:ascii="Times New Roman" w:hAnsi="Times New Roman" w:eastAsia="仿宋"/>
          <w:b w:val="0"/>
          <w:sz w:val="24"/>
        </w:rPr>
        <w:t>已完成调查分析，证据完整，详见证据文件（evidence.json / graph.json / timeline.csv）。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