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ПЗ-ываыва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пвапва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ап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ыв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