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«Национальный исследовательский ядерный университет «МИФИ»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физико-технических интеллектуальных систем (ИФТИС)</w:t>
      </w:r>
    </w:p>
    <w:p>
      <w:pPr>
        <w:spacing w:after="150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«Автоматика»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ЗАДАНИЮ НА ПРОИЗВОДСТВЕННУЮ ПРАКТИКУ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(7 семестр)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«Интерактивный ассистент для поддержки принятия решений операторами АЭС на основе формирования и верификации гипотез о состоянии системы»</w:t>
      </w:r>
    </w:p>
    <w:p>
      <w:pPr>
        <w:spacing w:after="90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направлению подготовки «Системный анализ и управление»</w:t>
      </w:r>
      <w: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профиль «Информационно-измерительные и управляющие системы киберфизических устройств и установок»</w:t>
      </w:r>
    </w:p>
    <w:p>
      <w:pPr>
        <w:spacing w:after="240" w:before="0" w:line="276"/>
        <w:ind w:left="4535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Выполнил(а): студент группы Б23-605</w:t>
      </w:r>
      <w:r>
        <w:br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Шелманова Ева Олеговна   ____________</w:t>
      </w:r>
    </w:p>
    <w:p>
      <w:pPr>
        <w:spacing w:after="360" w:before="0" w:line="276"/>
        <w:ind w:left="4535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практики:</w:t>
      </w:r>
      <w:r>
        <w:br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Толоконский Андрей Олегович,</w:t>
      </w:r>
      <w:r>
        <w:br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к.т.н., доцент кафедры «Теплофизика»   ____________</w:t>
      </w:r>
    </w:p>
    <w:p>
      <w:pPr>
        <w:spacing w:after="900" w:before="0" w:line="276"/>
        <w:ind w:left="4535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Оценка: ____________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 2026</w:t>
      </w:r>
    </w:p>
    <w:p>
      <w:pPr>
        <w:pStyle w:val="StructNoToc"/>
        <w:pageBreakBefore/>
        <w:spacing w:after="24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НА ПРОИЗВОДСТВЕННУЮ ПРАКТИКУ</w:t>
      </w:r>
    </w:p>
    <w:p>
      <w:pPr>
        <w:spacing w:after="0" w:before="0" w:line="360"/>
        <w:ind w:firstLine="0"/>
        <w:jc w:val="center"/>
      </w:pPr>
      <w:r>
        <w:t xml:space="preserve">[Место для копии утверждённого задания на производственную практику (7 семестр)]</w:t>
      </w:r>
    </w:p>
    <w:p>
      <w:pPr>
        <w:spacing w:after="0" w:before="0" w:line="360"/>
        <w:ind w:firstLine="0"/>
        <w:jc w:val="center"/>
      </w:pPr>
      <w:r>
        <w:t xml:space="preserve">Согласно требованиям к отчёту копия задания размещается на второй странице. Сюда вставляется скан или копия подписанного задания (1-я копия – студенту, для включения в отчёт).</w:t>
      </w:r>
    </w:p>
    <w:p>
      <w:pPr>
        <w:pStyle w:val="StructNoToc"/>
        <w:pageBreakBefore/>
        <w:spacing w:after="24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РЕФЕРАТ</w:t>
      </w:r>
    </w:p>
    <w:p>
      <w:pPr>
        <w:spacing w:after="0" w:before="0" w:line="360"/>
        <w:ind w:firstLine="0"/>
        <w:jc w:val="left"/>
      </w:pPr>
      <w:r>
        <w:t xml:space="preserve">Отчёт 54 с., 2 рис., 25 табл., 24 источн., 3 прил.</w:t>
      </w:r>
    </w:p>
    <w:p>
      <w:pPr>
        <w:spacing w:after="0" w:before="0" w:line="360"/>
        <w:ind w:firstLine="0"/>
        <w:jc w:val="left"/>
      </w:pPr>
      <w:r>
        <w:t xml:space="preserve">АТОМНАЯ ЭЛЕКТРОСТАНЦИЯ, ПОДДЕРЖКА ОПЕРАТОРА, ДИАГНОСТИКА АВАРИЙНЫХ РЕЖИМОВ, ГИПОТЕЗА О СОСТОЯНИИ, НЕЗАВИСИМАЯ ВЕРИФИКАЦИЯ, ВРЕМЕННЫЕ РЯДЫ, NPPAD, ИНФОРМАЦИОННЫЙ БАРЬЕР, КАЛИБРОВКА УВЕРЕННОСТИ, ПРОВЕРКА НОВИЗНЫ, ДЕТЕРМИНИРОВАННЫЕ ПРАВИЛА, ЯЗЫКОВАЯ МОДЕЛЬ</w:t>
      </w:r>
    </w:p>
    <w:p>
      <w:pPr>
        <w:spacing w:after="0" w:before="0" w:line="360"/>
        <w:ind w:firstLine="709"/>
        <w:jc w:val="both"/>
      </w:pPr>
      <w:r>
        <w:t xml:space="preserve">Объектом работы является информационная поддержка оператора атомной электростанции при диагностике аварийных режимов. Предмет – интерактивный ассистент, который формирует гипотезы о состоянии энергоблока по ограниченному набору измерительных каналов, независимо проверяет их по полному набору каналов и выпускает ответ оператору только после детерминированной проверки правилами.</w:t>
      </w:r>
    </w:p>
    <w:p>
      <w:pPr>
        <w:spacing w:after="0" w:before="0" w:line="360"/>
        <w:ind w:firstLine="709"/>
        <w:jc w:val="both"/>
      </w:pPr>
      <w:r>
        <w:t xml:space="preserve">Цель работы – развить прототип ассистента, созданный на учебной практике 6-го семестра, до системы поддержки принятия решений на основе формирования и верификации гипотез, удовлетворяющей тринадцати техническим требованиям задания.</w:t>
      </w:r>
    </w:p>
    <w:p>
      <w:pPr>
        <w:spacing w:after="0" w:before="0" w:line="360"/>
        <w:ind w:firstLine="709"/>
        <w:jc w:val="both"/>
      </w:pPr>
      <w:r>
        <w:t xml:space="preserve">В ходе работы разработаны модель данных и воспроизводимый конвейер подготовки открытого набора временных рядов аварийных режимов NPPAD, семантическая модель диагностической информации и информационный барьер; генератор калиброванных гипотез по шести каналам критических функций безопасности; верификатор гипотез по 82 каналам на основе квантильных сигнатур с учётом ранней фазы события; проверки отклонения и новизны; подбор аналогов из базы исторических событий ETH Zurich; детерминированный верификатор ответа по схеме «утверждение – свидетельство – набор правил – решение политики». Диагностический контур интегрирован с агентом-аналитиком ассистента, трассировкой Langfuse и программным интерфейсом.</w:t>
      </w:r>
    </w:p>
    <w:p>
      <w:pPr>
        <w:spacing w:after="0" w:before="0" w:line="360"/>
        <w:ind w:firstLine="709"/>
        <w:jc w:val="both"/>
      </w:pPr>
      <w:r>
        <w:t xml:space="preserve">На отложенной тестовой выборке система ставит диагноз в 95,2 % моментов времени с точностью 99,9 %, не выдаёт ложных диагнозов на ситуациях вне обучаемого множества и на внешнем стресс-тесте с изменением мощности, блокирует все 1680 контрольных испорченных ответов и обрабатывает окно наблюдений за 26 мс. Результаты воспроизводятся при повторном прогоне и при сборке из чистого окружения.</w:t>
      </w:r>
    </w:p>
    <w:p>
      <w:pPr>
        <w:spacing w:after="0" w:before="0" w:line="360"/>
        <w:ind w:firstLine="709"/>
        <w:jc w:val="both"/>
      </w:pPr>
      <w:r>
        <w:t xml:space="preserve">Результаты могут использоваться как основа выпускной квалификационной работы и как прототип подсистемы интерпретации данных в системах поддержки оператора, работающей в режиме «только чтение».</w:t>
      </w:r>
    </w:p>
    <w:p>
      <w:pPr>
        <w:pStyle w:val="StructNoToc"/>
        <w:pageBreakBefore/>
        <w:spacing w:after="24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35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ТЕРМИНЫ И ОПРЕДЕЛЕНИЯ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">
            <w:r>
              <w:t xml:space="preserve">ПЕРЕЧЕНЬ СОКРАЩЕНИЙ И ОБОЗНАЧЕНИЙ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3">
            <w:r>
              <w:t xml:space="preserve">ВВЕДЕНИЕ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4">
            <w:r>
              <w:t xml:space="preserve">1 Анализ предметной области и постановка задачи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5">
            <w:r>
              <w:t xml:space="preserve">1.1 Поддержка оператора АЭС и требования безопасности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6">
            <w:r>
              <w:t xml:space="preserve">1.2 Исходный прототип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7">
            <w:r>
              <w:t xml:space="preserve">1.3 Требования к верификации ответа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8">
            <w:r>
              <w:t xml:space="preserve">1.4 Постановка задачи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9">
            <w:r>
              <w:t xml:space="preserve">2 Исходные данные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0">
            <w:r>
              <w:t xml:space="preserve">2.1 Набор данных NPPAD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1">
            <w:r>
              <w:t xml:space="preserve">2.2 Аудит классов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2">
            <w:r>
              <w:t xml:space="preserve">2.3 База исторических событий ETHZ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3">
            <w:r>
              <w:t xml:space="preserve">2.4 Внешний стресс-тест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14">
            <w:r>
              <w:t xml:space="preserve">3 Модель данных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5">
            <w:r>
              <w:t xml:space="preserve">3.1 Реестр каналов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6">
            <w:r>
              <w:t xml:space="preserve">3.2 Конвейер подготовки данных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7">
            <w:r>
              <w:t xml:space="preserve">3.3 Окна наблюдений и память о событии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8">
            <w:r>
              <w:t xml:space="preserve">3.4 Контракты данных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19">
            <w:r>
              <w:t xml:space="preserve">3.5 Семантическая модель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0">
            <w:r>
              <w:t xml:space="preserve">3.6 Информационный барьер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1">
            <w:r>
              <w:t xml:space="preserve">4 Методы формирования и проверки гипотез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2">
            <w:r>
              <w:t xml:space="preserve">4.1 Генератор гипотез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3">
            <w:r>
              <w:t xml:space="preserve">4.2 Верификатор гипотез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4">
            <w:r>
              <w:t xml:space="preserve">4.3 Проверка отклонения и новизны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5">
            <w:r>
              <w:t xml:space="preserve">4.4 Итоговое правило выбора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6">
            <w:r>
              <w:t xml:space="preserve">4.5 Подбор аналогов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27">
            <w:r>
              <w:t xml:space="preserve">5 Верификация ответа и интеграция с ассистентом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8">
            <w:r>
              <w:t xml:space="preserve">5.1 Верификатор ответа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29">
            <w:r>
              <w:t xml:space="preserve">5.2 Режимы работы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30">
            <w:r>
              <w:t xml:space="preserve">5.3 Диагностический ответ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31">
            <w:r>
              <w:t xml:space="preserve">5.4 Справка по сценариям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32">
            <w:r>
              <w:t xml:space="preserve">5.5 Трассировка и программный интерфейс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33">
            <w:r>
              <w:t xml:space="preserve">6 Программная реализация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34">
            <w:r>
              <w:t xml:space="preserve">6.1 Технологии и структура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35">
            <w:r>
              <w:t xml:space="preserve">6.2 Воспроизводимость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36">
            <w:r>
              <w:t xml:space="preserve">6.3 Тестирование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37">
            <w:r>
              <w:t xml:space="preserve">7 Экспериментальная оценка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38">
            <w:r>
              <w:t xml:space="preserve">7.1 Методика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39">
            <w:r>
              <w:t xml:space="preserve">7.2 Генерация гипотез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40">
            <w:r>
              <w:t xml:space="preserve">7.3 Проверка гипотез и итоговые исходы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41">
            <w:r>
              <w:t xml:space="preserve">7.4 Ситуации вне обучаемого множества и проверка новизны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42">
            <w:r>
              <w:t xml:space="preserve">7.5 Внешний стресс-тест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43">
            <w:r>
              <w:t xml:space="preserve">7.6 Верификатор ответа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44">
            <w:r>
              <w:t xml:space="preserve">7.7 Пояснения языковой модели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45">
            <w:r>
              <w:t xml:space="preserve">7.8 Поиск аналогов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46">
            <w:r>
              <w:t xml:space="preserve">7.9 Производительность и воспроизводимость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55" w:leader="dot"/>
            </w:tabs>
          </w:pPr>
          <w:hyperlink w:history="1" w:anchor="_Toc47">
            <w:r>
              <w:t xml:space="preserve">7.10 Ограничения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48">
            <w:r>
              <w:t xml:space="preserve">ЗАКЛЮЧЕНИЕ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49">
            <w:r>
              <w:t xml:space="preserve">СПИСОК ИСПОЛЬЗОВАННЫХ ИСТОЧНИКОВ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50">
            <w:r>
              <w:t xml:space="preserve">ПРИЛОЖЕНИЕ А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51">
            <w:r>
              <w:t xml:space="preserve">ПРИЛОЖЕНИЕ Б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55" w:leader="dot"/>
            </w:tabs>
          </w:pPr>
          <w:hyperlink w:history="1" w:anchor="_Toc52">
            <w:r>
              <w:t xml:space="preserve">ПРИЛОЖЕНИЕ В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0" w:line="360"/>
        <w:ind w:firstLine="0"/>
        <w:jc w:val="center"/>
      </w:pPr>
      <w:bookmarkStart w:name="_Toc1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ТЕРМИНЫ И ОПРЕДЕЛЕНИЯ</w:t>
      </w:r>
      <w:bookmarkEnd w:id="1"/>
    </w:p>
    <w:p>
      <w:pPr>
        <w:spacing w:after="0" w:before="0" w:line="360"/>
        <w:ind w:firstLine="709"/>
        <w:jc w:val="both"/>
      </w:pPr>
      <w:r>
        <w:t xml:space="preserve">В настоящем отчёте применяют следующие термины с соответствующими определениями.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Гипотеза о состоянии</w:t>
      </w:r>
      <w:r>
        <w:t xml:space="preserve"> – утверждение вида «вероятна ситуация X» с числовой уверенностью от 0 до 1, сформированное по наблюдаемым данным без рекомендаций действий.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Генератор гипотез</w:t>
      </w:r>
      <w:r>
        <w:t xml:space="preserve"> – компонент, формирующий набор наиболее вероятных гипотез по ограниченному набору разрешённых каналов.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Верификатор гипотез</w:t>
      </w:r>
      <w:r>
        <w:t xml:space="preserve"> – компонент, независимо от генератора проверяющий каждую гипотезу по полному набору наблюдаемых каналов и формирующий свидетельства.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Свидетельство</w:t>
      </w:r>
      <w:r>
        <w:t xml:space="preserve"> – результат сравнения значения канала в окне наблюдений с ожидаемым для гипотезы диапазоном, имеющий направление («за» или «против»), вес и ссылку на канал и окно.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Информационный барьер</w:t>
      </w:r>
      <w:r>
        <w:t xml:space="preserve"> – совокупность мер, исключающих доступ генератора гипотез к скрытым каналам и к истинной метке сценария.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Канал-подсказка (label_proxy)</w:t>
      </w:r>
      <w:r>
        <w:t xml:space="preserve"> – параметр симулятора, непосредственно описывающий неисправность (например, расход течи) и потому фактически содержащий ответ.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Окно наблюдений</w:t>
      </w:r>
      <w:r>
        <w:t xml:space="preserve"> – отрезок временного ряда всех каналов длиной 12 точек (120 с).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Память о событии</w:t>
      </w:r>
      <w:r>
        <w:t xml:space="preserve"> – исходное состояние до начала события и наблюдения первых 120 с после его начала, доступные на текущий момент.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Прогон</w:t>
      </w:r>
      <w:r>
        <w:t xml:space="preserve"> – одна симуляция сценария с заданной тяжестью.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Проверка новизны</w:t>
      </w:r>
      <w:r>
        <w:t xml:space="preserve"> – определение того, что наблюдаемое событие не похоже ни на один сценарий обучающего множества.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Калибровка уверенности</w:t>
      </w:r>
      <w:r>
        <w:t xml:space="preserve"> – согласование заявленной уверенности модели с фактической долей её правильных ответов.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Утверждение (Claim)</w:t>
      </w:r>
      <w:r>
        <w:t xml:space="preserve"> – единичное проверяемое высказывание в ответе оператору со ссылками на свидетельства.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Набор правил (RulePack)</w:t>
      </w:r>
      <w:r>
        <w:t xml:space="preserve"> – версионируемый перечень детерминированных проверок ответа.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Решение политики (PolicyDecision)</w:t>
      </w:r>
      <w:r>
        <w:t xml:space="preserve"> – результат проверки ответа: выпустить (ALLOW), выпустить с пометкой о необходимости оценки оператором (REQUIRE_HUMAN) или заблокировать (BLOCK).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Паспорт версий</w:t>
      </w:r>
      <w:r>
        <w:t xml:space="preserve"> – перечень версий моделей, данных, конфигурации и зависимостей, при которых получен результат.</w:t>
      </w:r>
    </w:p>
    <w:p>
      <w:pPr>
        <w:pStyle w:val="Heading1"/>
        <w:pageBreakBefore/>
        <w:spacing w:after="240" w:before="0" w:line="360"/>
        <w:ind w:firstLine="0"/>
        <w:jc w:val="center"/>
      </w:pPr>
      <w:bookmarkStart w:name="_Toc2" w:id="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ПЕРЕЧЕНЬ СОКРАЩЕНИЙ И ОБОЗНАЧЕНИЙ</w:t>
      </w:r>
      <w:bookmarkEnd w:id="2"/>
    </w:p>
    <w:p>
      <w:pPr>
        <w:spacing w:after="0" w:before="0" w:line="360"/>
        <w:ind w:firstLine="709"/>
        <w:jc w:val="both"/>
      </w:pPr>
      <w:r>
        <w:t xml:space="preserve">В настоящем отчёте применяют следующие сокращения и обозначения (таблица 1).</w:t>
      </w:r>
    </w:p>
    <w:p>
      <w:pPr>
        <w:keepNext/>
        <w:spacing w:after="0" w:before="120" w:line="360"/>
        <w:ind w:firstLine="0"/>
        <w:jc w:val="left"/>
      </w:pPr>
      <w:r>
        <w:t xml:space="preserve">Таблица 1 – Сокращения и обозначения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Сокращение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Расшифровка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АЗ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аварийная защита реактора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АЭС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атомная электростанция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ВКР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выпускная квалификационная работа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КД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компенсатор давления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ПГ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парогенератор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САОЗ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система аварийного охлаждения активной зоны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API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Application Programming Interface – программный интерфейс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BM25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Best Matching 25 – функция ранжирования текстового поиска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ECE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Expected Calibration Error – ожидаемая ошибка калибровки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ETHZ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Curated Nuclear Events Database ETH Zurich – база событий на ядерных объектах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LLM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Large Language Model – большая языковая модель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NLL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Negative Log-Likelihood – отрицательное логарифмическое правдоподобие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NPPAD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Nuclear Power Plant Accident Data – набор временных рядов аварийных режимов АЭС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PCTRAN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Personal Computer Transient Analyzer – симулятор переходных процессов АЭС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PWR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Pressurized Water Reactor – водо-водяной реактор под давлением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RAG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Retrieval-Augmented Generation – генерация ответа с опорой на найденные документы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top-k</w:t>
            </w:r>
          </w:p>
        </w:tc>
        <w:tc>
          <w:tcPr>
            <w:tcW w:type="dxa" w:w="72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k наиболее вероятных гипотез</w:t>
            </w:r>
          </w:p>
        </w:tc>
      </w:tr>
    </w:tbl>
    <w:p>
      <w:pPr>
        <w:spacing w:after="120" w:line="240"/>
      </w:pPr>
    </w:p>
    <w:p>
      <w:pPr>
        <w:pStyle w:val="Heading1"/>
        <w:pageBreakBefore/>
        <w:spacing w:after="240" w:before="0" w:line="360"/>
        <w:ind w:firstLine="0"/>
        <w:jc w:val="center"/>
      </w:pPr>
      <w:bookmarkStart w:name="_Toc3" w:id="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  <w:bookmarkEnd w:id="3"/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Актуальность.</w:t>
      </w:r>
      <w:r>
        <w:t xml:space="preserve"> Оператор энергоблока АЭС при отклонении от нормальной эксплуатации должен за ограниченное время по сотням измеряемых параметров понять, что происходит, и принять решение. Системы информационной поддержки сокращают эту нагрузку, но в безопасностно значимой области к ним предъявляются особые требования: они не должны управлять оборудованием, не должны навязывать решений, их выводы должны быть объяснимы и проверяемы, а уверенность – соответствовать фактической надёжности [1, 2]. Языковые модели, на которых строятся современные ассистенты, этим требованиям сами по себе не удовлетворяют: их ответы вероятностны, а самооценка уверенности ненадёжна.</w:t>
      </w:r>
    </w:p>
    <w:p>
      <w:pPr>
        <w:spacing w:after="0" w:before="0" w:line="360"/>
        <w:ind w:firstLine="709"/>
        <w:jc w:val="both"/>
      </w:pPr>
      <w:r>
        <w:t xml:space="preserve">На учебной практике 6-го семестра был разработан прототип интерактивного ассистента atomic для операторов АЭС [3]: система ответов на вопросы по базе знаний на основе подхода RAG [4] с маршрутизатором запросов и агентами поиска, выполнения кода и анализа. Анализ прототипа показал, что подсистема проверки ответов была описана концептуально, но не реализована как исполняемая система: в ней не было модели доверия к источникам, формальных правил и механизма принятия решения о выпуске ответа. Проверка ответа ещё одной языковой моделью относится к тому же классу риска, что и основная модель, и для АЭС проверкой не является. Анализ направлений развития системы [5] определил следующий шаг – «мягкую интерпретацию» состояния станции: формирование нескольких гипотез о ситуации с калиброванной уверенностью и ссылками на аналогичные исторические события, без предписания действий.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Цель работы</w:t>
      </w:r>
      <w:r>
        <w:t xml:space="preserve"> – развить прототип ассистента до системы поддержки принятия решений оператора на основе формирования и независимой верификации гипотез о состоянии энергоблока, в которой ответ оператору выпускается только после детерминированной проверки правилами.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Задачи</w:t>
      </w:r>
      <w:r>
        <w:t xml:space="preserve"> определены тринадцатью техническими требованиями задания на практику:</w:t>
      </w:r>
    </w:p>
    <w:p>
      <w:pPr>
        <w:spacing w:after="0" w:before="0" w:line="360"/>
        <w:ind w:firstLine="709"/>
        <w:jc w:val="both"/>
      </w:pPr>
      <w:r>
        <w:t xml:space="preserve">1) сохранить работоспособность базового ассистента;</w:t>
      </w:r>
    </w:p>
    <w:p>
      <w:pPr>
        <w:spacing w:after="0" w:before="0" w:line="360"/>
        <w:ind w:firstLine="709"/>
        <w:jc w:val="both"/>
      </w:pPr>
      <w:r>
        <w:t xml:space="preserve">2) загружать и нормализовать временные ряды NPPAD и структурированные данные;</w:t>
      </w:r>
    </w:p>
    <w:p>
      <w:pPr>
        <w:spacing w:after="0" w:before="0" w:line="360"/>
        <w:ind w:firstLine="709"/>
        <w:jc w:val="both"/>
      </w:pPr>
      <w:r>
        <w:t xml:space="preserve">3) построить единую семантическую модель диагностической информации;</w:t>
      </w:r>
    </w:p>
    <w:p>
      <w:pPr>
        <w:spacing w:after="0" w:before="0" w:line="360"/>
        <w:ind w:firstLine="709"/>
        <w:jc w:val="both"/>
      </w:pPr>
      <w:r>
        <w:t xml:space="preserve">4) формировать гипотезы по ограниченному набору разрешённых каналов;</w:t>
      </w:r>
    </w:p>
    <w:p>
      <w:pPr>
        <w:spacing w:after="0" w:before="0" w:line="360"/>
        <w:ind w:firstLine="709"/>
        <w:jc w:val="both"/>
      </w:pPr>
      <w:r>
        <w:t xml:space="preserve">5) исключить доступ генератора к скрытым данным и истинной метке;</w:t>
      </w:r>
    </w:p>
    <w:p>
      <w:pPr>
        <w:spacing w:after="0" w:before="0" w:line="360"/>
        <w:ind w:firstLine="709"/>
        <w:jc w:val="both"/>
      </w:pPr>
      <w:r>
        <w:t xml:space="preserve">6) независимо проверять гипотезы по полному набору каналов;</w:t>
      </w:r>
    </w:p>
    <w:p>
      <w:pPr>
        <w:spacing w:after="0" w:before="0" w:line="360"/>
        <w:ind w:firstLine="709"/>
        <w:jc w:val="both"/>
      </w:pPr>
      <w:r>
        <w:t xml:space="preserve">7) формировать подтверждающие и противоречащие свидетельства и ссылки на аналоги событий;</w:t>
      </w:r>
    </w:p>
    <w:p>
      <w:pPr>
        <w:spacing w:after="0" w:before="0" w:line="360"/>
        <w:ind w:firstLine="709"/>
        <w:jc w:val="both"/>
      </w:pPr>
      <w:r>
        <w:t xml:space="preserve">8) передавать гипотезы в конвейер ассистента;</w:t>
      </w:r>
    </w:p>
    <w:p>
      <w:pPr>
        <w:spacing w:after="0" w:before="0" w:line="360"/>
        <w:ind w:firstLine="709"/>
        <w:jc w:val="both"/>
      </w:pPr>
      <w:r>
        <w:t xml:space="preserve">9) детерминированно проверять итоговый ответ;</w:t>
      </w:r>
    </w:p>
    <w:p>
      <w:pPr>
        <w:spacing w:after="0" w:before="0" w:line="360"/>
        <w:ind w:firstLine="709"/>
        <w:jc w:val="both"/>
      </w:pPr>
      <w:r>
        <w:t xml:space="preserve">10) обеспечить трассируемость и аудит;</w:t>
      </w:r>
    </w:p>
    <w:p>
      <w:pPr>
        <w:spacing w:after="0" w:before="0" w:line="360"/>
        <w:ind w:firstLine="709"/>
        <w:jc w:val="both"/>
      </w:pPr>
      <w:r>
        <w:t xml:space="preserve">11) выполнить компонентное и сквозное тестирование;</w:t>
      </w:r>
    </w:p>
    <w:p>
      <w:pPr>
        <w:spacing w:after="0" w:before="0" w:line="360"/>
        <w:ind w:firstLine="709"/>
        <w:jc w:val="both"/>
      </w:pPr>
      <w:r>
        <w:t xml:space="preserve">12) провести оценку качества генерации и проверки гипотез (benchmark);</w:t>
      </w:r>
    </w:p>
    <w:p>
      <w:pPr>
        <w:spacing w:after="0" w:before="0" w:line="360"/>
        <w:ind w:firstLine="709"/>
        <w:jc w:val="both"/>
      </w:pPr>
      <w:r>
        <w:t xml:space="preserve">13) обеспечить воспроизводимость результатов.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Объект исследования</w:t>
      </w:r>
      <w:r>
        <w:t xml:space="preserve"> – информационная поддержка оператора АЭС при диагностике аварийных режимов. </w:t>
      </w:r>
      <w:r>
        <w:rPr>
          <w:b/>
          <w:bCs/>
        </w:rPr>
        <w:t xml:space="preserve">Предмет исследования</w:t>
      </w:r>
      <w:r>
        <w:t xml:space="preserve"> – методы формирования, независимой верификации и выпуска гипотез о состоянии энергоблока по данным телеметрии.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Методы исследования:</w:t>
      </w:r>
      <w:r>
        <w:t xml:space="preserve"> анализ предметной области и требований безопасности, статистический анализ временных рядов, методы машинного обучения (градиентный бустинг, калибровка вероятностей), квантильные модели нормального поведения, текстовый поиск, формальные правила и модели доверия, программная реализация на Python, экспериментальная оценка на отложенной выборке.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Работа выполнялась</w:t>
      </w:r>
      <w:r>
        <w:t xml:space="preserve"> по технической дорожной карте [6], которая делит её на этапы: A – модель данных; B – методы формирования и проверки гипотез; C – интеграция и эксперименты; D – отчёт и защита практики; E – доводка и заморозка; F – выпускная работа. На момент составления отчёта этапы A, B, C и E выполнены, система заморожена. Каждое действие фиксировалось в журнале работ, каждое проектное решение – в реестре решений с обоснованием и альтернативами (44 решения).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Практическая значимость.</w:t>
      </w:r>
      <w:r>
        <w:t xml:space="preserve"> Разработанный диагностический контур работает в режиме «только чтение», выдаёт проверяемые свидетельства со ссылками на конкретные каналы и моменты времени, честно сообщает о незнакомых ситуациях и пропускает к оператору только ответы, прошедшие проверку правилами. Он может служить прототипом подсистемы интерпретации данных и основой выпускной квалификационной работы.</w:t>
      </w:r>
    </w:p>
    <w:p>
      <w:pPr>
        <w:spacing w:after="0" w:before="0" w:line="360"/>
        <w:ind w:firstLine="709"/>
        <w:jc w:val="both"/>
      </w:pPr>
      <w:r>
        <w:t xml:space="preserve">Отчёт состоит из введения, семи разделов, заключения, списка использованных источников и трёх приложений. В разделе 1 проанализированы предметная область и исходный прототип, поставлена задача. Раздел 2 описывает исходные данные, раздел 3 – модель данных, раздел 4 – методы формирования и проверки гипотез, раздел 5 – верификацию ответа и интеграцию с ассистентом, раздел 6 – программную реализацию, раздел 7 – экспериментальную оценку.</w:t>
      </w:r>
    </w:p>
    <w:p>
      <w:pPr>
        <w:pStyle w:val="Heading1"/>
        <w:keepNext/>
        <w:pageBreakBefore/>
        <w:spacing w:after="120" w:before="0" w:line="360"/>
        <w:ind w:firstLine="709"/>
        <w:jc w:val="left"/>
      </w:pPr>
      <w:bookmarkStart w:name="_Toc4" w:id="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Анализ предметной области и постановка задачи</w:t>
      </w:r>
      <w:bookmarkEnd w:id="4"/>
    </w:p>
    <w:p>
      <w:pPr>
        <w:pStyle w:val="Heading2"/>
        <w:keepNext/>
        <w:spacing w:after="120" w:before="240" w:line="360"/>
        <w:ind w:firstLine="709"/>
        <w:jc w:val="left"/>
      </w:pPr>
      <w:bookmarkStart w:name="_Toc5" w:id="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Поддержка оператора АЭС и требования безопасности</w:t>
      </w:r>
      <w:bookmarkEnd w:id="5"/>
    </w:p>
    <w:p>
      <w:pPr>
        <w:spacing w:after="0" w:before="0" w:line="360"/>
        <w:ind w:firstLine="709"/>
        <w:jc w:val="both"/>
      </w:pPr>
      <w:r>
        <w:t xml:space="preserve">Основная задача оператора в аварийной ситуации – поддержание критических функций безопасности энергоблока: подкритичности реактора, охлаждения активной зоны, теплоотвода, целостности первого контура, целостности защитной оболочки и запаса теплоносителя [7]. Именно их состояние оператор оценивает в первую очередь, а аварийные процедуры строятся вокруг их восстановления.</w:t>
      </w:r>
    </w:p>
    <w:p>
      <w:pPr>
        <w:spacing w:after="0" w:before="0" w:line="360"/>
        <w:ind w:firstLine="709"/>
        <w:jc w:val="both"/>
      </w:pPr>
      <w:r>
        <w:t xml:space="preserve">Требования к системам поддержки оператора следуют из общих принципов безопасности АЭС [1]: решение принимает человек, система не должна снижать его ситуационную осведомлённость и не должна вызывать чрезмерного доверия к автоматике. Чрезмерное доверие (automation bias) проявляется в том, что оператор принимает вывод системы без проверки, особенно если система выглядит уверенной [2]. Поэтому для диагностической системы важны не только точность, но и калибровка уверенности, способность отказаться от вывода и объяснимость каждого вывода.</w:t>
      </w:r>
    </w:p>
    <w:p>
      <w:pPr>
        <w:spacing w:after="0" w:before="0" w:line="360"/>
        <w:ind w:firstLine="709"/>
        <w:jc w:val="both"/>
      </w:pPr>
      <w:r>
        <w:t xml:space="preserve">Анализ эволюции ассистента [5] описывает пять этапов развития от информационного слоя (ответы по документам) до управляемых операций и устанавливает инварианты, которые не нарушаются ни на одном этапе: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система не управляет оборудованием;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человек всегда находится в контуре принятия решений;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никакие действия не исполняются автоматически;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доступ к данным станции – только на чтение;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объяснимость выводов обязательна.</w:t>
      </w:r>
    </w:p>
    <w:p>
      <w:pPr>
        <w:spacing w:after="0" w:before="0" w:line="360"/>
        <w:ind w:firstLine="709"/>
        <w:jc w:val="both"/>
      </w:pPr>
      <w:r>
        <w:t xml:space="preserve">В анализе опасностей выделены, в частности, опасность H3 (неверная классификация ситуации) и опасность H4 (сверхуверенность системы). Меры защиты – выдача нескольких гипотез вместо одной и калибровка уверенности. Настоящая работа покрывает этап 1 (контекстный поиск по документам, реализован в 6-м семестре), этап 2 (мягкая интерпретация – гипотезы о ситуации с уверенностью) и пассивную часть этапа 3 (ссылки на аналогичные исторические события без предписания действий).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6" w:id="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Исходный прототип</w:t>
      </w:r>
      <w:bookmarkEnd w:id="6"/>
    </w:p>
    <w:p>
      <w:pPr>
        <w:spacing w:after="0" w:before="0" w:line="360"/>
        <w:ind w:firstLine="709"/>
        <w:jc w:val="both"/>
      </w:pPr>
      <w:r>
        <w:t xml:space="preserve">Прототип atomic, разработанный в 6-м семестре [3], включает: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консольный интерфейс и программный интерфейс FastAPI (запрос к ассистенту, проверка работоспособности);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оркестратор AtomicWorkflow, передающий запрос по цепочке агентов и сохраняющий диалог;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маршрутизатор RouterAgent, относящий запрос с помощью языковой модели к одному из типов: поиск, выполнение кода, анализ, общий вопрос;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агентов RetrieverAgent (ответ по найденным фрагментам базы знаний), CommandAgent (генерация и выполнение кода Python в изолированном процессе) и AnalystAgent (рассуждение) с общим контрактом BaseAgent;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память диалога и базу знаний в PostgreSQL с расширением pgvector [8] либо в памяти процесса;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локальные языковые модели и модели векторных представлений через Ollama [9];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трассировку запросов в Langfuse [10], развёртывание через Docker Compose, управление зависимостями uv [11];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тесты pytest в быстром режиме и в полном режиме с оценкой релевантности ответа языковой моделью-судьёй [12, 13].</w:t>
      </w:r>
    </w:p>
    <w:p>
      <w:pPr>
        <w:spacing w:after="0" w:before="0" w:line="360"/>
        <w:ind w:firstLine="709"/>
        <w:jc w:val="both"/>
      </w:pPr>
      <w:r>
        <w:t xml:space="preserve">Прототип содержал около 1700 строк кода на Python. Его анализ в начале практики выявил расхождения между отчётом и кодом: подсистема проверки ответов и запасной текстовый поиск BM25 были описаны, но не реализованы; агенты возвращали только текст без структурированных утверждений и ссылок; данных о состоянии станции (телеметрии) в системе не было; база знаний состояла из четырёх небольших текстовых файлов об устройстве самой системы.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7" w:id="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Требования к верификации ответа</w:t>
      </w:r>
      <w:bookmarkEnd w:id="7"/>
    </w:p>
    <w:p>
      <w:pPr>
        <w:spacing w:after="0" w:before="0" w:line="360"/>
        <w:ind w:firstLine="709"/>
        <w:jc w:val="both"/>
      </w:pPr>
      <w:r>
        <w:t xml:space="preserve">Замечание к работе 6-го семестра сформулировало требования к проверке ответа: верификатор должен быть подсистемой с формальными артефактами, а не дополнительным запросом к языковой модели. В безопасностно значимых областях принято разделять, что утверждается, на чём это основано, каким правилом проверено и кем выпущено [14]. Этому соответствует предложенная схема: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утверждение</w:t>
      </w:r>
      <w:r>
        <w:t xml:space="preserve"> – проверяемая фраза ответа;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ссылка на свидетельство</w:t>
      </w:r>
      <w:r>
        <w:t xml:space="preserve"> – идентификатор артефакта, на который опирается утверждение (документ, фрагмент базы знаний, результат расчёта, показание прибора), и вид источника;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набор правил</w:t>
      </w:r>
      <w:r>
        <w:t xml:space="preserve"> – версионируемый перечень детерминированных проверок;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rPr>
          <w:b/>
          <w:bCs/>
        </w:rPr>
        <w:t xml:space="preserve">решение политики</w:t>
      </w:r>
      <w:r>
        <w:t xml:space="preserve"> – выпуск, блокировка или передача человеку с машинно-читаемыми причинами.</w:t>
      </w:r>
    </w:p>
    <w:p>
      <w:pPr>
        <w:spacing w:after="0" w:before="0" w:line="360"/>
        <w:ind w:firstLine="709"/>
        <w:jc w:val="both"/>
      </w:pPr>
      <w:r>
        <w:t xml:space="preserve">Окончательное решение о выпуске ответа принимает детерминированный механизм; языковая модель может лишь помогать структурировать ответ.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8" w:id="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Постановка задачи</w:t>
      </w:r>
      <w:bookmarkEnd w:id="8"/>
    </w:p>
    <w:p>
      <w:pPr>
        <w:spacing w:after="0" w:before="0" w:line="360"/>
        <w:ind w:firstLine="709"/>
        <w:jc w:val="both"/>
      </w:pPr>
      <w:r>
        <w:t xml:space="preserve">Требуется дополнить ассистент диагностическим контуром, который по окну наблюдений телеметрии: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формирует несколько гипотез о сценарии с калиброванной уверенностью, используя только ограниченный набор разрешённых каналов (требования 4, 5);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независимо проверяет каждую гипотезу по полному набору наблюдаемых каналов, формирует свидетельства «за» и «против» и подбирает аналогичные исторические события (требования 6, 7);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определяет, есть ли отклонение от исходного состояния и похожа ли ситуация на известные сценарии;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передаёт результат агенту-аналитику, который строит ответ со ссылками, проходящий детерминированную проверку (требования 8, 9);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оставляет трассу, по которой восстанавливается путь от данных до решения (требование 10).</w:t>
      </w:r>
    </w:p>
    <w:p>
      <w:pPr>
        <w:spacing w:after="0" w:before="0" w:line="360"/>
        <w:ind w:firstLine="709"/>
        <w:jc w:val="both"/>
      </w:pPr>
      <w:r>
        <w:t xml:space="preserve">Базовый ассистент должен сохранить работоспособность (требование 1), а результаты – быть измеримыми и воспроизводимыми (требования 11–13). Все инварианты раздела 1.1 сохраняются.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ind w:firstLine="0"/>
        <w:jc w:val="center"/>
      </w:pPr>
      <w:r>
        <w:t xml:space="preserve">Рисунок 1 – Общая архитектура системы: диагностический контур и ассистент 6-го семестра</w:t>
      </w:r>
    </w:p>
    <w:p>
      <w:pPr>
        <w:spacing w:after="0" w:before="0" w:line="360"/>
        <w:ind w:firstLine="709"/>
        <w:jc w:val="both"/>
      </w:pPr>
      <w:r>
        <w:t xml:space="preserve">Архитектура (рисунок 1) состоит из двух контуров. Диагностический контур (новый) обрабатывает телеметрию; ассистент 6-го семестра сохраняется без изменения цепочки агентов и дополняется верификатором ответа, через который проходят и обычные ответы, и диагностические.</w:t>
      </w:r>
    </w:p>
    <w:p>
      <w:pPr>
        <w:pStyle w:val="Heading1"/>
        <w:keepNext/>
        <w:pageBreakBefore/>
        <w:spacing w:after="120" w:before="0" w:line="360"/>
        <w:ind w:firstLine="709"/>
        <w:jc w:val="left"/>
      </w:pPr>
      <w:bookmarkStart w:name="_Toc9" w:id="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Исходные данные</w:t>
      </w:r>
      <w:bookmarkEnd w:id="9"/>
    </w:p>
    <w:p>
      <w:pPr>
        <w:pStyle w:val="Heading2"/>
        <w:keepNext/>
        <w:spacing w:after="120" w:before="240" w:line="360"/>
        <w:ind w:firstLine="709"/>
        <w:jc w:val="left"/>
      </w:pPr>
      <w:bookmarkStart w:name="_Toc10" w:id="1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Набор данных NPPAD</w:t>
      </w:r>
      <w:bookmarkEnd w:id="10"/>
    </w:p>
    <w:p>
      <w:pPr>
        <w:spacing w:after="0" w:before="0" w:line="360"/>
        <w:ind w:firstLine="709"/>
        <w:jc w:val="both"/>
      </w:pPr>
      <w:r>
        <w:t xml:space="preserve">Источник телеметрии – открытый набор временных рядов аварийных режимов АЭС NPPAD [15], полученный на симуляторе переходных процессов PCTRAN [16] для энергоблока с реактором PWR. Использована версия репозитория авторов от 25.08.2026 (коммит a8d54ed) в формате CSV (таблица 2).</w:t>
      </w:r>
    </w:p>
    <w:p>
      <w:pPr>
        <w:keepNext/>
        <w:spacing w:after="0" w:before="120" w:line="360"/>
        <w:ind w:firstLine="0"/>
        <w:jc w:val="left"/>
      </w:pPr>
      <w:r>
        <w:t xml:space="preserve">Таблица 2 – Характеристики набора данных NPPAD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Исходное состояние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работа на 100 % мощности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Момент ввода неисправности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0,5 с от начала прогона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Шаг записи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 с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Измерительных каналов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96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Классов ситуаций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18 (17 аварийных и нормальная эксплуатация)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Прогонов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1217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Точек времени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492 709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Лицензия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MIT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Сведения приведены в таблице 3.</w:t>
      </w:r>
    </w:p>
    <w:p>
      <w:pPr>
        <w:keepNext/>
        <w:spacing w:after="0" w:before="120" w:line="360"/>
        <w:ind w:firstLine="0"/>
        <w:jc w:val="left"/>
      </w:pPr>
      <w:r>
        <w:t xml:space="preserve">Таблица 3 – Классы ситуаций NPPAD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6265"/>
        <w:gridCol w:w="1927"/>
      </w:tblGrid>
      <w:tr>
        <w:trPr>
          <w:cantSplit/>
          <w:tblHeader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Ситуация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Прогонов</w:t>
            </w:r>
          </w:p>
        </w:tc>
      </w:tr>
      <w:tr>
        <w:trPr>
          <w:cantSplit/>
          <w:tblHeader w:val="off"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LOCA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течь теплоносителя первого контура, горячая нитка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100</w:t>
            </w:r>
          </w:p>
        </w:tc>
      </w:tr>
      <w:tr>
        <w:trPr>
          <w:cantSplit/>
          <w:tblHeader w:val="off"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LOCAC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течь теплоносителя первого контура, холодная нитка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100</w:t>
            </w:r>
          </w:p>
        </w:tc>
      </w:tr>
      <w:tr>
        <w:trPr>
          <w:cantSplit/>
          <w:tblHeader w:val="off"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SGATR, SGBTR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разрыв трубки парогенератора A, B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100, 110</w:t>
            </w:r>
          </w:p>
        </w:tc>
      </w:tr>
      <w:tr>
        <w:trPr>
          <w:cantSplit/>
          <w:tblHeader w:val="off"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SLBIC, SLBOC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разрыв паропровода внутри, вне защитной оболочки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101, 100</w:t>
            </w:r>
          </w:p>
        </w:tc>
      </w:tr>
      <w:tr>
        <w:trPr>
          <w:cantSplit/>
          <w:tblHeader w:val="off"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FLB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разрыв питательной линии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100</w:t>
            </w:r>
          </w:p>
        </w:tc>
      </w:tr>
      <w:tr>
        <w:trPr>
          <w:cantSplit/>
          <w:tblHeader w:val="off"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LLB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разрыв линии продувки во вспомогательном здании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101</w:t>
            </w:r>
          </w:p>
        </w:tc>
      </w:tr>
      <w:tr>
        <w:trPr>
          <w:cantSplit/>
          <w:tblHeader w:val="off"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LR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сброс нагрузки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99</w:t>
            </w:r>
          </w:p>
        </w:tc>
      </w:tr>
      <w:tr>
        <w:trPr>
          <w:cantSplit/>
          <w:tblHeader w:val="off"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RW, RI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извлечение, введение регулирующих стержней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100, 100</w:t>
            </w:r>
          </w:p>
        </w:tc>
      </w:tr>
      <w:tr>
        <w:trPr>
          <w:cantSplit/>
          <w:tblHeader w:val="off"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MD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разбавление борного раствора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100</w:t>
            </w:r>
          </w:p>
        </w:tc>
      </w:tr>
      <w:tr>
        <w:trPr>
          <w:cantSplit/>
          <w:tblHeader w:val="off"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ATWS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переходный процесс без срабатывания АЗ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LACP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потеря электропитания переменного тока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LOF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потеря расхода теплоносителя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SP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горение водорода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TT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отключение турбины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Normal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нормальная эксплуатация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Номер файла прогона у классов с тяжестью означает тяжесть в процентах: для течей – процент от 100 см², для разрыва трубки парогенератора – процент от полного разрыва одной трубки, для стержней – процент извлечения или введения. Для каждого прогона симулятор формирует журнал событий (Transient Report) со временем срабатывания систем защиты.</w:t>
      </w:r>
    </w:p>
    <w:p>
      <w:pPr>
        <w:spacing w:after="0" w:before="0" w:line="360"/>
        <w:ind w:firstLine="709"/>
        <w:jc w:val="both"/>
      </w:pPr>
      <w:r>
        <w:t xml:space="preserve">При разборе данных обнаружены особенности, учтённые в загрузчике: три лишних столбца в 25 файлах SLBIC, отсутствующие в документации; порядок столбцов, отличный от документированного; семь каналов, постоянных на всей обучающей выборке; 18 прогонов RI короче 120 с; отрицательная запись тяжести у RI, из-за которой первоначально неверно определялась тяжесть (ошибка исправлена).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11" w:id="1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Аудит классов</w:t>
      </w:r>
      <w:bookmarkEnd w:id="11"/>
    </w:p>
    <w:p>
      <w:pPr>
        <w:spacing w:after="0" w:before="0" w:line="360"/>
        <w:ind w:firstLine="709"/>
        <w:jc w:val="both"/>
      </w:pPr>
      <w:r>
        <w:t xml:space="preserve">Каждый прогон сравнён с прогоном, в котором неисправность введена с долей 0 % и станция остаётся в стационаре; мерой служило максимальное по времени и каналам отличие нормированных траекторий (таблица 4).</w:t>
      </w:r>
    </w:p>
    <w:p>
      <w:pPr>
        <w:keepNext/>
        <w:spacing w:after="0" w:before="120" w:line="360"/>
        <w:ind w:firstLine="0"/>
        <w:jc w:val="left"/>
      </w:pPr>
      <w:r>
        <w:t xml:space="preserve">Таблица 4 – Результаты аудита классов NPPAD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120"/>
        <w:gridCol w:w="5783"/>
      </w:tblGrid>
      <w:tr>
        <w:trPr>
          <w:cantSplit/>
          <w:tblHeader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Класс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Отличие от стационара, σ (медиана)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Вывод</w:t>
            </w:r>
          </w:p>
        </w:tc>
      </w:tr>
      <w:tr>
        <w:trPr>
          <w:cantSplit/>
          <w:tblHeader w:val="off"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MD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0,000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неисправность не проявилась ни в одном из 100 прогонов: концентрация бора постоянна (200 ppm)</w:t>
            </w:r>
          </w:p>
        </w:tc>
      </w:tr>
      <w:tr>
        <w:trPr>
          <w:cantSplit/>
          <w:tblHeader w:val="off"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SLBOC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0,000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теплогидравлика не меняется, отличаются только мониторы радиации паропровода и конденсатора</w:t>
            </w:r>
          </w:p>
        </w:tc>
      </w:tr>
      <w:tr>
        <w:trPr>
          <w:cantSplit/>
          <w:tblHeader w:val="off"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ATWS, SP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0,000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неисправность с долей 0 %, станция в стационаре</w:t>
            </w:r>
          </w:p>
        </w:tc>
      </w:tr>
      <w:tr>
        <w:trPr>
          <w:cantSplit/>
          <w:tblHeader w:val="off"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Normal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16,9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 стационар: закрывается клапан питательной воды</w:t>
            </w:r>
          </w:p>
        </w:tc>
      </w:tr>
      <w:tr>
        <w:trPr>
          <w:cantSplit/>
          <w:tblHeader w:val="off"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LLB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2,7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наименее выраженный из аварийных классов</w:t>
            </w:r>
          </w:p>
        </w:tc>
      </w:tr>
      <w:tr>
        <w:trPr>
          <w:cantSplit/>
          <w:tblHeader w:val="off"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LOCA, LOCAC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17,3; 17,1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выраженные изменения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По итогам аудита обучаемое множество составили 11 классов: FLB, LLB, LOCA, LOCAC, LR, RI, RW, SGATR, SGBTR, SLBIC, SLBOC. Прогоны MD, ATWS и SP служат эталоном «события нет», а однопрогонные LACP, LOF, Normal и TT – пробами ситуаций вне обучаемого множества. Однопрогонные классы нельзя использовать для обучения и честной оценки: разбиение одного прогона по времени поместило бы соседние окна и в обучение, и в проверку. Получить новые прогоны можно только симуляцией в PCTRAN; искусственное размножение данных не применялось.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12" w:id="1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База исторических событий ETHZ</w:t>
      </w:r>
      <w:bookmarkEnd w:id="12"/>
    </w:p>
    <w:p>
      <w:pPr>
        <w:spacing w:after="0" w:before="0" w:line="360"/>
        <w:ind w:firstLine="709"/>
        <w:jc w:val="both"/>
      </w:pPr>
      <w:r>
        <w:t xml:space="preserve">Для подбора аналогов используется база ETH Zurich Curated Nuclear Events Database [17, 18] – 1561 событие на ядерных объектах с классификацией по типу исходного события, системе, компоненту и цепочке отказов. Распространяемый с базой файл ETHZ_Database_Access_tool.xlsm оказался интерфейсом на VBA: его листы пусты, а макрос выбирает строки из файла Support_file.xlsx по фильтрам и строит статистику. Логика выборки воспроизведена на Python без использования Excel. Оставлены 783 события на энергоблоках с реакторами PWR; у 352 из них размечен тип исходного события (Transient – 124, потеря внешнего электроснабжения – 108, потеря основной питательной воды – 33, разрыв трубки парогенератора – 29, малая течь – 23 и др.).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13" w:id="1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Внешний стресс-тест</w:t>
      </w:r>
      <w:bookmarkEnd w:id="13"/>
    </w:p>
    <w:p>
      <w:pPr>
        <w:spacing w:after="0" w:before="0" w:line="360"/>
        <w:ind w:firstLine="709"/>
        <w:jc w:val="both"/>
      </w:pPr>
      <w:r>
        <w:t xml:space="preserve">Набор Variable_Power_Data из репозитория NPPAD содержит 12 прогонов: четыре нормальных изменения мощности в диапазоне 70–100 % и восемь аварий (LOCA, RW, SGATR, SGBTR) на фоне изменения мощности. Данные распространялись только в формате баз Access и прочитаны средствами Python. В обучение набор не входит. Поскольку все обучающие прогоны начинаются со 100 % мощности, стресс-тест проверяет поведение системы в незнакомом режиме: правильным считается отсутствие ложных диагнозов.</w:t>
      </w:r>
    </w:p>
    <w:p>
      <w:pPr>
        <w:pStyle w:val="Heading1"/>
        <w:keepNext/>
        <w:pageBreakBefore/>
        <w:spacing w:after="120" w:before="0" w:line="360"/>
        <w:ind w:firstLine="709"/>
        <w:jc w:val="left"/>
      </w:pPr>
      <w:bookmarkStart w:name="_Toc14" w:id="1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Модель данных</w:t>
      </w:r>
      <w:bookmarkEnd w:id="14"/>
    </w:p>
    <w:p>
      <w:pPr>
        <w:pStyle w:val="Heading2"/>
        <w:keepNext/>
        <w:spacing w:after="120" w:before="240" w:line="360"/>
        <w:ind w:firstLine="709"/>
        <w:jc w:val="left"/>
      </w:pPr>
      <w:bookmarkStart w:name="_Toc15" w:id="1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Реестр каналов</w:t>
      </w:r>
      <w:bookmarkEnd w:id="15"/>
    </w:p>
    <w:p>
      <w:pPr>
        <w:spacing w:after="0" w:before="0" w:line="360"/>
        <w:ind w:firstLine="709"/>
        <w:jc w:val="both"/>
      </w:pPr>
      <w:r>
        <w:t xml:space="preserve">Все 96 каналов описаны в реестре конфигурации: каноническое имя, описание, единица измерения, подсистема (первый контур – 19, второй контур – 15, радиационный контроль – 13, активная зона – 10, топливо – 7, защитная оболочка – 7, САОЗ – 6, тяжёлая авария – 6, КД – 5) и признак канала-подсказки. Восемь каналов-подсказок (расход и энергия течи, течь трубок ПГ, разрыв питательной линии) не измеряются штатными приборами и фактически содержат ответ; они исключены из генератора и верификатора. С учётом семи постоянных каналов верификатор использует 82 наблюдаемых канала.</w:t>
      </w:r>
    </w:p>
    <w:p>
      <w:pPr>
        <w:spacing w:after="0" w:before="0" w:line="360"/>
        <w:ind w:firstLine="709"/>
        <w:jc w:val="both"/>
      </w:pPr>
      <w:r>
        <w:t xml:space="preserve">Генератор видит шесть разрешённых каналов – по одному на каждую критическую функцию безопасности [7] (таблица 5).</w:t>
      </w:r>
    </w:p>
    <w:p>
      <w:pPr>
        <w:keepNext/>
        <w:spacing w:after="0" w:before="120" w:line="360"/>
        <w:ind w:firstLine="0"/>
        <w:jc w:val="left"/>
      </w:pPr>
      <w:r>
        <w:t xml:space="preserve">Таблица 5 – Разрешённые каналы генератора гипотез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4337"/>
      </w:tblGrid>
      <w:tr>
        <w:trPr>
          <w:cantSplit/>
          <w:tblHeader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Критическая функция безопасности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Канал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Величина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подкритичность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PWNT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мощность по нейтронному потоку, %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охлаждение активной зоны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TAVG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средняя температура теплоносителя, °C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теплоотвод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PSGA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давление в ПГ A, бар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целостность первого контура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давление в первом контуре, бар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защитная оболочка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PRB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давление в здании реактора, бар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запас теплоносителя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LVPZ</w:t>
            </w:r>
          </w:p>
        </w:tc>
        <w:tc>
          <w:tcPr>
            <w:tcW w:type="dxa" w:w="4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уровень в КД, %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Набор задан в конфигурации и не подбирался под точность классификатора. Он намеренно неполон: по этим каналам, например, плохо различаются разрывы трубок ПГ A и B. Различение обеспечивает верификатор, видящий все наблюдаемые каналы.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16" w:id="1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Конвейер подготовки данных</w:t>
      </w:r>
      <w:bookmarkEnd w:id="16"/>
    </w:p>
    <w:p>
      <w:pPr>
        <w:spacing w:after="0" w:before="0" w:line="360"/>
        <w:ind w:firstLine="709"/>
        <w:jc w:val="both"/>
      </w:pPr>
      <w:r>
        <w:t xml:space="preserve">Подготовка выполняется одной командой за 15 с и включает чтение и приведение столбцов к реестру, проверку сетки времени, присвоение непрозрачных идентификаторов, раздельное хранение меток, разбиение и нормализацию, сохранение данных с манифестом версий.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Идентификаторы.</w:t>
      </w:r>
      <w:r>
        <w:t xml:space="preserve"> Пути файлов содержат имя сценария, поэтому идентификатор прогона – 12 символов хэша SHA-256 от пути, идентификатор окна – 16 символов хэша от идентификатора прогона и номера точки. Исходный путь и метки (сценарий, тяжесть, номер неисправности) хранятся в отдельном хранилище, доступном только обучающим скриптам и оценщику.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Разбиение.</w:t>
      </w:r>
      <w:r>
        <w:t xml:space="preserve"> Прогоны делятся на обучающую, валидационную и тестовую выборки в пропорции 60/20/20, стратифицированно по сценарию, с фиксированным начальным значением генератора случайных чисел. Разбиение по прогонам исключает попадание соседних окон одного прогона в разные выборки. Для 11 классов получено 667, 222 и 222 прогона. Валидационная выборка используется для выбора моделей и порогов, тестовая – только для итоговой оценки.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Нормализация.</w:t>
      </w:r>
      <w:r>
        <w:t xml:space="preserve"> Каналы приводятся к z-оценкам; среднее и стандартное отклонение вычисляются только по обучающим прогонам.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Манифест</w:t>
      </w:r>
      <w:r>
        <w:t xml:space="preserve"> содержит коммит источника, хэш конфигурации, порядок каналов, параметры нормализации и состав выборок. Хэш конфигурации данных вычисляется только по разделам, влияющим на данные, поэтому изменение порогов верификатора не делает данные устаревшими.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17" w:id="1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Окна наблюдений и память о событии</w:t>
      </w:r>
      <w:bookmarkEnd w:id="17"/>
    </w:p>
    <w:p>
      <w:pPr>
        <w:spacing w:after="0" w:before="0" w:line="360"/>
        <w:ind w:firstLine="709"/>
        <w:jc w:val="both"/>
      </w:pPr>
      <w:r>
        <w:t xml:space="preserve">Прогон нарезается на окна длиной 12 точек (120 с) со сдвигом 6 точек (60 с); окна строятся детерминированно из сохранённых данных. Всего в наборе около 80 тыс. окон, в тестовой выборке 11 классов – 13 984.</w:t>
      </w:r>
    </w:p>
    <w:p>
      <w:pPr>
        <w:spacing w:after="0" w:before="0" w:line="360"/>
        <w:ind w:firstLine="709"/>
        <w:jc w:val="both"/>
      </w:pPr>
      <w:r>
        <w:t xml:space="preserve">Эксперимент показал, что по одному окну течи в горячей и холодной нитке различаются плохо: бинарный классификатор по 574 признакам окна достиг точности лишь 0,54. По окнам первых 300 с точность составила 0,885, а по изменениям каналов через 30, 60 и 120 с от начала события относительно исходного состояния 40 валидационных прогонов разделились без ошибок. Результат сохранился при добавлении шума 5 % и при исключении восьми наиболее информативных каналов. Поэтому модель данных дополнена памятью о событии – исходным состоянием и наблюдениями первых 120 с после начала события. Память причинна: в неё входят только точки, уже наблюдавшиеся к концу текущего окна.</w:t>
      </w:r>
    </w:p>
    <w:p>
      <w:pPr>
        <w:spacing w:after="0" w:before="0" w:line="360"/>
        <w:ind w:firstLine="709"/>
        <w:jc w:val="both"/>
      </w:pPr>
      <w:r>
        <w:t xml:space="preserve">Начало события определяется по данным, без знания момента ввода неисправности. Точка стационарна, если ни один наблюдаемый канал не изменился больше чем на 1 % за предыдущие 60 с; начало события – последняя стационарная точка перед отклонением. Событие считается законченным, только когда станция 120 с подряд стационарна и вернулась к состоянию до события. Защёлка необходима потому, что после аварии станция выходит на новое, но ненормальное стационарное состояние; без неё событие преждевременно «закрывалось» бы в 25,6 % окон валидационной выборки, с ней – в 1,1 %. На всех тестовых прогонах NPPAD найденное начало совпадает с началом записи.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18" w:id="1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Контракты данных</w:t>
      </w:r>
      <w:bookmarkEnd w:id="18"/>
    </w:p>
    <w:p>
      <w:pPr>
        <w:spacing w:after="0" w:before="0" w:line="360"/>
        <w:ind w:firstLine="709"/>
        <w:jc w:val="both"/>
      </w:pPr>
      <w:r>
        <w:t xml:space="preserve">Модули обмениваются типизированными контрактами с проверкой инвариантов и сериализацией (таблица 6).</w:t>
      </w:r>
    </w:p>
    <w:p>
      <w:pPr>
        <w:keepNext/>
        <w:spacing w:after="0" w:before="120" w:line="360"/>
        <w:ind w:firstLine="0"/>
        <w:jc w:val="left"/>
      </w:pPr>
      <w:r>
        <w:t xml:space="preserve">Таблица 6 – Контракты диагностического контура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4048"/>
        <w:gridCol w:w="2891"/>
      </w:tblGrid>
      <w:tr>
        <w:trPr>
          <w:cantSplit/>
          <w:tblHeader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Содержание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Инварианты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ObservationWindow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окно по всем каналам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форма данных согласована со списком каналов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RestrictedWindow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окно по разрешённым каналам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создаётся только барьером; нет метки, времени и прогона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EpisodeContext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память о событии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только прошлые точки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ScenarioHypothesis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сценарий, уверенность, ранг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уверенность в [0; 1]; без рекомендаций действий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HypothesisSet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набор гипотез top-k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 убыванию уверенности; сумма не больше 1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ChannelEvidence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свидетельство с весом и направлением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ссылка вида &lt;окно&gt;#&lt;канал&gt;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EventAnalogue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аналогичное историческое событие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формулировка «в аналогичных случаях наблюдалось…»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HypothesisVerdict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статус проверки гипотезы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подтверждена, отклонена или не определено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NoveltyAssessment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результаты проверок отклонения и новизны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расстояния и пороги</w:t>
            </w:r>
          </w:p>
        </w:tc>
      </w:tr>
      <w:tr>
        <w:trPr>
          <w:cantSplit/>
          <w:tblHeader w:val="off"/>
        </w:trPr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DiagnosticReport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итог диагностики окна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исход из конечного множества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Контракты верификатора ответа (Claim, EvidenceRef, Rule, RulePack, PolicyEffect, PolicyDecision, VerificationBundle) перенесены из проекта 7-го семестра без изменения смысла полей; к видам свидетельств добавлены телеметрия и историческое событие, к утверждению – необязательные атрибуты для правил.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19" w:id="1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Семантическая модель</w:t>
      </w:r>
      <w:bookmarkEnd w:id="19"/>
    </w:p>
    <w:p>
      <w:pPr>
        <w:spacing w:after="0" w:before="0" w:line="360"/>
        <w:ind w:firstLine="709"/>
        <w:jc w:val="both"/>
      </w:pPr>
      <w:r>
        <w:t xml:space="preserve">Единая модель диагностической информации реализована как граф знаний с явной схемой допустимых связей. Узлы: канал, прогон, окно, сценарий, историческое событие, документ, фрагмент, гипотеза, свидетельство, утверждение, правило, пакет правил, решение политики. Связи: «часть» (окно – прогон, фрагмент – документ, правило – пакет), «наблюдает» (окно – канал), «о чём» и «предлагает» (гипотеза – окно, сценарий), «ссылается» (свидетельство – канал, окно, событие, фрагмент), «поддерживает» и «противоречит» (свидетельство – гипотеза или утверждение), «аналогично» (событие – сценарий), «проверено» (утверждение – правило), «решает» и «применяет» (решение – утверждение, пакет). Недопустимая связь вызывает ошибку; каждый узел хранит происхождение (источник, версию, время). Путь «данные → гипотеза → проверка → ответ → решение» восстанавливается в графе по цепочке «канал – окно – гипотеза – свидетельство – утверждение – решение – пакет правил». Графовая СУБД не используется: объём графа невелик, а проверяемая схема важнее масштабирования.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20" w:id="2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Информационный барьер</w:t>
      </w:r>
      <w:bookmarkEnd w:id="20"/>
    </w:p>
    <w:p>
      <w:pPr>
        <w:spacing w:after="0" w:before="0" w:line="360"/>
        <w:ind w:firstLine="709"/>
        <w:jc w:val="both"/>
      </w:pPr>
      <w:r>
        <w:t xml:space="preserve">Требование 5 обеспечено на трёх уровнях. На уровне типа данных генератор принимает только RestrictedWindow, не содержащий метки, времени и идентификатора прогона. На уровне проекции барьер оставляет только разрешённые каналы конфигурации, а каналы-подсказки запрещены уже при её загрузке. На уровне идентификаторов и меток идентификаторы не содержат имени сценария, метки хранятся отдельно, а модули рабочего пути генератора не импортируют модуль меток, что проверяется статическим тестом. Все уровни покрыты контрактными тестами, в том числе на реальных данных.</w:t>
      </w:r>
    </w:p>
    <w:p>
      <w:pPr>
        <w:pStyle w:val="Heading1"/>
        <w:keepNext/>
        <w:pageBreakBefore/>
        <w:spacing w:after="120" w:before="0" w:line="360"/>
        <w:ind w:firstLine="709"/>
        <w:jc w:val="left"/>
      </w:pPr>
      <w:bookmarkStart w:name="_Toc21" w:id="2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Методы формирования и проверки гипотез</w:t>
      </w:r>
      <w:bookmarkEnd w:id="21"/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24860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ind w:firstLine="0"/>
        <w:jc w:val="center"/>
      </w:pPr>
      <w:r>
        <w:t xml:space="preserve">Рисунок 2 – Диагностический конвейер и исходы диагностики</w:t>
      </w:r>
    </w:p>
    <w:p>
      <w:pPr>
        <w:spacing w:after="0" w:before="0" w:line="360"/>
        <w:ind w:firstLine="709"/>
        <w:jc w:val="both"/>
      </w:pPr>
      <w:r>
        <w:t xml:space="preserve">Диагностический конвейер (рисунок 2) для каждого окна наблюдений выполняет проверку отклонения, формирование гипотез, их независимую проверку, проверку новизны и выбор итогового исхода.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22" w:id="2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Генератор гипотез</w:t>
      </w:r>
      <w:bookmarkEnd w:id="22"/>
    </w:p>
    <w:p>
      <w:pPr>
        <w:spacing w:after="0" w:before="0" w:line="360"/>
        <w:ind w:firstLine="709"/>
        <w:jc w:val="both"/>
      </w:pPr>
      <w:r>
        <w:t xml:space="preserve">Генератор формирует по окну шести разрешённых каналов три наиболее вероятные гипотезы о сценарии. Для каждого канала вычисляются семь признаков окна: значение в начале и в конце окна, среднее, стандартное отклонение, минимум, максимум и наклон линейного тренда, всего 42 признака.</w:t>
      </w:r>
    </w:p>
    <w:p>
      <w:pPr>
        <w:spacing w:after="0" w:before="0" w:line="360"/>
        <w:ind w:firstLine="709"/>
        <w:jc w:val="both"/>
      </w:pPr>
      <w:r>
        <w:t xml:space="preserve">Сравнивались два классификатора библиотеки scikit-learn [19]: логистическая регрессия со стандартизацией признаков и градиентный бустинг на гистограммах [20] (300 итераций). Обучение выполнялось на окнах обучающей выборки. Уверенность калибровалась температурным масштабированием [21]: вероятности преобразуются по правилу p ∝ exp(ln p / T), параметр T подбирается минимизацией NLL на валидационной выборке. Модель выбиралась по NLL на валидационной выборке после калибровки (таблица 7).</w:t>
      </w:r>
    </w:p>
    <w:p>
      <w:pPr>
        <w:keepNext/>
        <w:spacing w:after="0" w:before="120" w:line="360"/>
        <w:ind w:firstLine="0"/>
        <w:jc w:val="left"/>
      </w:pPr>
      <w:r>
        <w:t xml:space="preserve">Таблица 7 – Сравнение моделей генератора на валидационной выборке (12 классов, этап 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349"/>
        <w:gridCol w:w="1349"/>
        <w:gridCol w:w="2024"/>
        <w:gridCol w:w="2025"/>
      </w:tblGrid>
      <w:tr>
        <w:trPr>
          <w:cantSplit/>
          <w:tblHeader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Модель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top-1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top-3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ECE до калибровки</w:t>
            </w:r>
          </w:p>
        </w:tc>
        <w:tc>
          <w:tcPr>
            <w:tcW w:type="dxa" w:w="20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ECE после калибровки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логистическая регрессия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0,652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0,977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0,057</w:t>
            </w:r>
          </w:p>
        </w:tc>
        <w:tc>
          <w:tcPr>
            <w:tcW w:type="dxa" w:w="20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0,050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градиентный бустинг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0,786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0,998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0,055</w:t>
            </w:r>
          </w:p>
        </w:tc>
        <w:tc>
          <w:tcPr>
            <w:tcW w:type="dxa" w:w="20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0,029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Выбран градиентный бустинг. Значение T = 1,67 &gt; 1 означает, что до калибровки модель была сверхуверенной; калибровка почти вдвое снизила ошибку калибровки. Языковая модель в генераторе не используется: классический классификатор детерминирован, калибруется и объясним, что соответствует требованию к этапу «мягкой интерпретации» [5].</w:t>
      </w:r>
    </w:p>
    <w:p>
      <w:pPr>
        <w:spacing w:after="0" w:before="0" w:line="360"/>
        <w:ind w:firstLine="709"/>
        <w:jc w:val="both"/>
      </w:pPr>
      <w:r>
        <w:t xml:space="preserve">Основные пары путаницы генератора – сценарии, физически близкие по шести каналам: течь в горячей и холодной нитке, разрывы трубок ПГ A и B, извлечение и введение стержней. Верный сценарий почти всегда входит в три гипотезы, поэтому основная задача верификатора – выбор внутри набора гипотез.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23" w:id="2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Верификатор гипотез</w:t>
      </w:r>
      <w:bookmarkEnd w:id="23"/>
    </w:p>
    <w:p>
      <w:pPr>
        <w:spacing w:after="0" w:before="0" w:line="360"/>
        <w:ind w:firstLine="709"/>
        <w:jc w:val="both"/>
      </w:pPr>
      <w:r>
        <w:t xml:space="preserve">Верификатор независим от генератора по данным (82 наблюдаемых канала вместо 6) и по методу (квантильные сигнатуры и правила вместо обучаемого классификатора).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Сигнатуры окна.</w:t>
      </w:r>
      <w:r>
        <w:t xml:space="preserve"> По обучающим окнам для каждого сценария и канала вычисляются квантили 1, 5, 50, 95 и 99 % двух признаков – уровня (среднее нормированное значение) и тренда (наклон на шаг), всего 164 признака. Типичным считается интервал от 5 до 95 %, допустимым – от 1 до 99 %.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Сигнатуры ранней фазы.</w:t>
      </w:r>
      <w:r>
        <w:t xml:space="preserve"> По памяти о событии для каждого канала вычисляются изменения через 30, 60 и 120 с от начала события относительно исходного состояния (246 признаков) – по одному вектору на обучающий прогон, тем же квантильным методом. Признаки, ещё не наблюдавшиеся к текущему моменту, в проверке не участвуют.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Специфичность.</w:t>
      </w:r>
      <w:r>
        <w:t xml:space="preserve"> Элемент матрицы специфичности spec(s, o, p) – доля окон сценария o, у которых признак p выходит за типичный интервал сценария s. Чем больше значение, тем лучше признак p отличает сценарий s от сценария o.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Контрастная проверка.</w:t>
      </w:r>
      <w:r>
        <w:t xml:space="preserve"> Гипотеза s проверяется против конкурентов – остальных гипотез того же набора. При наличии памяти о событии для каждого конкурента o отбираются признаки с наибольшей специфичностью именно против него (попарный отбор); без памяти используется средняя специфичность по конкурентам. Для каждого отобранного признака значение в типичном интервале s даёт свидетельство «за» с весом w, за пределами допустимого – «против» с весом w, между ними – «против» с весом w/2. Доля подтверждений равна отношению суммы весов свидетельств «за» к сумме весов всех свидетельств (таблица 8).</w:t>
      </w:r>
    </w:p>
    <w:p>
      <w:pPr>
        <w:keepNext/>
        <w:spacing w:after="0" w:before="120" w:line="360"/>
        <w:ind w:firstLine="0"/>
        <w:jc w:val="left"/>
      </w:pPr>
      <w:r>
        <w:t xml:space="preserve">Таблица 8 – Параметры верификатора гипотез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 памятью о событии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Без памяти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минимальный вес признака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0,5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0,7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порог подтверждения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0,7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0,6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порог отклонения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0,4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0,4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отбор признаков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попарный</w:t>
            </w:r>
          </w:p>
        </w:tc>
        <w:tc>
          <w:tcPr>
            <w:tcW w:type="dxa" w:w="28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 средней специфичности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Параметры подбирались перебором на валидационной выборке по критерию безопасности: максимум доли подтверждённых верных гипотез при доле подтверждённых неверных не более 10 %. Ложное подтверждение для АЭС опаснее неопределённости: неопределённость оставляет решение оператору, а ложное подтверждение усиливает чрезмерное доверие к автоматике [2]. При исходных параметрах верификатор подтверждал 30 % неверных гипотез; после подбора – 4 % на этапе B и 1,6 % на этапе C.</w:t>
      </w:r>
    </w:p>
    <w:p>
      <w:pPr>
        <w:spacing w:after="0" w:before="0" w:line="360"/>
        <w:ind w:firstLine="709"/>
        <w:jc w:val="both"/>
      </w:pPr>
      <w:r>
        <w:t xml:space="preserve">Попарный отбор введён после первого итогового прогона, в котором течь в горячей нитке в 50 % окон получала исход «неоднозначно»: признаки, отобранные по средней специфичности, отличали её от разрыва трубки ПГ, но не от течи в холодной нитке. На валидационной выборке попарный отбор повысил долю установленных течей в горячей нитке с 48 до 97 %. Без памяти о событии попарный отбор подтверждал 25 % неверных гипотез, поэтому для этого случая сохранён прежний метод.</w:t>
      </w:r>
    </w:p>
    <w:p>
      <w:pPr>
        <w:spacing w:after="0" w:before="0" w:line="360"/>
        <w:ind w:firstLine="709"/>
        <w:jc w:val="both"/>
      </w:pPr>
      <w:r>
        <w:t xml:space="preserve">Каждое свидетельство содержит ссылку на канал и окно, наблюдаемое значение, ожидаемый интервал и вес, например: «Press Partial RB air (bar): уровень +2,11σ – в типичном диапазоне для LOCA [−0,4; +2,23]».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24" w:id="2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Проверка отклонения и новизны</w:t>
      </w:r>
      <w:bookmarkEnd w:id="24"/>
    </w:p>
    <w:p>
      <w:pPr>
        <w:spacing w:after="0" w:before="0" w:line="360"/>
        <w:ind w:firstLine="709"/>
        <w:jc w:val="both"/>
      </w:pPr>
      <w:r>
        <w:t xml:space="preserve">Верификатор оценивает согласие данных с гипотезой, но не может установить, что событие не похоже ни на один известный сценарий. На этапе B пробы вне обучаемого множества подтверждались в 69 % окон. Для решения этой задачи введены две проверки [22].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Проверка отклонения.</w:t>
      </w:r>
      <w:r>
        <w:t xml:space="preserve"> Канал считается отклонившимся, если |x − x₀| / max(|x₀|, 10⁻³) &gt; 0,01, где x₀ – значение в исходном состоянии. Четыре канала, дрейфующих и без события (HTR, RBLK, RHFL, RHMT; установлены по прогонам без события), не учитываются. Если не отклонился ни один канал, исход – «отклонений не обнаружено».</w:t>
      </w:r>
    </w:p>
    <w:p>
      <w:pPr>
        <w:spacing w:after="0" w:before="0" w:line="360"/>
        <w:ind w:firstLine="709"/>
        <w:jc w:val="both"/>
      </w:pPr>
      <w:r>
        <w:rPr>
          <w:b/>
          <w:bCs/>
        </w:rPr>
        <w:t xml:space="preserve">Проверка новизны.</w:t>
      </w:r>
      <w:r>
        <w:t xml:space="preserve"> Вычисляются среднеквадратичное расстояние (с робастной нормировкой, только по уже наблюдённым признакам) от признаков ранней фазы текущего события до ближайшего обучающего события и евклидово расстояние от признаков окна до ближайшего обучающего окна. Порог каждого расстояния – 99-й перцентиль на валидационной выборке (1,312 и 6,093). Событие признаётся новым, если превышен любой порог; суммарная доля ложных тревог на известных сценариях валидационной выборки – 2,0 %.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25" w:id="2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Итоговое правило выбора</w:t>
      </w:r>
      <w:bookmarkEnd w:id="25"/>
    </w:p>
    <w:p>
      <w:pPr>
        <w:spacing w:after="0" w:before="0" w:line="360"/>
        <w:ind w:firstLine="709"/>
        <w:jc w:val="both"/>
      </w:pPr>
      <w:r>
        <w:t xml:space="preserve">Исход диагностики окна определяется правилом:</w:t>
      </w:r>
    </w:p>
    <w:p>
      <w:pPr>
        <w:spacing w:after="0" w:before="0" w:line="360"/>
        <w:ind w:firstLine="709"/>
        <w:jc w:val="both"/>
      </w:pPr>
      <w:r>
        <w:t xml:space="preserve">1) нет отклонения – NO_ANOMALY («отклонений не обнаружено»);</w:t>
      </w:r>
    </w:p>
    <w:p>
      <w:pPr>
        <w:spacing w:after="0" w:before="0" w:line="360"/>
        <w:ind w:firstLine="709"/>
        <w:jc w:val="both"/>
      </w:pPr>
      <w:r>
        <w:t xml:space="preserve">2) событие новое – NOVEL («ситуация не похожа ни на один известный сценарий»);</w:t>
      </w:r>
    </w:p>
    <w:p>
      <w:pPr>
        <w:spacing w:after="0" w:before="0" w:line="360"/>
        <w:ind w:firstLine="709"/>
        <w:jc w:val="both"/>
      </w:pPr>
      <w:r>
        <w:t xml:space="preserve">3) нет подтверждённых гипотез – UNCONFIRMED («не подтверждено»);</w:t>
      </w:r>
    </w:p>
    <w:p>
      <w:pPr>
        <w:spacing w:after="0" w:before="0" w:line="360"/>
        <w:ind w:firstLine="709"/>
        <w:jc w:val="both"/>
      </w:pPr>
      <w:r>
        <w:t xml:space="preserve">4) подтверждена одна гипотеза или лидер опережает вторую подтверждённую по доле подтверждений не менее чем на 0,1 – IDENTIFIED («вероятна ситуация X»);</w:t>
      </w:r>
    </w:p>
    <w:p>
      <w:pPr>
        <w:spacing w:after="0" w:before="0" w:line="360"/>
        <w:ind w:firstLine="709"/>
        <w:jc w:val="both"/>
      </w:pPr>
      <w:r>
        <w:t xml:space="preserve">5) иначе – AMBIGUOUS («неоднозначно»).</w:t>
      </w:r>
    </w:p>
    <w:p>
      <w:pPr>
        <w:spacing w:after="0" w:before="0" w:line="360"/>
        <w:ind w:firstLine="709"/>
        <w:jc w:val="both"/>
      </w:pPr>
      <w:r>
        <w:t xml:space="preserve">Сведения приведены в таблице 9.</w:t>
      </w:r>
    </w:p>
    <w:p>
      <w:pPr>
        <w:keepNext/>
        <w:spacing w:after="0" w:before="120" w:line="360"/>
        <w:ind w:firstLine="0"/>
        <w:jc w:val="left"/>
      </w:pPr>
      <w:r>
        <w:t xml:space="preserve">Таблица 9 – Выбор допуска итогового правила на валидационной выборке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cantSplit/>
          <w:tblHeader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Допуск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Точность исхода IDENTIFIED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Доля окон с исходом IDENTIFIED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0,978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0,923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0,05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0,995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0,886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0,1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0,996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0,882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0,2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0,996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0,847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0,3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0,996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0,823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Выбран допуск 0,1: при дальнейшем увеличении точность не растёт, а доля диагнозов снижается.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26" w:id="2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Подбор аналогов</w:t>
      </w:r>
      <w:bookmarkEnd w:id="26"/>
    </w:p>
    <w:p>
      <w:pPr>
        <w:spacing w:after="0" w:before="0" w:line="360"/>
        <w:ind w:firstLine="709"/>
        <w:jc w:val="both"/>
      </w:pPr>
      <w:r>
        <w:t xml:space="preserve">Для каждого сценария NPPAD в конфигурации заданы типы исходного события базы ETHZ (например, для разрыва трубки ПГ – Steam Generator Tube Rupture, для течей – SBLOCA, MBLOCA, LBLOCA), текстовый запрос и системы-источники. События с совпавшим типом исходного события ранжируются первыми; затем выдача дополняется текстовым поиском BM25 [23] по словам и словосочетаниям описания, системы и причины события, с повышающим коэффициентом 1,5 при совпадении системы и порогом оценки 3,0. Дубли (одно событие на нескольких энергоблоках) удаляются. Аналог формулируется как справка «в аналогичных случаях наблюдалось…» без предписания действий. Реализация BM25 используется также в памяти ассистента вместо поиска по подстроке, что устранило расхождение с отчётом 6-го семестра.</w:t>
      </w:r>
    </w:p>
    <w:p>
      <w:pPr>
        <w:pStyle w:val="Heading1"/>
        <w:keepNext/>
        <w:pageBreakBefore/>
        <w:spacing w:after="120" w:before="0" w:line="360"/>
        <w:ind w:firstLine="709"/>
        <w:jc w:val="left"/>
      </w:pPr>
      <w:bookmarkStart w:name="_Toc27" w:id="2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Верификация ответа и интеграция с ассистентом</w:t>
      </w:r>
      <w:bookmarkEnd w:id="27"/>
    </w:p>
    <w:p>
      <w:pPr>
        <w:pStyle w:val="Heading2"/>
        <w:keepNext/>
        <w:spacing w:after="120" w:before="240" w:line="360"/>
        <w:ind w:firstLine="709"/>
        <w:jc w:val="left"/>
      </w:pPr>
      <w:bookmarkStart w:name="_Toc28" w:id="2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Верификатор ответа</w:t>
      </w:r>
      <w:bookmarkEnd w:id="28"/>
    </w:p>
    <w:p>
      <w:pPr>
        <w:spacing w:after="0" w:before="0" w:line="360"/>
        <w:ind w:firstLine="709"/>
        <w:jc w:val="both"/>
      </w:pPr>
      <w:r>
        <w:t xml:space="preserve">Верификатор ответа реализует схему «утверждение – свидетельство – набор правил – решение политики» и располагается между агентами ассистента и пользователем. Каждый агент передаёт вместе с текстом список утверждений со ссылками на свидетельства: агент поиска – на найденные фрагменты базы знаний, агент выполнения кода – на запись журнала запусков, агент-аналитик – на собственный текст, диагностический ответ – на окна и каналы телеметрии, события ETHZ и фрагменты базы знаний.</w:t>
      </w:r>
    </w:p>
    <w:p>
      <w:pPr>
        <w:spacing w:after="0" w:before="0" w:line="360"/>
        <w:ind w:firstLine="709"/>
        <w:jc w:val="both"/>
      </w:pPr>
      <w:r>
        <w:t xml:space="preserve">Доверие к источнику задаёт политика по виду источника, а не агент: подтверждение человека – 1,0, нормативный документ – 0,95, телеметрия – 0,9, вывод инструмента – 0,8, фрагмент базы знаний – 0,7, историческое событие – 0,6, текст модели – 0,2. Сила утверждения равна минимуму доверия по его свидетельствам, уверенность ответа – минимуму силы утверждений (таблица 10).</w:t>
      </w:r>
    </w:p>
    <w:p>
      <w:pPr>
        <w:keepNext/>
        <w:spacing w:after="0" w:before="120" w:line="360"/>
        <w:ind w:firstLine="0"/>
        <w:jc w:val="left"/>
      </w:pPr>
      <w:r>
        <w:t xml:space="preserve">Таблица 10 – Правила пакета aes-core-1.1.0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5"/>
        <w:gridCol w:w="2313"/>
        <w:gridCol w:w="4530"/>
      </w:tblGrid>
      <w:tr>
        <w:trPr>
          <w:cantSplit/>
          <w:tblHeader/>
        </w:trPr>
        <w:tc>
          <w:tcPr>
            <w:tcW w:type="dxa" w:w="2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Правило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Уровень</w:t>
            </w:r>
          </w:p>
        </w:tc>
        <w:tc>
          <w:tcPr>
            <w:tcW w:type="dxa" w:w="4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Проверка</w:t>
            </w:r>
          </w:p>
        </w:tc>
      </w:tr>
      <w:tr>
        <w:trPr>
          <w:cantSplit/>
          <w:tblHeader w:val="off"/>
        </w:trPr>
        <w:tc>
          <w:tcPr>
            <w:tcW w:type="dxa" w:w="2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EVIDENCE_REQUIRED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ошибка</w:t>
            </w:r>
          </w:p>
        </w:tc>
        <w:tc>
          <w:tcPr>
            <w:tcW w:type="dxa" w:w="4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есть хотя бы одно утверждение, и у каждого есть ссылка</w:t>
            </w:r>
          </w:p>
        </w:tc>
      </w:tr>
      <w:tr>
        <w:trPr>
          <w:cantSplit/>
          <w:tblHeader w:val="off"/>
        </w:trPr>
        <w:tc>
          <w:tcPr>
            <w:tcW w:type="dxa" w:w="2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NO_MODEL_ONLY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предупреждение</w:t>
            </w:r>
          </w:p>
        </w:tc>
        <w:tc>
          <w:tcPr>
            <w:tcW w:type="dxa" w:w="4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нет утверждений, опирающихся только на текст модели</w:t>
            </w:r>
          </w:p>
        </w:tc>
      </w:tr>
      <w:tr>
        <w:trPr>
          <w:cantSplit/>
          <w:tblHeader w:val="off"/>
        </w:trPr>
        <w:tc>
          <w:tcPr>
            <w:tcW w:type="dxa" w:w="2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REF_RESOLVABLE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ошибка</w:t>
            </w:r>
          </w:p>
        </w:tc>
        <w:tc>
          <w:tcPr>
            <w:tcW w:type="dxa" w:w="4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каждая ссылка разрешается в существующий артефакт</w:t>
            </w:r>
          </w:p>
        </w:tc>
      </w:tr>
      <w:tr>
        <w:trPr>
          <w:cantSplit/>
          <w:tblHeader w:val="off"/>
        </w:trPr>
        <w:tc>
          <w:tcPr>
            <w:tcW w:type="dxa" w:w="2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DIAGNOSIS_CONFIRMED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предупреждение</w:t>
            </w:r>
          </w:p>
        </w:tc>
        <w:tc>
          <w:tcPr>
            <w:tcW w:type="dxa" w:w="4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диагноз без оговорки выпускается только при исходах IDENTIFIED и NO_ANOMALY</w:t>
            </w:r>
          </w:p>
        </w:tc>
      </w:tr>
      <w:tr>
        <w:trPr>
          <w:cantSplit/>
          <w:tblHeader w:val="off"/>
        </w:trPr>
        <w:tc>
          <w:tcPr>
            <w:tcW w:type="dxa" w:w="27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NO_DIRECTIVES</w:t>
            </w:r>
          </w:p>
        </w:tc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ошибка</w:t>
            </w:r>
          </w:p>
        </w:tc>
        <w:tc>
          <w:tcPr>
            <w:tcW w:type="dxa" w:w="4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 ответе нет указаний к действию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Нарушение правила уровня «ошибка» приводит к решению BLOCK – вместо ответа выдаётся безопасная заглушка. Нарушение предупреждения или уверенность ниже 0,5 – к решению REQUIRE_HUMAN: ответ выпускается с пометкой «требуется оценка оператора» и перечнем причин. Иначе принимается решение ALLOW. Разрешимость ссылок проверяют источники данных: окна – источник телеметрии, события – база ETHZ, фрагменты – векторная память, запуски кода – журнал исполнителя. Пакет правил версионируется; первая версия (aes-core-1.0.0, три правила) сохранена для воспроизводимости ранних результатов.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29" w:id="2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Режимы работы</w:t>
      </w:r>
      <w:bookmarkEnd w:id="29"/>
    </w:p>
    <w:p>
      <w:pPr>
        <w:spacing w:after="0" w:before="0" w:line="360"/>
        <w:ind w:firstLine="709"/>
        <w:jc w:val="both"/>
      </w:pPr>
      <w:r>
        <w:t xml:space="preserve">Чтобы не изменить поведение базового ассистента (требование 1), введены три режима проверки. В режиме off проверки нет. В режиме shadow (по умолчанию для чата) решение вычисляется и записывается в трассу, а текст не меняется. В режиме enforce решения применяются, и в память диалога записывается только выпущенный текст. Диагностический ответ всегда проверяется в режиме enforce. Такое поэтапное включение новых защитных слоёв соответствует рекомендациям анализа развития системы [5].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30" w:id="3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Диагностический ответ</w:t>
      </w:r>
      <w:bookmarkEnd w:id="30"/>
    </w:p>
    <w:p>
      <w:pPr>
        <w:spacing w:after="0" w:before="0" w:line="360"/>
        <w:ind w:firstLine="709"/>
        <w:jc w:val="both"/>
      </w:pPr>
      <w:r>
        <w:t xml:space="preserve">Метод explain_diagnosis агента-аналитика строит ответ из итогов диагностики детерминированно: оценка ситуации; гипотезы со статусами проверки и долями подтверждений; свидетельства с метками [E1], [E2] и ссылками на окно и канал; аналоги ETHZ с метками [A1]; для установленного сценария – справка из базы знаний с меткой [D1]; завершающая фраза о том, что решение о действиях принимает оператор. Каждая фраза оформляется как утверждение со ссылками. Пример ответа приведён в приложении Б.</w:t>
      </w:r>
    </w:p>
    <w:p>
      <w:pPr>
        <w:spacing w:after="0" w:before="0" w:line="360"/>
        <w:ind w:firstLine="709"/>
        <w:jc w:val="both"/>
      </w:pPr>
      <w:r>
        <w:t xml:space="preserve">По запросу языковая модель добавляет краткое пояснение. Оно разбирается по предложениям: предложение со ссылками опирается на соответствующие свидетельства, предложение без ссылок – только на текст модели, ссылка на несуществующее свидетельство нарушает правило REF_RESOLVABLE. Если пояснение приводит к блокировке ответа, оно отбрасывается, детерминированная часть проверяется повторно и выпускается с пометкой «Пояснение языковой модели не выпущено…»; отклонённое пояснение сохраняется в трассе для аудита. Так ошибка необязательного компонента не лишает оператора проверенной диагностики.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31" w:id="3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 Справка по сценариям</w:t>
      </w:r>
      <w:bookmarkEnd w:id="31"/>
    </w:p>
    <w:p>
      <w:pPr>
        <w:spacing w:after="0" w:before="0" w:line="360"/>
        <w:ind w:firstLine="709"/>
        <w:jc w:val="both"/>
      </w:pPr>
      <w:r>
        <w:t xml:space="preserve">Ответ должен ссылаться на документацию, однако база знаний прототипа не содержала документов по аварийным сценариям. Справка по каждому обучаемому сценарию построена автоматически из журналов событий симулятора обучающих прогонов: какие действия систем станции происходят, в какой доле прогонов и в какое время (медиана и межквартильный размах) (таблица 11).</w:t>
      </w:r>
    </w:p>
    <w:p>
      <w:pPr>
        <w:keepNext/>
        <w:spacing w:after="0" w:before="120" w:line="360"/>
        <w:ind w:firstLine="0"/>
        <w:jc w:val="left"/>
      </w:pPr>
      <w:r>
        <w:t xml:space="preserve">Таблица 11 – Фрагмент справки по сценарию LOCA (60 обучающих прогонов)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1735"/>
        <w:gridCol w:w="2120"/>
      </w:tblGrid>
      <w:tr>
        <w:trPr>
          <w:cantSplit/>
          <w:tblHeader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Событие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Доля прогонов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Время, медиана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сигнал АЗ по низкому давлению первого контура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95 %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125 с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аварийная остановка реактора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100 %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126 с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включение насосов высоконапорного впрыска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100 %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133 с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запуск спринклерной системы защитной оболочки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100 %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159 с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закрытие отсечных клапанов питательной воды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78 %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304 с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оголение активной зоны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47 %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16 мин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переход на рециркуляцию из приямка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98 %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49 мин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Справка описательна и не содержит указаний к действию; фрагменты, содержащие такие указания, в ответ не допускаются. Справка загружается в память ассистента и в векторную базу с меткой сценария, а ответ ссылается только на справку установленного сценария. Это описание поведения модели энергоблока в симуляторе, а не эксплуатационная документация.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32" w:id="3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 Трассировка и программный интерфейс</w:t>
      </w:r>
      <w:bookmarkEnd w:id="32"/>
    </w:p>
    <w:p>
      <w:pPr>
        <w:spacing w:after="0" w:before="0" w:line="360"/>
        <w:ind w:firstLine="709"/>
        <w:jc w:val="both"/>
      </w:pPr>
      <w:r>
        <w:t xml:space="preserve">Метод diagnose оркестратора принимает источник телеметрии и момент времени, выполняет диагностический конвейер, строит и проверяет ответ. Источник телеметрии воспроизводит прогон только на чтение и выдаёт окно, завершившееся не позже запрошенного момента; запрос раньше конца первого окна отклоняется, чтобы не показать данные из будущего. Программный интерфейс предоставляет метод POST /diagnose с параметрами «прогон» и «момент времени».</w:t>
      </w:r>
    </w:p>
    <w:p>
      <w:pPr>
        <w:spacing w:after="0" w:before="0" w:line="360"/>
        <w:ind w:firstLine="709"/>
        <w:jc w:val="both"/>
      </w:pPr>
      <w:r>
        <w:t xml:space="preserve">В Langfuse [10] записывается трасса atomic.diagnose со спанами этапов (гипотезы генератора, проверка, новизна, справка) и метаданными: полный пакет проверки (утверждения, результаты правил, решение, версия пакета правил), исход, версии моделей, задержки этапов. По трассе восстанавливается путь «данные – гипотеза – проверка – ответ – решение»; это подтверждено выгрузкой живой трассы через программный интерфейс Langfuse (таблица 12).</w:t>
      </w:r>
    </w:p>
    <w:p>
      <w:pPr>
        <w:keepNext/>
        <w:spacing w:after="0" w:before="120" w:line="360"/>
        <w:ind w:firstLine="0"/>
        <w:jc w:val="left"/>
      </w:pPr>
      <w:r>
        <w:t xml:space="preserve">Таблица 12 – Путь диагностики, восстановленный по трассе Langfuse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Звено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Значение в трассе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данные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окно 00f89e960b2f3947 (валидационный прогон LOCA)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гипотезы генератора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LOCAC, LOCA, LLB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проверка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LOCAC – не определено, LOCA – подтверждена, LLB – отклонена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новизна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нет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справка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dataset/scenarios/LOCA.txt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исход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IDENTIFIED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утверждений в пакете проверки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8</w:t>
            </w:r>
          </w:p>
        </w:tc>
      </w:tr>
      <w:tr>
        <w:trPr>
          <w:cantSplit/>
          <w:tblHeader w:val="off"/>
        </w:trPr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решение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ALLOW, пакет aes-core-1.1.0</w:t>
            </w:r>
          </w:p>
        </w:tc>
      </w:tr>
    </w:tbl>
    <w:p>
      <w:pPr>
        <w:spacing w:after="120" w:line="240"/>
      </w:pPr>
    </w:p>
    <w:p>
      <w:pPr>
        <w:pStyle w:val="Heading1"/>
        <w:keepNext/>
        <w:pageBreakBefore/>
        <w:spacing w:after="120" w:before="0" w:line="360"/>
        <w:ind w:firstLine="709"/>
        <w:jc w:val="left"/>
      </w:pPr>
      <w:bookmarkStart w:name="_Toc33" w:id="3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Программная реализация</w:t>
      </w:r>
      <w:bookmarkEnd w:id="33"/>
    </w:p>
    <w:p>
      <w:pPr>
        <w:pStyle w:val="Heading2"/>
        <w:keepNext/>
        <w:spacing w:after="120" w:before="240" w:line="360"/>
        <w:ind w:firstLine="709"/>
        <w:jc w:val="left"/>
      </w:pPr>
      <w:bookmarkStart w:name="_Toc34" w:id="3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Технологии и структура</w:t>
      </w:r>
      <w:bookmarkEnd w:id="34"/>
    </w:p>
    <w:p>
      <w:pPr>
        <w:spacing w:after="0" w:before="0" w:line="360"/>
        <w:ind w:firstLine="709"/>
        <w:jc w:val="both"/>
      </w:pPr>
      <w:r>
        <w:t xml:space="preserve">Система реализована на Python 3.12 с использованием scikit-learn, NumPy, FastAPI [24], PostgreSQL с pgvector [8], Ollama [9] и Langfuse; зависимости зафиксированы менеджером uv [11]. Объём кода вырос с 1694 до 8786 строк: 60 модулей пакета, 18 скриптов и 21 файл тестов (таблица 13).</w:t>
      </w:r>
    </w:p>
    <w:p>
      <w:pPr>
        <w:keepNext/>
        <w:spacing w:after="0" w:before="120" w:line="360"/>
        <w:ind w:firstLine="0"/>
        <w:jc w:val="left"/>
      </w:pPr>
      <w:r>
        <w:t xml:space="preserve">Таблица 13 – Основные модули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Модуль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off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atomic/contracts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контракты диагностического контура и верификатора ответа</w:t>
            </w:r>
          </w:p>
        </w:tc>
      </w:tr>
      <w:tr>
        <w:trPr>
          <w:cantSplit/>
          <w:tblHeader w:val="off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atomic/knowledge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граф знаний и функции его наполнения</w:t>
            </w:r>
          </w:p>
        </w:tc>
      </w:tr>
      <w:tr>
        <w:trPr>
          <w:cantSplit/>
          <w:tblHeader w:val="off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atomic/diagnostics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загрузка NPPAD, барьер, генератор, сигнатуры, верификатор гипотез, новизна, начало события, аналоги, конвейер, источники телеметрии</w:t>
            </w:r>
          </w:p>
        </w:tc>
      </w:tr>
      <w:tr>
        <w:trPr>
          <w:cantSplit/>
          <w:tblHeader w:val="off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atomic/verification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правила, разрешение ссылок, политика, верификатор ответа</w:t>
            </w:r>
          </w:p>
        </w:tc>
      </w:tr>
      <w:tr>
        <w:trPr>
          <w:cantSplit/>
          <w:tblHeader w:val="off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atomic/agents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агенты ассистента и построение диагностического ответа</w:t>
            </w:r>
          </w:p>
        </w:tc>
      </w:tr>
      <w:tr>
        <w:trPr>
          <w:cantSplit/>
          <w:tblHeader w:val="off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atomic/orchestration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оркестратор с методами ask, ask_verified и diagnose</w:t>
            </w:r>
          </w:p>
        </w:tc>
      </w:tr>
      <w:tr>
        <w:trPr>
          <w:cantSplit/>
          <w:tblHeader w:val="off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atomic/memory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память диалога, векторная память, BM25, справка по сценариям</w:t>
            </w:r>
          </w:p>
        </w:tc>
      </w:tr>
      <w:tr>
        <w:trPr>
          <w:cantSplit/>
          <w:tblHeader w:val="off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config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реестр каналов, параметры диагностики, соответствие сценариев и событий, пакеты правил</w:t>
            </w:r>
          </w:p>
        </w:tc>
      </w:tr>
      <w:tr>
        <w:trPr>
          <w:cantSplit/>
          <w:tblHeader w:val="off"/>
        </w:trPr>
        <w:tc>
          <w:tcPr>
            <w:tcW w:type="dxa" w:w="3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scripts</w:t>
            </w:r>
          </w:p>
        </w:tc>
        <w:tc>
          <w:tcPr>
            <w:tcW w:type="dxa" w:w="6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подготовка данных, обучение, оценка, демонстрация, выгрузка трассы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Параметры – разрешённые каналы, окна, разбиение, пороги верификатора, новизны и начала события, допуск правила выбора – задаются в конфигурации, а не в коде. Каждое решение с обоснованием и рассмотренными альтернативами занесено в реестр (приложение В).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35" w:id="3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Воспроизводимость</w:t>
      </w:r>
      <w:bookmarkEnd w:id="35"/>
    </w:p>
    <w:p>
      <w:pPr>
        <w:spacing w:after="0" w:before="0" w:line="360"/>
        <w:ind w:firstLine="709"/>
        <w:jc w:val="both"/>
      </w:pPr>
      <w:r>
        <w:t xml:space="preserve">Воспроизводимость обеспечивается фиксированными версиями зависимостей и интерпретатора, конфигурацией с хэшами, фиксированным начальным значением генератора случайных чисел и коммитом источника данных в манифесте. К каждому результату прилагается паспорт версий: версии генератора, верификатора, детектора новизны и пакета правил, хэши конфигурации и списка зависимостей, версии Python и библиотек, цифровые отпечатки моделей Ollama. Данные и модели не хранятся в системе контроля версий, а восстанавливаются скриптами.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36" w:id="3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Тестирование</w:t>
      </w:r>
      <w:bookmarkEnd w:id="36"/>
    </w:p>
    <w:p>
      <w:pPr>
        <w:spacing w:after="0" w:before="0" w:line="360"/>
        <w:ind w:firstLine="709"/>
        <w:jc w:val="both"/>
      </w:pPr>
      <w:r>
        <w:t xml:space="preserve">Тесты разделены на уровни, предусмотренные дорожной картой (таблица 14).</w:t>
      </w:r>
    </w:p>
    <w:p>
      <w:pPr>
        <w:keepNext/>
        <w:spacing w:after="0" w:before="120" w:line="360"/>
        <w:ind w:firstLine="0"/>
        <w:jc w:val="left"/>
      </w:pPr>
      <w:r>
        <w:t xml:space="preserve">Таблица 14 – Уровни тестирования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301"/>
        <w:gridCol w:w="1927"/>
      </w:tblGrid>
      <w:tr>
        <w:trPr>
          <w:cantSplit/>
          <w:tblHeader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Уровень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Что проверяется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Режим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регрессия базового ассистента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маршрутизация, выполнение кода, поиск по базе знаний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быстрый, с Ollama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модульные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загрузчик, контракты, граф, генератор, сигнатуры, верификатор, новизна, начало события, аналоги, BM25, правила и политика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быстрый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контрактные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информационный барьер; ответ без данных для проверки не выпускается как обычный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быстрый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сквозные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окно NPPAD – гипотезы – проверка – ответ – решение; программный интерфейс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быстрый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качество текста</w:t>
            </w:r>
          </w:p>
        </w:tc>
        <w:tc>
          <w:tcPr>
            <w:tcW w:type="dxa" w:w="53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релевантность ответа по оценке модели-судьи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полный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Модульные тесты используют синтетический набор в формате NPPAD и не зависят от языковой модели и базы данных. Итоговый прогон: 130 тестов быстрого режима и 2 теста полного режима проходят.</w:t>
      </w:r>
    </w:p>
    <w:p>
      <w:pPr>
        <w:pStyle w:val="Heading1"/>
        <w:keepNext/>
        <w:pageBreakBefore/>
        <w:spacing w:after="120" w:before="0" w:line="360"/>
        <w:ind w:firstLine="709"/>
        <w:jc w:val="left"/>
      </w:pPr>
      <w:bookmarkStart w:name="_Toc37" w:id="3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Экспериментальная оценка</w:t>
      </w:r>
      <w:bookmarkEnd w:id="37"/>
    </w:p>
    <w:p>
      <w:pPr>
        <w:pStyle w:val="Heading2"/>
        <w:keepNext/>
        <w:spacing w:after="120" w:before="240" w:line="360"/>
        <w:ind w:firstLine="709"/>
        <w:jc w:val="left"/>
      </w:pPr>
      <w:bookmarkStart w:name="_Toc38" w:id="3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Методика</w:t>
      </w:r>
      <w:bookmarkEnd w:id="38"/>
    </w:p>
    <w:p>
      <w:pPr>
        <w:spacing w:after="0" w:before="0" w:line="360"/>
        <w:ind w:firstLine="709"/>
        <w:jc w:val="both"/>
      </w:pPr>
      <w:r>
        <w:t xml:space="preserve">Оценка выполняется отдельным скриптом – единственным компонентом, имеющим доступ к истинным меткам. Тестовая выборка (222 прогона, 13 984 окна, 11 классов) не использовалась для обучения и подбора параметров. Метрики: для генератора – доля окон с верным сценарием на первом месте (top-1) и среди трёх гипотез (top-3), ошибка калибровки ECE и NLL; для верификатора – доли подтверждённых верных и неверных гипотез; для итогового правила – распределение исходов, доля окон с исходом IDENTIFIED (покрытие) и его точность; для проверки ответа – распределение решений и число выпущенных испорченных ответов; для поиска – precision@k и recall@k; задержка этапов; совпадение результатов повторных прогонов.</w:t>
      </w:r>
    </w:p>
    <w:p>
      <w:pPr>
        <w:spacing w:after="0" w:before="0" w:line="360"/>
        <w:ind w:firstLine="709"/>
        <w:jc w:val="both"/>
      </w:pPr>
      <w:r>
        <w:t xml:space="preserve">Две проблемы были обнаружены на тестовой выборке (неразличимость малых течей в горячей нитке) и на стресс-тесте (ложная идентификация нормального снижения мощности). Исправления разрабатывались и настраивались только на валидационной выборке; приводимые итоговые числа получены на замороженной версии системы, но не являются полностью независимой оценкой.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39" w:id="3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Генерация гипотез</w:t>
      </w:r>
      <w:bookmarkEnd w:id="39"/>
    </w:p>
    <w:p>
      <w:pPr>
        <w:spacing w:after="0" w:before="0" w:line="360"/>
        <w:ind w:firstLine="709"/>
        <w:jc w:val="both"/>
      </w:pPr>
      <w:r>
        <w:t xml:space="preserve">Результаты приведены в таблице 15.</w:t>
      </w:r>
    </w:p>
    <w:p>
      <w:pPr>
        <w:keepNext/>
        <w:spacing w:after="0" w:before="120" w:line="360"/>
        <w:ind w:firstLine="0"/>
        <w:jc w:val="left"/>
      </w:pPr>
      <w:r>
        <w:t xml:space="preserve">Таблица 15 – Качество генератора гипотез на тестовой выборке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cantSplit/>
          <w:tblHeader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top-1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0,888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top-3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0,996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ECE до / после калибровки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0,048 / 0,028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NLL после калибровки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0,221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 w:line="360"/>
        <w:ind w:firstLine="709"/>
        <w:jc w:val="left"/>
      </w:pPr>
      <w:bookmarkStart w:name="_Toc40" w:id="4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 Проверка гипотез и итоговые исходы</w:t>
      </w:r>
      <w:bookmarkEnd w:id="40"/>
    </w:p>
    <w:p>
      <w:pPr>
        <w:spacing w:after="0" w:before="0" w:line="360"/>
        <w:ind w:firstLine="709"/>
        <w:jc w:val="both"/>
      </w:pPr>
      <w:r>
        <w:t xml:space="preserve">Результаты приведены в таблице 16.</w:t>
      </w:r>
    </w:p>
    <w:p>
      <w:pPr>
        <w:keepNext/>
        <w:spacing w:after="0" w:before="120" w:line="360"/>
        <w:ind w:firstLine="0"/>
        <w:jc w:val="left"/>
      </w:pPr>
      <w:r>
        <w:t xml:space="preserve">Таблица 16 – Качество проверки гипотез на тестовой выборке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735"/>
        <w:gridCol w:w="1735"/>
        <w:gridCol w:w="1735"/>
      </w:tblGrid>
      <w:tr>
        <w:trPr>
          <w:cantSplit/>
          <w:tblHeader/>
        </w:trPr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Первый прогон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Итог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Без памяти о событии</w:t>
            </w:r>
          </w:p>
        </w:tc>
      </w:tr>
      <w:tr>
        <w:trPr>
          <w:cantSplit/>
          <w:tblHeader w:val="off"/>
        </w:trPr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верных гипотез подтверждено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0,947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0,969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0,687</w:t>
            </w:r>
          </w:p>
        </w:tc>
      </w:tr>
      <w:tr>
        <w:trPr>
          <w:cantSplit/>
          <w:tblHeader w:val="off"/>
        </w:trPr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неверных гипотез подтверждено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0,050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0,015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0,041</w:t>
            </w:r>
          </w:p>
        </w:tc>
      </w:tr>
      <w:tr>
        <w:trPr>
          <w:cantSplit/>
          <w:tblHeader w:val="off"/>
        </w:trPr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верный сценарий первым после проверки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0,978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0,994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0,847</w:t>
            </w:r>
          </w:p>
        </w:tc>
      </w:tr>
      <w:tr>
        <w:trPr>
          <w:cantSplit/>
          <w:tblHeader w:val="off"/>
        </w:trPr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доля окон с исходом IDENTIFIED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0,888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0,952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0,623</w:t>
            </w:r>
          </w:p>
        </w:tc>
      </w:tr>
      <w:tr>
        <w:trPr>
          <w:cantSplit/>
          <w:tblHeader w:val="off"/>
        </w:trPr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точность исхода IDENTIFIED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0,9985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0,9989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0,985</w:t>
            </w:r>
          </w:p>
        </w:tc>
      </w:tr>
      <w:tr>
        <w:trPr>
          <w:cantSplit/>
          <w:tblHeader w:val="off"/>
        </w:trPr>
        <w:tc>
          <w:tcPr>
            <w:tcW w:type="dxa" w:w="44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неверные диагнозы от всех окон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0,0014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0,0010</w:t>
            </w:r>
          </w:p>
        </w:tc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0,0091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В итоговом прогоне исходы распределились так: IDENTIFIED – 95,2 %, UNCONFIRMED – 3,1 %, NOVEL – 1,4 %, AMBIGUOUS – 0,3 %, NO_ANOMALY – 0,04 %. Память о событии повышает долю диагнозов с 0,62 до 0,95 и снижает долю неверных диагнозов в девять раз. Результаты с причинным определением начала события совпадают с результатами при начале события в момент начала записи: на всех тестовых окнах найденное начало совпало с ним (таблица 17).</w:t>
      </w:r>
    </w:p>
    <w:p>
      <w:pPr>
        <w:keepNext/>
        <w:spacing w:after="0" w:before="120" w:line="360"/>
        <w:ind w:firstLine="0"/>
        <w:jc w:val="left"/>
      </w:pPr>
      <w:r>
        <w:t xml:space="preserve">Таблица 17 – Итоговые исходы по классам на тестовой выборке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024"/>
        <w:gridCol w:w="2024"/>
        <w:gridCol w:w="2024"/>
        <w:gridCol w:w="2024"/>
      </w:tblGrid>
      <w:tr>
        <w:trPr>
          <w:cantSplit/>
          <w:tblHeader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Класс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IDENTIFIED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Точность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UNCONFIRMED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NOVEL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FLB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0,981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1,000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0,000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0,013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LLB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0,985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1,000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0,015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0,000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LOCA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0,957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1,000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0,007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0,036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LOCAC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0,962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1,000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0,021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0,017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LR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0,898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1,000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0,092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0,010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RI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0,929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1,000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0,011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0,060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RW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0,877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0,974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0,108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0,004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SGATR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0,982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1,000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0,001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0,007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SGBTR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0,986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1,000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0,001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0,004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SLBIC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0,888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0,999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0,069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0,043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SLBOC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0,962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1,000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0,037</w:t>
            </w:r>
          </w:p>
        </w:tc>
        <w:tc>
          <w:tcPr>
            <w:tcW w:type="dxa" w:w="2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0,000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Течь в горячей нитке в первом прогоне устанавливалась лишь в 46 % окон (в 50 % исход был «неоднозначно»); после введения попарного отбора – в 96 %, без ошибочных определений.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41" w:id="4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 Ситуации вне обучаемого множества и проверка новизны</w:t>
      </w:r>
      <w:bookmarkEnd w:id="41"/>
    </w:p>
    <w:p>
      <w:pPr>
        <w:spacing w:after="0" w:before="0" w:line="360"/>
        <w:ind w:firstLine="709"/>
        <w:jc w:val="both"/>
      </w:pPr>
      <w:r>
        <w:t xml:space="preserve">Результаты приведены в таблице 18.</w:t>
      </w:r>
    </w:p>
    <w:p>
      <w:pPr>
        <w:keepNext/>
        <w:spacing w:after="0" w:before="120" w:line="360"/>
        <w:ind w:firstLine="0"/>
        <w:jc w:val="left"/>
      </w:pPr>
      <w:r>
        <w:t xml:space="preserve">Таблица 18 – Поведение системы на пробах вне обучаемого множества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506"/>
        <w:gridCol w:w="1349"/>
        <w:gridCol w:w="2120"/>
        <w:gridCol w:w="2121"/>
      </w:tblGrid>
      <w:tr>
        <w:trPr>
          <w:cantSplit/>
          <w:tblHeader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Проба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Окон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Ожидаемый исход</w:t>
            </w:r>
          </w:p>
        </w:tc>
        <w:tc>
          <w:tcPr>
            <w:tcW w:type="dxa" w:w="2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Доля ожидаемого исхода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ATWS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события нет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95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NO_ANOMALY</w:t>
            </w:r>
          </w:p>
        </w:tc>
        <w:tc>
          <w:tcPr>
            <w:tcW w:type="dxa" w:w="2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MD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события нет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9697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NO_ANOMALY</w:t>
            </w:r>
          </w:p>
        </w:tc>
        <w:tc>
          <w:tcPr>
            <w:tcW w:type="dxa" w:w="2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SP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события нет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84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NO_ANOMALY</w:t>
            </w:r>
          </w:p>
        </w:tc>
        <w:tc>
          <w:tcPr>
            <w:tcW w:type="dxa" w:w="2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LACP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вне области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83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NOVEL</w:t>
            </w:r>
          </w:p>
        </w:tc>
        <w:tc>
          <w:tcPr>
            <w:tcW w:type="dxa" w:w="2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LOF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вне области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84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NOVEL</w:t>
            </w:r>
          </w:p>
        </w:tc>
        <w:tc>
          <w:tcPr>
            <w:tcW w:type="dxa" w:w="2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Normal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вне области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49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NOVEL</w:t>
            </w:r>
          </w:p>
        </w:tc>
        <w:tc>
          <w:tcPr>
            <w:tcW w:type="dxa" w:w="2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</w:t>
            </w:r>
          </w:p>
        </w:tc>
      </w:tr>
      <w:tr>
        <w:trPr>
          <w:cantSplit/>
          <w:tblHeader w:val="off"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TT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вне области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119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NOVEL</w:t>
            </w:r>
          </w:p>
        </w:tc>
        <w:tc>
          <w:tcPr>
            <w:tcW w:type="dxa" w:w="21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Ни в одном окне проб не поставлен диагноз IDENTIFIED (на этапе B хотя бы одна гипотеза подтверждалась в 69 % окон проб). Ложные тревоги новизны на известных сценариях тестовой выборки – 1,4 %.</w:t>
      </w:r>
    </w:p>
    <w:p>
      <w:pPr>
        <w:spacing w:after="0" w:before="0" w:line="360"/>
        <w:ind w:firstLine="709"/>
        <w:jc w:val="both"/>
      </w:pPr>
      <w:r>
        <w:t xml:space="preserve">Предел проверки новизны оценён по схеме «исключить один класс»: класс удалялся из эталона детектора, после чего определялась доля его окон, признанных новыми. В среднем она составила 43 % при 1,4 % ложных тревог на остальных классах. Хорошо отделяются LLB, LR, RI и SLBIC (89–100 %), почти не отделяются LOCA и LOCAC (каждая похожа на другую), RW, SGATR и SLBOC (0–12 %). Сценарий, физически близкий к известному, по данным от него неотличим – это свойство метода.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42" w:id="4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 Внешний стресс-тест</w:t>
      </w:r>
      <w:bookmarkEnd w:id="42"/>
    </w:p>
    <w:p>
      <w:pPr>
        <w:spacing w:after="0" w:before="0" w:line="360"/>
        <w:ind w:firstLine="709"/>
        <w:jc w:val="both"/>
      </w:pPr>
      <w:r>
        <w:t xml:space="preserve">Результаты приведены в таблице 19.</w:t>
      </w:r>
    </w:p>
    <w:p>
      <w:pPr>
        <w:keepNext/>
        <w:spacing w:after="0" w:before="120" w:line="360"/>
        <w:ind w:firstLine="0"/>
        <w:jc w:val="left"/>
      </w:pPr>
      <w:r>
        <w:t xml:space="preserve">Таблица 19 – Результаты на прогонах с изменением мощности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cantSplit/>
          <w:tblHeader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Начало события из описания прогона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Причинное определение начала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ложные IDENTIFIED до ввода неисправности (296 окон)</w:t>
            </w:r>
          </w:p>
        </w:tc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0,037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неверные IDENTIFIED после ввода (320 окон)</w:t>
            </w:r>
          </w:p>
        </w:tc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0,003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верные IDENTIFIED после ввода</w:t>
            </w:r>
          </w:p>
        </w:tc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Нормальные изменения мощности и аварии на их фоне получают исход NOVEL: режимов с мощностью ниже 100 % в обучающих данных нет, и система сообщает о незнакомой ситуации вместо диагноза. Использование момента ввода неисправности из описания прогона приводило к ложной идентификации нормального снижения мощности как сброса нагрузки в 18 % окон; причинное определение начала события с защёлкой устранило эту ошибку.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43" w:id="43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7.6 Верификатор ответа</w:t>
      </w:r>
      <w:bookmarkEnd w:id="43"/>
    </w:p>
    <w:p>
      <w:pPr>
        <w:spacing w:after="0" w:before="0" w:line="360"/>
        <w:ind w:firstLine="709"/>
        <w:jc w:val="both"/>
      </w:pPr>
      <w:r>
        <w:t xml:space="preserve">Проверены детерминированные ответы для каждого 25-го окна тестовой выборки (560 ответов) и по три испорченные версии каждого из них (таблица 20).</w:t>
      </w:r>
    </w:p>
    <w:p>
      <w:pPr>
        <w:keepNext/>
        <w:spacing w:after="0" w:before="120" w:line="360"/>
        <w:ind w:firstLine="0"/>
        <w:jc w:val="left"/>
      </w:pPr>
      <w:r>
        <w:t xml:space="preserve">Таблица 20 – Результаты верификатора ответа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cantSplit/>
          <w:tblHeader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ALLOW / REQUIRE_HUMAN / BLOCK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0,952 / 0,048 / 0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ответов со справкой по сценарию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533 из 560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испорченные ответы без ссылок – заблокировано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560 из 560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испорченные ответы со ссылкой на несуществующее окно – заблокировано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560 из 560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испорченные ответы с указанием к действию – заблокировано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560 из 560</w:t>
            </w:r>
          </w:p>
        </w:tc>
      </w:tr>
      <w:tr>
        <w:trPr>
          <w:cantSplit/>
          <w:tblHeader w:val="off"/>
        </w:trPr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испорченных ответов выпущено как ALLOW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Все решения REQUIRE_HUMAN приходятся на неуверенные исходы: UNCONFIRMED (19), NOVEL (7), AMBIGUOUS (1).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44" w:id="44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7.7 Пояснения языковой модели</w:t>
      </w:r>
      <w:bookmarkEnd w:id="44"/>
    </w:p>
    <w:p>
      <w:pPr>
        <w:spacing w:after="0" w:before="0" w:line="360"/>
        <w:ind w:firstLine="709"/>
        <w:jc w:val="both"/>
      </w:pPr>
      <w:r>
        <w:t xml:space="preserve">Пояснения модели qwen2.5-7B оценивались на 13 случаях (по одному тестовому окну каждого класса и пробы TT, MD) в трёх прогонах. Указаний к действию не было ни в одном из 39 пояснений. Доля предложений со ссылками составила 0,79, 0,91 и 0,74; число ответов с решением ALLOW – 4, 11 и 4 из 13. Ответы модели недетерминированы: при одинаковом входе они существенно различаются, поэтому воспроизводима только детерминированная часть ответа. В первом прогоне два пояснения со ссылками на несуществующие свидетельства блокировали весь ответ; после введения отката к детерминированному ответу блокировок нет.</w:t>
      </w:r>
    </w:p>
    <w:p>
      <w:pPr>
        <w:spacing w:after="0" w:before="0" w:line="360"/>
        <w:ind w:firstLine="709"/>
        <w:jc w:val="both"/>
      </w:pPr>
      <w:r>
        <w:t xml:space="preserve">Качество текста дополнительно оценивалось языковой моделью-судьёй [12] через библиотеку deepeval [13]; судья – модель другого семейства (vikhr-llama3.1-8b), чем автор пояснений (таблица 21).</w:t>
      </w:r>
    </w:p>
    <w:p>
      <w:pPr>
        <w:keepNext/>
        <w:spacing w:after="0" w:before="120" w:line="360"/>
        <w:ind w:firstLine="0"/>
        <w:jc w:val="left"/>
      </w:pPr>
      <w:r>
        <w:t xml:space="preserve">Таблица 21 – Оценка пояснений моделью-судьёй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cantSplit/>
          <w:tblHeader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Набор</w:t>
            </w:r>
          </w:p>
        </w:tc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Верность отчёту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Релевантность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пояснения системы, среднее (13 случаев)</w:t>
            </w:r>
          </w:p>
        </w:tc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0,71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0,76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контроль: верное пояснение</w:t>
            </w:r>
          </w:p>
        </w:tc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0,67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0,50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контроль: искажённое пояснение</w:t>
            </w:r>
          </w:p>
        </w:tc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0,33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1,00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Метрика верности различает верное и искажённое пояснения, метрика релевантности на правдивость не реагирует. Оценка моделью-судьёй грубая и используется только как вспомогательная; выпуск ответа определяют детерминированные правила.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45" w:id="45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7.8 Поиск аналогов</w:t>
      </w:r>
      <w:bookmarkEnd w:id="45"/>
    </w:p>
    <w:p>
      <w:pPr>
        <w:spacing w:after="0" w:before="0" w:line="360"/>
        <w:ind w:firstLine="709"/>
        <w:jc w:val="both"/>
      </w:pPr>
      <w:r>
        <w:t xml:space="preserve">Результаты приведены в таблице 22.</w:t>
      </w:r>
    </w:p>
    <w:p>
      <w:pPr>
        <w:keepNext/>
        <w:spacing w:after="0" w:before="120" w:line="360"/>
        <w:ind w:firstLine="0"/>
        <w:jc w:val="left"/>
      </w:pPr>
      <w:r>
        <w:t xml:space="preserve">Таблица 22 – Качество подбора аналогов (средние по 16 сценариям)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1060"/>
        <w:gridCol w:w="1060"/>
        <w:gridCol w:w="1060"/>
        <w:gridCol w:w="1060"/>
        <w:gridCol w:w="1060"/>
        <w:gridCol w:w="1061"/>
      </w:tblGrid>
      <w:tr>
        <w:trPr>
          <w:cantSplit/>
          <w:tblHeader/>
        </w:trPr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Режим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P@3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P@10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P@20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R@3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R@10</w:t>
            </w:r>
          </w:p>
        </w:tc>
        <w:tc>
          <w:tcPr>
            <w:tcW w:type="dxa" w:w="1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R@20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текстовый (BM25)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0,68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0,54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0,56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0,09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0,20</w:t>
            </w:r>
          </w:p>
        </w:tc>
        <w:tc>
          <w:tcPr>
            <w:tcW w:type="dxa" w:w="1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0,35</w:t>
            </w:r>
          </w:p>
        </w:tc>
      </w:tr>
      <w:tr>
        <w:trPr>
          <w:cantSplit/>
          <w:tblHeader w:val="off"/>
        </w:trPr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совмещённый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0,93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0,81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0,77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0,36</w:t>
            </w:r>
          </w:p>
        </w:tc>
        <w:tc>
          <w:tcPr>
            <w:tcW w:type="dxa" w:w="1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0,48</w:t>
            </w:r>
          </w:p>
        </w:tc>
        <w:tc>
          <w:tcPr>
            <w:tcW w:type="dxa" w:w="1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0,65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Релевантным считается событие, тип исходного события которого соответствует сценарию. Совмещённый режим использует то же поле, что и разметка, поэтому его оценка завышена по построению; независимой мерой качества поиска служит текстовый режим. Низкая полнота объясняется большим числом релевантных событий (например, 124 события типа Transient) при выдаче трёх аналогов.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46" w:id="46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7.9 Производительность и воспроизводимость</w:t>
      </w:r>
      <w:bookmarkEnd w:id="46"/>
    </w:p>
    <w:p>
      <w:pPr>
        <w:spacing w:after="0" w:before="0" w:line="360"/>
        <w:ind w:firstLine="709"/>
        <w:jc w:val="both"/>
      </w:pPr>
      <w:r>
        <w:t xml:space="preserve">Результаты приведены в таблице 23.</w:t>
      </w:r>
    </w:p>
    <w:p>
      <w:pPr>
        <w:keepNext/>
        <w:spacing w:after="0" w:before="120" w:line="360"/>
        <w:ind w:firstLine="0"/>
        <w:jc w:val="left"/>
      </w:pPr>
      <w:r>
        <w:t xml:space="preserve">Таблица 23 – Задержка этапов диагностического контура (300 окон)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09"/>
      </w:tblGrid>
      <w:tr>
        <w:trPr>
          <w:cantSplit/>
          <w:tblHeader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Медиана, мс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95-й перцентиль, мс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генератор</w:t>
            </w:r>
          </w:p>
        </w:tc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17,8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33,3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верификатор гипотез</w:t>
            </w:r>
          </w:p>
        </w:tc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4,8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5,7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проверка новизны</w:t>
            </w:r>
          </w:p>
        </w:tc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3,0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3,8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весь контур с подбором аналогов</w:t>
            </w:r>
          </w:p>
        </w:tc>
        <w:tc>
          <w:tcPr>
            <w:tcW w:type="dxa" w:w="2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25,8</w:t>
            </w:r>
          </w:p>
        </w:tc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42,8</w:t>
            </w:r>
          </w:p>
        </w:tc>
      </w:tr>
    </w:tbl>
    <w:p>
      <w:pPr>
        <w:spacing w:after="120" w:line="240"/>
      </w:pPr>
    </w:p>
    <w:p>
      <w:pPr>
        <w:spacing w:after="0" w:before="0" w:line="360"/>
        <w:ind w:firstLine="709"/>
        <w:jc w:val="both"/>
      </w:pPr>
      <w:r>
        <w:t xml:space="preserve">При шаге данных 10 с запас производительности превышает два порядка. Пояснение языковой модели занимает десятки секунд, поэтому оно необязательно и по умолчанию отключено.</w:t>
      </w:r>
    </w:p>
    <w:p>
      <w:pPr>
        <w:spacing w:after="0" w:before="0" w:line="360"/>
        <w:ind w:firstLine="709"/>
        <w:jc w:val="both"/>
      </w:pPr>
      <w:r>
        <w:t xml:space="preserve">Воспроизводимость проверена дважды. Повторный прогон оценки на той же версии дал полностью совпадающие метрики. Сборка из чистого окружения (новая копия репозитория, установка зависимостей по зафиксированному списку, подготовка данных и обучение всех моделей заново) дала совпадающие метрики и паспорт версий. При первой такой сборке выяснилось, что версия интерпретатора не была закреплена (использовался Python 3.14); метрики совпали и в этом случае, после чего версия была закреплена.</w:t>
      </w:r>
    </w:p>
    <w:p>
      <w:pPr>
        <w:pStyle w:val="Heading2"/>
        <w:keepNext/>
        <w:spacing w:after="120" w:before="240" w:line="360"/>
        <w:ind w:firstLine="709"/>
        <w:jc w:val="left"/>
      </w:pPr>
      <w:bookmarkStart w:name="_Toc47" w:id="47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7.10 Ограничения</w:t>
      </w:r>
      <w:bookmarkEnd w:id="47"/>
    </w:p>
    <w:p>
      <w:pPr>
        <w:spacing w:after="0" w:before="0" w:line="360"/>
        <w:ind w:firstLine="709"/>
        <w:jc w:val="both"/>
      </w:pPr>
      <w:r>
        <w:t xml:space="preserve">Результаты получены при следующих ограничениях: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данные – симуляция PCTRAN для одного типа PWR, все прогоны начинаются со 100 % мощности; при другой мощности система отвечает «незнакомая ситуация»;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новый сценарий, физически близкий к известному, проверкой новизны не отличается (43 % по схеме «исключить один класс»);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класс SLBOC различим только по мониторам радиации;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плановое изменение мощности остаётся событием до возврата к исходному уровню, что даёт исход NOVEL и требует оценки оператора;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справка по сценариям описывает поведение модели энергоблока в симуляторе;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тестовая выборка и стресс-тест использовались для выявления трёх проблем, исправления которых настраивались на валидационной выборке;</w:t>
      </w:r>
    </w:p>
    <w:p>
      <w:pPr>
        <w:pStyle w:val="ListParagraph"/>
        <w:numPr>
          <w:ilvl w:val="0"/>
          <w:numId w:val="2"/>
        </w:numPr>
        <w:spacing w:after="0" w:before="0" w:line="360"/>
        <w:jc w:val="both"/>
      </w:pPr>
      <w:r>
        <w:t xml:space="preserve">пояснения языковой модели недетерминированы.</w:t>
      </w:r>
    </w:p>
    <w:p>
      <w:pPr>
        <w:pStyle w:val="Heading1"/>
        <w:pageBreakBefore/>
        <w:spacing w:after="240" w:before="0" w:line="360"/>
        <w:ind w:firstLine="0"/>
        <w:jc w:val="center"/>
      </w:pPr>
      <w:bookmarkStart w:name="_Toc48" w:id="48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  <w:bookmarkEnd w:id="48"/>
    </w:p>
    <w:p>
      <w:pPr>
        <w:spacing w:after="0" w:before="0" w:line="360"/>
        <w:ind w:firstLine="709"/>
        <w:jc w:val="both"/>
      </w:pPr>
      <w:r>
        <w:t xml:space="preserve">В ходе производственной практики прототип интерактивного ассистента для операторов АЭС, созданный в 6-м семестре, развит до системы поддержки принятия решений на основе формирования и верификации гипотез о состоянии энергоблока. Выполнены этапы A, B, C и E технической дорожной карты; система заморожена.</w:t>
      </w:r>
    </w:p>
    <w:p>
      <w:pPr>
        <w:spacing w:after="0" w:before="0" w:line="360"/>
        <w:ind w:firstLine="709"/>
        <w:jc w:val="both"/>
      </w:pPr>
      <w:r>
        <w:t xml:space="preserve">Получены следующие результаты.</w:t>
      </w:r>
    </w:p>
    <w:p>
      <w:pPr>
        <w:spacing w:after="0" w:before="0" w:line="360"/>
        <w:ind w:firstLine="709"/>
        <w:jc w:val="both"/>
      </w:pPr>
      <w:r>
        <w:t xml:space="preserve">1) Разработана модель данных: реестр 96 каналов с разметкой подсистем и каналов-подсказок, воспроизводимый конвейер подготовки NPPAD с разбиением по прогонам и нормализацией по обучающей выборке, окна наблюдений и причинная память о событии с защёлкой, типизированные контракты, граф знаний с проверяемой схемой и трёхуровневый информационный барьер. Аудит данных выявил классы NPPAD без наблюдаемого события, что учтено в составе обучаемых классов.</w:t>
      </w:r>
    </w:p>
    <w:p>
      <w:pPr>
        <w:spacing w:after="0" w:before="0" w:line="360"/>
        <w:ind w:firstLine="709"/>
        <w:jc w:val="both"/>
      </w:pPr>
      <w:r>
        <w:t xml:space="preserve">2) Разработан генератор калиброванных гипотез по шести каналам критических функций безопасности: верный сценарий первым в 88,8 % окон и среди трёх гипотез в 99,6 % окон тестовой выборки при ошибке калибровки 0,028.</w:t>
      </w:r>
    </w:p>
    <w:p>
      <w:pPr>
        <w:spacing w:after="0" w:before="0" w:line="360"/>
        <w:ind w:firstLine="709"/>
        <w:jc w:val="both"/>
      </w:pPr>
      <w:r>
        <w:t xml:space="preserve">3) Разработан независимый верификатор гипотез по 82 каналам на основе квантильных сигнатур окна и ранней фазы с попарным отбором признаков: подтверждается 96,9 % верных и 1,5 % неверных гипотез. Память о начале события решила задачу различения течей в горячей и холодной нитке.</w:t>
      </w:r>
    </w:p>
    <w:p>
      <w:pPr>
        <w:spacing w:after="0" w:before="0" w:line="360"/>
        <w:ind w:firstLine="709"/>
        <w:jc w:val="both"/>
      </w:pPr>
      <w:r>
        <w:t xml:space="preserve">4) Введены проверки отклонения и новизны и итоговое правило выбора: диагноз ставится в 95,2 % окон с точностью 99,9 %, на всех семи пробах вне обучаемого множества получен ожидаемый исход без ложных диагнозов, на стресс-тесте с изменением мощности ложных диагнозов нет.</w:t>
      </w:r>
    </w:p>
    <w:p>
      <w:pPr>
        <w:spacing w:after="0" w:before="0" w:line="360"/>
        <w:ind w:firstLine="709"/>
        <w:jc w:val="both"/>
      </w:pPr>
      <w:r>
        <w:t xml:space="preserve">5) Реализован детерминированный верификатор ответа по схеме «утверждение – свидетельство – набор правил – решение политики» с моделью доверия к источникам и пятью правилами, в том числе запретом указаний к действию. Все 1680 контрольных испорченных ответов заблокированы.</w:t>
      </w:r>
    </w:p>
    <w:p>
      <w:pPr>
        <w:spacing w:after="0" w:before="0" w:line="360"/>
        <w:ind w:firstLine="709"/>
        <w:jc w:val="both"/>
      </w:pPr>
      <w:r>
        <w:t xml:space="preserve">6) Диагностический контур интегрирован с агентом-аналитиком: ответ строится со ссылками на телеметрию, исторические события и справку по сценарию; пояснение языковой модели проверяется по предложениям и при нарушении правил отбрасывается. Трасса Langfuse позволяет восстановить путь от данных до решения.</w:t>
      </w:r>
    </w:p>
    <w:p>
      <w:pPr>
        <w:spacing w:after="0" w:before="0" w:line="360"/>
        <w:ind w:firstLine="709"/>
        <w:jc w:val="both"/>
      </w:pPr>
      <w:r>
        <w:t xml:space="preserve">7) Проведены компонентное, контрактное и сквозное тестирование (130 тестов быстрого режима и 2 полного) и оценка на отложенной выборке; результаты воспроизводятся при повторном прогоне и при сборке из чистого окружения.</w:t>
      </w:r>
    </w:p>
    <w:p>
      <w:pPr>
        <w:spacing w:after="0" w:before="0" w:line="360"/>
        <w:ind w:firstLine="709"/>
        <w:jc w:val="both"/>
      </w:pPr>
      <w:r>
        <w:t xml:space="preserve">Все тринадцать требований задания выполнены (приложение А). Инварианты системы поддержки оператора соблюдены: система только читает данные, ничем не управляет, не выдаёт рекомендаций действий и оставляет решение оператору.</w:t>
      </w:r>
    </w:p>
    <w:p>
      <w:pPr>
        <w:spacing w:after="0" w:before="0" w:line="360"/>
        <w:ind w:firstLine="709"/>
        <w:jc w:val="both"/>
      </w:pPr>
      <w:r>
        <w:t xml:space="preserve">Основные ограничения связаны с симуляционным характером данных, единственной рабочей точкой по мощности и принципиальной неотличимостью нового сценария от физически близкого известного. Направления дальнейшей работы в рамках выпускной квалификационной работы: подтверждение оператором нового исходного состояния при плановых изменениях режима, расширение базы знаний документацией по аварийным сценариям с указанием источников, проверка на данных других рабочих точек.</w:t>
      </w:r>
    </w:p>
    <w:p>
      <w:pPr>
        <w:pStyle w:val="Heading1"/>
        <w:pageBreakBefore/>
        <w:spacing w:after="240" w:before="0" w:line="360"/>
        <w:ind w:firstLine="0"/>
        <w:jc w:val="center"/>
      </w:pPr>
      <w:bookmarkStart w:name="_Toc49" w:id="49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  <w:bookmarkEnd w:id="49"/>
    </w:p>
    <w:p>
      <w:pPr>
        <w:spacing w:after="0" w:before="0" w:line="360"/>
        <w:ind w:firstLine="709"/>
        <w:jc w:val="both"/>
      </w:pPr>
      <w:r>
        <w:t xml:space="preserve">1) Safety of Nuclear Power Plants: Design : Specific Safety Requirements No. SSR-2/1 (Rev. 1). – Vienna : International Atomic Energy Agency, 2016. – 71 p. – (IAEA Safety Standards Series).</w:t>
      </w:r>
    </w:p>
    <w:p>
      <w:pPr>
        <w:spacing w:after="0" w:before="0" w:line="360"/>
        <w:ind w:firstLine="709"/>
        <w:jc w:val="both"/>
      </w:pPr>
      <w:r>
        <w:t xml:space="preserve">2) Parasuraman R., Riley V. Humans and automation: use, misuse, disuse, abuse // Human Factors. – 1997. – Vol. 39, № 2. – P. 230–253.</w:t>
      </w:r>
    </w:p>
    <w:p>
      <w:pPr>
        <w:spacing w:after="0" w:before="0" w:line="360"/>
        <w:ind w:firstLine="709"/>
        <w:jc w:val="both"/>
      </w:pPr>
      <w:r>
        <w:t xml:space="preserve">3) Шелманова Е. О. Разработка интерактивного ассистента для операторов АЭС : отчёт по учебной практике (6 семестр) / рук. А. О. Толоконский ; НИЯУ МИФИ, ИФТИС, кафедра «Автоматика». – Москва, 2026.</w:t>
      </w:r>
    </w:p>
    <w:p>
      <w:pPr>
        <w:spacing w:after="0" w:before="0" w:line="360"/>
        <w:ind w:firstLine="709"/>
        <w:jc w:val="both"/>
      </w:pPr>
      <w:r>
        <w:t xml:space="preserve">4) Lewis P., Perez E., Piktus A. [et al.]. Retrieval-Augmented Generation for Knowledge-Intensive NLP Tasks // Advances in Neural Information Processing Systems. – 2020. – Vol. 33. – P. 9459–9474.</w:t>
      </w:r>
    </w:p>
    <w:p>
      <w:pPr>
        <w:spacing w:after="0" w:before="0" w:line="360"/>
        <w:ind w:firstLine="709"/>
        <w:jc w:val="both"/>
      </w:pPr>
      <w:r>
        <w:t xml:space="preserve">5) Upgrade to Guided Operations: эволюция системы поддержки оператора и анализ опасностей : рабочий документ проекта atomic. – 2026. – Не опубликовано.</w:t>
      </w:r>
    </w:p>
    <w:p>
      <w:pPr>
        <w:spacing w:after="0" w:before="0" w:line="360"/>
        <w:ind w:firstLine="709"/>
        <w:jc w:val="both"/>
      </w:pPr>
      <w:r>
        <w:t xml:space="preserve">6) Бакалаврский диплом: техническая дорожная карта : рабочий документ проекта atomic. – 2026. – 12 с. – Не опубликовано.</w:t>
      </w:r>
    </w:p>
    <w:p>
      <w:pPr>
        <w:spacing w:after="0" w:before="0" w:line="360"/>
        <w:ind w:firstLine="709"/>
        <w:jc w:val="both"/>
      </w:pPr>
      <w:r>
        <w:t xml:space="preserve">7) Corcoran W. R., Porter N. J., Church J. F. [et al.]. The critical safety functions and plant operation // Nuclear Technology. – 1981. – Vol. 55, № 3. – P. 690–712.</w:t>
      </w:r>
    </w:p>
    <w:p>
      <w:pPr>
        <w:spacing w:after="0" w:before="0" w:line="360"/>
        <w:ind w:firstLine="709"/>
        <w:jc w:val="both"/>
      </w:pPr>
      <w:r>
        <w:t xml:space="preserve">8) pgvector: Open-source vector similarity search for Postgres : репозиторий. – URL: https://github.com/pgvector/pgvector (дата обращения: 24.10.2026).</w:t>
      </w:r>
    </w:p>
    <w:p>
      <w:pPr>
        <w:spacing w:after="0" w:before="0" w:line="360"/>
        <w:ind w:firstLine="709"/>
        <w:jc w:val="both"/>
      </w:pPr>
      <w:r>
        <w:t xml:space="preserve">9) Ollama : документация. – URL: https://ollama.com (дата обращения: 24.10.2026).</w:t>
      </w:r>
    </w:p>
    <w:p>
      <w:pPr>
        <w:spacing w:after="0" w:before="0" w:line="360"/>
        <w:ind w:firstLine="709"/>
        <w:jc w:val="both"/>
      </w:pPr>
      <w:r>
        <w:t xml:space="preserve">10) Langfuse Documentation : open source LLM engineering platform. – URL: https://langfuse.com/docs (дата обращения: 25.10.2026).</w:t>
      </w:r>
    </w:p>
    <w:p>
      <w:pPr>
        <w:spacing w:after="0" w:before="0" w:line="360"/>
        <w:ind w:firstLine="709"/>
        <w:jc w:val="both"/>
      </w:pPr>
      <w:r>
        <w:t xml:space="preserve">11) uv: An extremely fast Python package and project manager : документация / Astral. – URL: https://docs.astral.sh/uv/ (дата обращения: 24.10.2026).</w:t>
      </w:r>
    </w:p>
    <w:p>
      <w:pPr>
        <w:spacing w:after="0" w:before="0" w:line="360"/>
        <w:ind w:firstLine="709"/>
        <w:jc w:val="both"/>
      </w:pPr>
      <w:r>
        <w:t xml:space="preserve">12) Zheng L., Chiang W.-L., Sheng Y. [et al.]. Judging LLM-as-a-Judge with MT-Bench and Chatbot Arena // Advances in Neural Information Processing Systems. – 2023. – Vol. 36.</w:t>
      </w:r>
    </w:p>
    <w:p>
      <w:pPr>
        <w:spacing w:after="0" w:before="0" w:line="360"/>
        <w:ind w:firstLine="709"/>
        <w:jc w:val="both"/>
      </w:pPr>
      <w:r>
        <w:t xml:space="preserve">13) DeepEval: The LLM Evaluation Framework : репозиторий / Confident AI. – URL: https://github.com/confident-ai/deepeval (дата обращения: 25.10.2026).</w:t>
      </w:r>
    </w:p>
    <w:p>
      <w:pPr>
        <w:spacing w:after="0" w:before="0" w:line="360"/>
        <w:ind w:firstLine="709"/>
        <w:jc w:val="both"/>
      </w:pPr>
      <w:r>
        <w:t xml:space="preserve">14) Kelly T., Weaver R. The Goal Structuring Notation – A Safety Argument Notation // Proceedings of the Dependable Systems and Networks 2004 Workshop on Assurance Cases. – 2004.</w:t>
      </w:r>
    </w:p>
    <w:p>
      <w:pPr>
        <w:spacing w:after="0" w:before="0" w:line="360"/>
        <w:ind w:firstLine="709"/>
        <w:jc w:val="both"/>
      </w:pPr>
      <w:r>
        <w:t xml:space="preserve">15) Qi B., Xiao X., Liang J. [et al.]. An open time-series simulated dataset covering various accidents for nuclear power plants // Scientific Data. – 2022. – Vol. 9. – Art. 766. – DOI 10.1038/s41597-022-01879-1.</w:t>
      </w:r>
    </w:p>
    <w:p>
      <w:pPr>
        <w:spacing w:after="0" w:before="0" w:line="360"/>
        <w:ind w:firstLine="709"/>
        <w:jc w:val="both"/>
      </w:pPr>
      <w:r>
        <w:t xml:space="preserve">16) PCTRAN – Personal Computer Transient Analyzer : официальный сайт / Micro-Simulation Technology. – URL: https://www.microsimtech.com (дата обращения: 24.10.2026).</w:t>
      </w:r>
    </w:p>
    <w:p>
      <w:pPr>
        <w:spacing w:after="0" w:before="0" w:line="360"/>
        <w:ind w:firstLine="709"/>
        <w:jc w:val="both"/>
      </w:pPr>
      <w:r>
        <w:t xml:space="preserve">17) Ayoub A., Stankovski A., Kröger W., Sornette D. The ETH Zurich curated nuclear events database: Layout, event classification, and analysis of contributing factors // Reliability Engineering and System Safety. – 2021. – Vol. 213. – Art. 107781. – DOI 10.1016/j.ress.2021.107781.</w:t>
      </w:r>
    </w:p>
    <w:p>
      <w:pPr>
        <w:spacing w:after="0" w:before="0" w:line="360"/>
        <w:ind w:firstLine="709"/>
        <w:jc w:val="both"/>
      </w:pPr>
      <w:r>
        <w:t xml:space="preserve">18) Ayoub A., Stankovski A., Kröger W., Sornette D. Precursors and startling lessons: Statistical analysis of 1250 events with safety significance from the civil nuclear sector // Reliability Engineering and System Safety. – 2021. – Vol. 214. – Art. 107820. – DOI 10.1016/j.ress.2021.107820.</w:t>
      </w:r>
    </w:p>
    <w:p>
      <w:pPr>
        <w:spacing w:after="0" w:before="0" w:line="360"/>
        <w:ind w:firstLine="709"/>
        <w:jc w:val="both"/>
      </w:pPr>
      <w:r>
        <w:t xml:space="preserve">19) Pedregosa F., Varoquaux G., Gramfort A. [et al.]. Scikit-learn: Machine Learning in Python // Journal of Machine Learning Research. – 2011. – Vol. 12. – P. 2825–2830.</w:t>
      </w:r>
    </w:p>
    <w:p>
      <w:pPr>
        <w:spacing w:after="0" w:before="0" w:line="360"/>
        <w:ind w:firstLine="709"/>
        <w:jc w:val="both"/>
      </w:pPr>
      <w:r>
        <w:t xml:space="preserve">20) Friedman J. H. Greedy function approximation: a gradient boosting machine // The Annals of Statistics. – 2001. – Vol. 29, № 5. – P. 1189–1232.</w:t>
      </w:r>
    </w:p>
    <w:p>
      <w:pPr>
        <w:spacing w:after="0" w:before="0" w:line="360"/>
        <w:ind w:firstLine="709"/>
        <w:jc w:val="both"/>
      </w:pPr>
      <w:r>
        <w:t xml:space="preserve">21) Guo C., Pleiss G., Sun Y., Weinberger K. Q. On Calibration of Modern Neural Networks // Proceedings of the 34th International Conference on Machine Learning. – 2017. – P. 1321–1330.</w:t>
      </w:r>
    </w:p>
    <w:p>
      <w:pPr>
        <w:spacing w:after="0" w:before="0" w:line="360"/>
        <w:ind w:firstLine="709"/>
        <w:jc w:val="both"/>
      </w:pPr>
      <w:r>
        <w:t xml:space="preserve">22) Hendrycks D., Gimpel K. A Baseline for Detecting Misclassified and Out-of-Distribution Examples in Neural Networks // International Conference on Learning Representations (ICLR). – 2017.</w:t>
      </w:r>
    </w:p>
    <w:p>
      <w:pPr>
        <w:spacing w:after="0" w:before="0" w:line="360"/>
        <w:ind w:firstLine="709"/>
        <w:jc w:val="both"/>
      </w:pPr>
      <w:r>
        <w:t xml:space="preserve">23) Robertson S., Zaragoza H. The Probabilistic Relevance Framework: BM25 and Beyond // Foundations and Trends in Information Retrieval. – 2009. – Vol. 3, № 4. – P. 333–389.</w:t>
      </w:r>
    </w:p>
    <w:p>
      <w:pPr>
        <w:spacing w:after="0" w:before="0" w:line="360"/>
        <w:ind w:firstLine="709"/>
        <w:jc w:val="both"/>
      </w:pPr>
      <w:r>
        <w:t xml:space="preserve">24) FastAPI : документация. – URL: https://fastapi.tiangolo.com (дата обращения: 24.10.2026).</w:t>
      </w:r>
    </w:p>
    <w:p>
      <w:pPr>
        <w:pStyle w:val="Heading1"/>
        <w:pageBreakBefore/>
        <w:spacing w:after="240" w:before="0" w:line="360"/>
        <w:ind w:firstLine="0"/>
        <w:jc w:val="center"/>
      </w:pPr>
      <w:bookmarkStart w:name="_Toc50" w:id="50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  <w:bookmarkEnd w:id="50"/>
    </w:p>
    <w:p>
      <w:pPr>
        <w:spacing w:after="0" w:before="0" w:line="360"/>
        <w:ind w:firstLine="0"/>
        <w:jc w:val="center"/>
      </w:pPr>
      <w:r>
        <w:t xml:space="preserve">(обязательное)</w:t>
      </w:r>
    </w:p>
    <w:p>
      <w:pPr>
        <w:spacing w:after="0" w:before="0" w:line="360"/>
        <w:ind w:firstLine="0"/>
        <w:jc w:val="center"/>
      </w:pPr>
      <w:r>
        <w:rPr>
          <w:b/>
          <w:bCs/>
        </w:rPr>
        <w:t xml:space="preserve">Соответствие результатов требованиям задания</w:t>
      </w:r>
    </w:p>
    <w:p>
      <w:pPr>
        <w:spacing w:after="0" w:before="0" w:line="360"/>
        <w:ind w:firstLine="709"/>
        <w:jc w:val="both"/>
      </w:pPr>
      <w:r>
        <w:t xml:space="preserve">Сведения приведены в таблице 24.</w:t>
      </w:r>
    </w:p>
    <w:p>
      <w:pPr>
        <w:keepNext/>
        <w:spacing w:after="0" w:before="120" w:line="360"/>
        <w:ind w:firstLine="0"/>
        <w:jc w:val="left"/>
      </w:pPr>
      <w:r>
        <w:t xml:space="preserve">Таблица 24 – Выполнение технических требований задания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891"/>
        <w:gridCol w:w="3855"/>
        <w:gridCol w:w="2314"/>
      </w:tblGrid>
      <w:tr>
        <w:trPr>
          <w:cantSplit/>
          <w:tblHeader/>
        </w:trPr>
        <w:tc>
          <w:tcPr>
            <w:tcW w:type="dxa" w:w="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Реализация</w:t>
            </w:r>
          </w:p>
        </w:tc>
        <w:tc>
          <w:tcPr>
            <w:tcW w:type="dxa" w:w="2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Сохранить работоспособность базового ассистента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регрессионные тесты, режим shadow верификатора</w:t>
            </w:r>
          </w:p>
        </w:tc>
        <w:tc>
          <w:tcPr>
            <w:tcW w:type="dxa" w:w="2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регрессия проходит на всех этапах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Загрузка и нормализация NPPAD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загрузчик, реестр каналов, манифест</w:t>
            </w:r>
          </w:p>
        </w:tc>
        <w:tc>
          <w:tcPr>
            <w:tcW w:type="dxa" w:w="2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одна команда, 15 с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Единая семантическая модель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граф знаний, контракты</w:t>
            </w:r>
          </w:p>
        </w:tc>
        <w:tc>
          <w:tcPr>
            <w:tcW w:type="dxa" w:w="2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схема связей проверяется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Гипотезы по разрешённым каналам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генератор по 6 каналам, калибровка</w:t>
            </w:r>
          </w:p>
        </w:tc>
        <w:tc>
          <w:tcPr>
            <w:tcW w:type="dxa" w:w="2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top-1 0,888, top-3 0,996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Генератор не видит скрытых данных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трёхуровневый барьер</w:t>
            </w:r>
          </w:p>
        </w:tc>
        <w:tc>
          <w:tcPr>
            <w:tcW w:type="dxa" w:w="2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контрактные тесты проходят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Независимая проверка по полному набору каналов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верификатор по 82 каналам, новизна</w:t>
            </w:r>
          </w:p>
        </w:tc>
        <w:tc>
          <w:tcPr>
            <w:tcW w:type="dxa" w:w="2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неверных подтверждено 0,015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Свидетельства и аналоги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свидетельства со ссылками, аналоги ETHZ</w:t>
            </w:r>
          </w:p>
        </w:tc>
        <w:tc>
          <w:tcPr>
            <w:tcW w:type="dxa" w:w="2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P@3 0,68 (текст)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Передача гипотез в конвейер ассистента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explain_diagnosis, diagnose, POST /diagnose</w:t>
            </w:r>
          </w:p>
        </w:tc>
        <w:tc>
          <w:tcPr>
            <w:tcW w:type="dxa" w:w="2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сквозные тесты проходят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Детерминированная проверка ответа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пакет правил aes-core-1.1.0, политика</w:t>
            </w:r>
          </w:p>
        </w:tc>
        <w:tc>
          <w:tcPr>
            <w:tcW w:type="dxa" w:w="2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0 из 1680 испорченных выпущено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Трассируемость и аудит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трасса Langfuse с пакетом проверки</w:t>
            </w:r>
          </w:p>
        </w:tc>
        <w:tc>
          <w:tcPr>
            <w:tcW w:type="dxa" w:w="2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путь восстанавливается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Компонентное и сквозное тестирование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130 + 2 теста</w:t>
            </w:r>
          </w:p>
        </w:tc>
        <w:tc>
          <w:tcPr>
            <w:tcW w:type="dxa" w:w="2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все проходят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Оценка качества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скрипт оценки на тестовой выборке</w:t>
            </w:r>
          </w:p>
        </w:tc>
        <w:tc>
          <w:tcPr>
            <w:tcW w:type="dxa" w:w="2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раздел 7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Воспроизводимость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фиксированные версии, паспорт, повторные прогоны</w:t>
            </w:r>
          </w:p>
        </w:tc>
        <w:tc>
          <w:tcPr>
            <w:tcW w:type="dxa" w:w="23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совпадение, в том числе из чистого окружения</w:t>
            </w:r>
          </w:p>
        </w:tc>
      </w:tr>
    </w:tbl>
    <w:p>
      <w:pPr>
        <w:spacing w:after="120" w:line="240"/>
      </w:pPr>
    </w:p>
    <w:p>
      <w:pPr>
        <w:pStyle w:val="Heading1"/>
        <w:pageBreakBefore/>
        <w:spacing w:after="240" w:before="0" w:line="360"/>
        <w:ind w:firstLine="0"/>
        <w:jc w:val="center"/>
      </w:pPr>
      <w:bookmarkStart w:name="_Toc51" w:id="5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</w:t>
      </w:r>
      <w:bookmarkEnd w:id="51"/>
    </w:p>
    <w:p>
      <w:pPr>
        <w:spacing w:after="0" w:before="0" w:line="360"/>
        <w:ind w:firstLine="0"/>
        <w:jc w:val="center"/>
      </w:pPr>
      <w:r>
        <w:t xml:space="preserve">(справочное)</w:t>
      </w:r>
    </w:p>
    <w:p>
      <w:pPr>
        <w:spacing w:after="0" w:before="0" w:line="360"/>
        <w:ind w:firstLine="0"/>
        <w:jc w:val="center"/>
      </w:pPr>
      <w:r>
        <w:rPr>
          <w:b/>
          <w:bCs/>
        </w:rPr>
        <w:t xml:space="preserve">Пример ответа оператору</w:t>
      </w:r>
    </w:p>
    <w:p>
      <w:pPr>
        <w:spacing w:after="0" w:before="0" w:line="360"/>
        <w:ind w:firstLine="709"/>
        <w:jc w:val="both"/>
      </w:pPr>
      <w:r>
        <w:t xml:space="preserve">Ниже приведён ответ системы для окна 180–290 с валидационного прогона течи в горячей нитке (тяжесть 95 %), сокращённый: перечень свидетельств оставлен частично.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Оценка ситуации (окно 180–290 с): Вероятна ситуация LOCA (течь теплоносителя,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горячая нитка): подтверждена независимой проверкой, 100% взвешенных свидетельств «за».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Гипотезы (генератор по 6 каналам → проверка по всем наблюдаемым каналам):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1. LOCA (течь теплоносителя, горячая нитка) — уверенность генератора 65%;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проверка: подтверждена, доля подтверждений 100% (за 14, против 0) [E1]...[E5]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2. LOCAC (течь теплоносителя, холодная нитка) — уверенность генератора 34%;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проверка: не определено, доля подтверждений 53% (за 10, против 11) [E6]...[E15]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3. SGBTR (разрыв трубки ПГ B) — уверенность генератора 0%;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проверка: отклонена, доля подтверждений 0% (за 0, против 21) [E16]...[E20]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Свидетельства: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[E1] Press Partial RB air (bar): уровень +2.11σ — в типичном диапазоне для LOCA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[-0.4; +2.23] (ссылка f141a767f35b2909#PRBA)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[E11] Temp RCS average (°C): изменение за 30 с от начала события -0.000907σ —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вне допустимого диапазона для LOCAC [-0.000763; -0.000763]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(ссылка 29da0e3744321186#TAVG)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Справочные материалы базы знаний по LOCA: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[D1] «сигнал АЗ по низкому давлению первого контура — 95 % прогонов; 125 с ...»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(dataset/scenarios/LOCA.txt)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Система только интерпретирует данные; решение о действиях принимает оператор.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Решение верификатора ответа: ALLOW (пакет aes-core-1.1.0, нарушений нет,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уверенность 0,60)</w:t>
      </w:r>
    </w:p>
    <w:p>
      <w:pPr>
        <w:pStyle w:val="Heading1"/>
        <w:pageBreakBefore/>
        <w:spacing w:after="240" w:before="0" w:line="360"/>
        <w:ind w:firstLine="0"/>
        <w:jc w:val="center"/>
      </w:pPr>
      <w:bookmarkStart w:name="_Toc52" w:id="52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В</w:t>
      </w:r>
      <w:bookmarkEnd w:id="52"/>
    </w:p>
    <w:p>
      <w:pPr>
        <w:spacing w:after="0" w:before="0" w:line="360"/>
        <w:ind w:firstLine="0"/>
        <w:jc w:val="center"/>
      </w:pPr>
      <w:r>
        <w:t xml:space="preserve">(справочное)</w:t>
      </w:r>
    </w:p>
    <w:p>
      <w:pPr>
        <w:spacing w:after="0" w:before="0" w:line="360"/>
        <w:ind w:firstLine="0"/>
        <w:jc w:val="center"/>
      </w:pPr>
      <w:r>
        <w:rPr>
          <w:b/>
          <w:bCs/>
        </w:rPr>
        <w:t xml:space="preserve">Перечень проектных решений</w:t>
      </w:r>
    </w:p>
    <w:p>
      <w:pPr>
        <w:spacing w:after="0" w:before="0" w:line="360"/>
        <w:ind w:firstLine="709"/>
        <w:jc w:val="both"/>
      </w:pPr>
      <w:r>
        <w:t xml:space="preserve">Полный реестр с контекстом, обоснованием и альтернативами ведётся в документации проекта (docs/decisions.md) (таблица 25).</w:t>
      </w:r>
    </w:p>
    <w:p>
      <w:pPr>
        <w:keepNext/>
        <w:spacing w:after="0" w:before="120" w:line="360"/>
        <w:ind w:firstLine="0"/>
        <w:jc w:val="left"/>
      </w:pPr>
      <w:r>
        <w:t xml:space="preserve">Таблица 25 – Проектные решения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8481"/>
      </w:tblGrid>
      <w:tr>
        <w:trPr>
          <w:cantSplit/>
          <w:tblHeader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Решение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D-001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базовая версия помечена тегом, разработка в отдельной ветке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D-002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бинарные материалы и данные вне системы контроля версий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D-003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источник NPPAD – CSV из репозитория авторов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D-004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однопрогонные классы – пробы, а не обучаемые классы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D-005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явное исключение лишних столбцов SLBIC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D-006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шесть разрешённых каналов по критическим функциям безопасности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D-007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каналы-подсказки исключены из генератора и верификатора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D-008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окна 120 с со сдвигом 60 с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D-009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граф знаний в памяти с проверяемой схемой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D-010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конфигурация в TOML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D-011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разбиение 60/20/20 по прогонам, нормализация по обучению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D-012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непрозрачные идентификаторы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D-013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тяжесть из журнала симулятора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D-014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режимы верификатора off, shadow, enforce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D-015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доверие к источнику назначает политика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D-016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одно утверждение на ответ агента обычного чата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D-017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пустой результат поиска – REQUIRE_HUMAN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D-018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тесты не отправляют трассы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D-019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генератор – классический классификатор без языковой модели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D-020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фильтр базы ETHZ: энергоблоки PWR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D-021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подбор аналогов: BM25 и таблица соответствия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D-022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параметры верификатора подобраны по критерию безопасности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D-023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контрастная проверка гипотез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D-024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хэш конфигурации данных по разделам, влияющим на данные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D-025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тестовая выборка не используется до итоговой оценки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D-026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BM25 в памяти ассистента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D-027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инструмент ETHZ воспроизведён на Python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D-028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аналоги по типу исходного события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D-029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Variable_Power_Data – внешний стресс-тест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D-030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память о событии и сигнатуры ранней фазы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D-031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параметры верификатора с памятью и без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D-032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проверки отклонения и новизны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D-033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итоговое правило выбора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D-034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классы без наблюдаемого события исключены из обучаемых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D-035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пакет правил aes-core-1.1.0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D-036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детерминированный диагностический ответ и проверяемое пояснение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D-037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удаление материалов оппонентов из истории репозитория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D-038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попарный отбор признаков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D-039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причинное определение начала события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D-040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ссылки на базу знаний в диагностическом ответе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D-041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откат к детерминированному ответу при блокировке пояснения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D-042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защёлка события до возврата к исходному состоянию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D-043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справка по сценариям из журналов симулятора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D-044</w:t>
            </w:r>
          </w:p>
        </w:tc>
        <w:tc>
          <w:tcPr>
            <w:tcW w:type="dxa" w:w="8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sz w:val="24"/>
                <w:szCs w:val="24"/>
              </w:rPr>
              <w:t xml:space="preserve">исправленные дефекты этапа доводки</w:t>
            </w:r>
          </w:p>
        </w:tc>
      </w:tr>
    </w:tbl>
    <w:p>
      <w:pPr>
        <w:spacing w:after="120" w:line="240"/>
      </w:pPr>
    </w:p>
    <w:sectPr>
      <w:footerReference w:type="default" r:id="rId6"/>
      <w:footerReference w:type="firs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</w:r>
    <w:r>
      <w:rPr>
        <w:rFonts w:ascii="Times New Roman" w:cs="Times New Roman" w:eastAsia="Times New Roman" w:hAnsi="Times New Roman"/>
        <w:sz w:val="28"/>
        <w:szCs w:val="28"/>
      </w:rPr>
      <w:instrText xml:space="preserve">PAGE</w:instrText>
    </w:r>
    <w:r>
      <w:rPr>
        <w:rFonts w:ascii="Times New Roman" w:cs="Times New Roman" w:eastAsia="Times New Roman" w:hAnsi="Times New Roman"/>
        <w:sz w:val="28"/>
        <w:szCs w:val="28"/>
      </w:rPr>
      <w:fldChar w:fldCharType="separate"/>
    </w:r>
    <w:r>
      <w:rPr>
        <w:rFonts w:ascii="Times New Roman" w:cs="Times New Roman" w:eastAsia="Times New Roman" w:hAnsi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  <w:lvl w:ilvl="1" w:tentative="1">
      <w:start w:val="1"/>
      <w:numFmt w:val="bullet"/>
      <w:lvlText w:val="•"/>
      <w:lvlJc w:val="left"/>
      <w:pPr>
        <w:ind w:left="1636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line="360"/>
      <w:outlineLvl w:val="2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StructNoToc">
    <w:name w:val="Struct No TOC"/>
    <w:basedOn w:val="Normal"/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TOC1">
    <w:name w:val="toc 1"/>
    <w:basedOn w:val="Normal"/>
    <w:pPr>
      <w:spacing w:line="360"/>
    </w:pPr>
    <w:rPr>
      <w:rFonts w:ascii="Times New Roman" w:cs="Times New Roman" w:eastAsia="Times New Roman" w:hAnsi="Times New Roman"/>
      <w:sz w:val="28"/>
      <w:szCs w:val="28"/>
    </w:rPr>
  </w:style>
  <w:style w:type="paragraph" w:styleId="TOC2">
    <w:name w:val="toc 2"/>
    <w:basedOn w:val="Normal"/>
    <w:pPr>
      <w:spacing w:line="360"/>
      <w:ind w:left="425"/>
    </w:pPr>
    <w:rPr>
      <w:rFonts w:ascii="Times New Roman" w:cs="Times New Roman" w:eastAsia="Times New Roman" w:hAnsi="Times New Roman"/>
      <w:sz w:val="28"/>
      <w:szCs w:val="28"/>
    </w:rPr>
  </w:style>
  <w:style w:type="paragraph" w:styleId="TOC3">
    <w:name w:val="toc 3"/>
    <w:basedOn w:val="Normal"/>
    <w:pPr>
      <w:spacing w:line="360"/>
      <w:ind w:left="850"/>
    </w:pPr>
    <w:rPr>
      <w:rFonts w:ascii="Times New Roman" w:cs="Times New Roman" w:eastAsia="Times New Roman" w:hAnsi="Times New Roman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18a7ae5e1173157307f6a6e9c7702f8fd1ca8a39.png"/><Relationship Id="rId10" Type="http://schemas.openxmlformats.org/officeDocument/2006/relationships/image" Target="media/081afe9d774e992bd4d60c516e13f2ca77c38f6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производственной практике</dc:title>
  <dc:creator>Шелманова Е. О.</dc:creator>
  <cp:lastModifiedBy>Un-named</cp:lastModifiedBy>
  <cp:revision>1</cp:revision>
  <dcterms:created xsi:type="dcterms:W3CDTF">2026-10-24T22:35:59.494Z</dcterms:created>
  <dcterms:modified xsi:type="dcterms:W3CDTF">2026-10-24T22:35:59.494Z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