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«Национальный исследовательский ядерный университет «МИФИ»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физико-технических интеллектуальных систем (ИФТИС)</w:t>
      </w:r>
    </w:p>
    <w:p>
      <w:pPr>
        <w:spacing w:after="15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«Автоматика»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ОПИСАНИЕ МОДЕЛИ ДАННЫХ И МЕТОДОВ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Контрольная точка этапа A производственной практики (7 семестр)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«Интерактивный ассистент для поддержки принятия решений операторами АЭС на основе формирования и верификации гипотез о состоянии системы»</w:t>
      </w:r>
    </w:p>
    <w:p>
      <w:pPr>
        <w:spacing w:after="9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направлению подготовки «Системный анализ и управление»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 «Информационно-измерительные и управляющие системы киберфизических устройств и установок»</w:t>
      </w:r>
    </w:p>
    <w:p>
      <w:pPr>
        <w:spacing w:after="24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студент группы Б23-605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Шелманова Ева Олеговна   ____________</w:t>
      </w:r>
    </w:p>
    <w:p>
      <w:pPr>
        <w:spacing w:after="36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практики: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Толоконский Андрей Олегович,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к.т.н., доцент кафедры «Теплофизика»   ____________</w:t>
      </w:r>
    </w:p>
    <w:p>
      <w:pPr>
        <w:spacing w:after="90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</w:t>
      </w:r>
    </w:p>
    <w:p>
      <w:pPr>
        <w:pStyle w:val="StructNoToc"/>
        <w:pageBreakBefore/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ВВЕДЕНИЕ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">
            <w:r>
              <w:t xml:space="preserve">1 Исходные данные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">
            <w:r>
              <w:t xml:space="preserve">1.1 Набор данных NPPAD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">
            <w:r>
              <w:t xml:space="preserve">1.2 Аудит классов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5">
            <w:r>
              <w:t xml:space="preserve">1.3 Дополнительные источники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6">
            <w:r>
              <w:t xml:space="preserve">2 Модель данных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7">
            <w:r>
              <w:t xml:space="preserve">2.1 Реестр измерительных каналов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8">
            <w:r>
              <w:t xml:space="preserve">2.2 Конвейер подготовки данных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9">
            <w:r>
              <w:t xml:space="preserve">2.3 Окна наблюдений и память о событии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0">
            <w:r>
              <w:t xml:space="preserve">2.4 Контракты данных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1">
            <w:r>
              <w:t xml:space="preserve">2.5 Семантическая модель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2">
            <w:r>
              <w:t xml:space="preserve">2.6 Информационный барьер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3">
            <w:r>
              <w:t xml:space="preserve">3 Методы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4">
            <w:r>
              <w:t xml:space="preserve">3.1 Генерация гипотез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5">
            <w:r>
              <w:t xml:space="preserve">3.2 Независимая проверка гипотез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6">
            <w:r>
              <w:t xml:space="preserve">3.3 Проверка отклонения и новизны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7">
            <w:r>
              <w:t xml:space="preserve">3.4 Итоговое правило выбора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8">
            <w:r>
              <w:t xml:space="preserve">3.5 Подбор аналогов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9">
            <w:r>
              <w:t xml:space="preserve">3.6 Детерминированная проверка ответа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0">
            <w:r>
              <w:t xml:space="preserve">4 Проверка модели данных и методов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1">
            <w:r>
              <w:t xml:space="preserve">4.1 Тестирование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2">
            <w:r>
              <w:t xml:space="preserve">4.2 Критерии готовности этапа 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3">
            <w:r>
              <w:t xml:space="preserve">4.3 Предварительные результаты применения методов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4">
            <w:r>
              <w:t xml:space="preserve">ЗАКЛЮЧЕНИЕ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5">
            <w:r>
              <w:t xml:space="preserve">СПИСОК ИСПОЛЬЗОВАННЫХ ИСТОЧНИКОВ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 w:line="360"/>
        <w:ind w:firstLine="0"/>
        <w:jc w:val="center"/>
      </w:pPr>
      <w:bookmarkStart w:name="_Toc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bookmarkEnd w:id="1"/>
    </w:p>
    <w:p>
      <w:pPr>
        <w:spacing w:after="0" w:before="0" w:line="360"/>
        <w:ind w:firstLine="709"/>
        <w:jc w:val="both"/>
      </w:pPr>
      <w:r>
        <w:t xml:space="preserve">Настоящий документ представляется на контрольную точку этапа A производственной практики (31.10.2026) и содержит описание разработанной модели данных и методов. Тема практики: «Интерактивный ассистент для поддержки принятия решений операторами АЭС на основе формирования и верификации гипотез о состоянии системы».</w:t>
      </w:r>
    </w:p>
    <w:p>
      <w:pPr>
        <w:spacing w:after="0" w:before="0" w:line="360"/>
        <w:ind w:firstLine="709"/>
        <w:jc w:val="both"/>
      </w:pPr>
      <w:r>
        <w:t xml:space="preserve">Отправная точка работы – прототип интерактивного ассистента atomic, разработанный на учебной практике 6-го семестра [1]. Это система ответов на вопросы по базе знаний (подход Retrieval-Augmented Generation [2]) с маршрутизатором запросов и тремя агентами (поиск, выполнение кода, анализ), работающая на локальных языковых моделях. На 7-м семестре ассистент дополняется диагностическим контуром: по ограниченному набору измерительных каналов он формирует гипотезы о состоянии станции, независимо проверяет их по всем каналам, подкрепляет аналогами из базы исторических событий и выпускает ответ оператору только после детерминированной проверки правилами.</w:t>
      </w:r>
    </w:p>
    <w:p>
      <w:pPr>
        <w:spacing w:after="0" w:before="0" w:line="360"/>
        <w:ind w:firstLine="709"/>
        <w:jc w:val="both"/>
      </w:pPr>
      <w:r>
        <w:t xml:space="preserve">Этап A закладывает основу этого контура и отвечает на требования задания, относящиеся к данным: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требование 1 – сохранить работоспособность базового ассистента;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требование 2 – загружать и нормализовать временные ряды NPPAD и структурированные данные;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требование 3 – построить единую семантическую модель диагностической информации;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требование 5 – исключить доступ генератора гипотез к скрытым данным и истинной метке сценария.</w:t>
      </w:r>
    </w:p>
    <w:p>
      <w:pPr>
        <w:spacing w:after="0" w:before="0" w:line="360"/>
        <w:ind w:firstLine="709"/>
        <w:jc w:val="both"/>
      </w:pPr>
      <w:r>
        <w:t xml:space="preserve">Кроме модели данных, в документе описаны методы, на которых строятся следующие этапы: генерация гипотез, их независимая проверка, проверка новизны ситуации и детерминированная проверка итогового ответа. К дате контрольной точки эти методы уже реализованы и испытаны; количественные результаты приведены кратко, подробно они излагаются в отчёте по практике.</w:t>
      </w:r>
    </w:p>
    <w:p>
      <w:pPr>
        <w:spacing w:after="0" w:before="0" w:line="360"/>
        <w:ind w:firstLine="709"/>
        <w:jc w:val="both"/>
      </w:pPr>
      <w:r>
        <w:t xml:space="preserve">Во всей работе соблюдаются ограничения, принятые для систем поддержки оператора АЭС: система только читает данные, ничем не управляет, ничего не исполняет сама, не выдаёт рекомендаций действий и оставляет любое решение оператору (человек в контуре управления) [3].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2" w:id="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Исходные данные</w:t>
      </w:r>
      <w:bookmarkEnd w:id="2"/>
    </w:p>
    <w:p>
      <w:pPr>
        <w:pStyle w:val="Heading2"/>
        <w:keepNext/>
        <w:spacing w:after="120" w:before="240" w:line="360"/>
        <w:ind w:firstLine="709"/>
        <w:jc w:val="left"/>
      </w:pPr>
      <w:bookmarkStart w:name="_Toc3" w:id="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Набор данных NPPAD</w:t>
      </w:r>
      <w:bookmarkEnd w:id="3"/>
    </w:p>
    <w:p>
      <w:pPr>
        <w:spacing w:after="0" w:before="0" w:line="360"/>
        <w:ind w:firstLine="709"/>
        <w:jc w:val="both"/>
      </w:pPr>
      <w:r>
        <w:t xml:space="preserve">Основной источник данных – открытый набор временных рядов аварийных режимов АЭС NPPAD [4]. Данные получены на симуляторе PCTRAN для энергоблока с реактором PWR, исходное состояние – работа на 100 % мощности. Использована версия репозитория авторов от 25.08.2026 (коммит a8d54ed), формат CSV (каталог Operation_csv_data), лицензия MIT (таблица 1).</w:t>
      </w:r>
    </w:p>
    <w:p>
      <w:pPr>
        <w:keepNext/>
        <w:spacing w:after="0" w:before="120" w:line="360"/>
        <w:ind w:firstLine="0"/>
        <w:jc w:val="left"/>
      </w:pPr>
      <w:r>
        <w:t xml:space="preserve">Таблица 1 – Характеристики набора данных NPPAD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Симулятор, тип реактора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PCTRAN, PWR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Шаг записи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 с, пропусков нет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Измерительных каналов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96 (и столбец времени)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Классов ситуаций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18 (17 аварийных и нормальная эксплуатация)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Прогонов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1217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Точек времени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492 709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Момент ввода неисправности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 с от начала прогона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Прогон – одна симуляция сценария с заданной тяжестью: например, течь первого контура площадью 12 % от 100 см². У двенадцати классов есть 99–110 прогонов разной тяжести, у шести (ATWS, LACP, LOF, Normal, SP, TT) – по одному прогону без параметра тяжести. Для каждого прогона симулятор пишет журнал событий (Transient Report), из которого берутся тяжесть, номер неисправности и последовательность срабатывания систем защиты.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" w:id="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Аудит классов</w:t>
      </w:r>
      <w:bookmarkEnd w:id="4"/>
    </w:p>
    <w:p>
      <w:pPr>
        <w:spacing w:after="0" w:before="0" w:line="360"/>
        <w:ind w:firstLine="709"/>
        <w:jc w:val="both"/>
      </w:pPr>
      <w:r>
        <w:t xml:space="preserve">Перед построением модели каждый прогон был сравнён с прогоном, в котором неисправность введена с долей 0 % и станция остаётся в стационаре. Обнаружено: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класс MD (разбавление борного раствора, 100 прогонов) полностью совпадает со стационаром при любой заявленной тяжести – неисправность в выходных данных симулятора не проявилась;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класс SLBOC (разрыв паропровода вне защитной оболочки) теплогидравлически не отличается от стационара, меняются только мониторы радиации;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классы ATWS и SP – неисправность с долей 0 %, станция в стационаре;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класс Normal – не стационар: в начале прогона закрывается клапан питательной воды.</w:t>
      </w:r>
    </w:p>
    <w:p>
      <w:pPr>
        <w:spacing w:after="0" w:before="0" w:line="360"/>
        <w:ind w:firstLine="709"/>
        <w:jc w:val="both"/>
      </w:pPr>
      <w:r>
        <w:t xml:space="preserve">По итогам аудита обучаемое множество составляют 11 классов (FLB, LLB, LOCA, LOCAC, LR, RI, RW, SGATR, SGBTR, SLBIC, SLBOC). Прогоны ATWS, MD и SP используются как эталон «события нет», а однопрогонные LACP, LOF, Normal и TT – как пробы ситуаций вне обучаемого множества.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5" w:id="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Дополнительные источники</w:t>
      </w:r>
      <w:bookmarkEnd w:id="5"/>
    </w:p>
    <w:p>
      <w:pPr>
        <w:spacing w:after="0" w:before="0" w:line="360"/>
        <w:ind w:firstLine="709"/>
        <w:jc w:val="both"/>
      </w:pPr>
      <w:r>
        <w:t xml:space="preserve">База исторических событий ETH Zurich Curated Nuclear Events Database [5] содержит описания 1561 события на ядерных объектах с классификацией по типу исходного события, системе и компоненту. Распространяемый с базой файл ETHZ_Database_Access_tool.xlsm оказался интерфейсом на VBA к таблице Support_file.xlsx; логика выборки воспроизведена на Python. Для подбора аналогов оставлены 783 события на энергоблоках с реакторами PWR.</w:t>
      </w:r>
    </w:p>
    <w:p>
      <w:pPr>
        <w:spacing w:after="0" w:before="0" w:line="360"/>
        <w:ind w:firstLine="709"/>
        <w:jc w:val="both"/>
      </w:pPr>
      <w:r>
        <w:t xml:space="preserve">Набор Variable_Power_Data из того же репозитория NPPAD (12 прогонов: изменения мощности в диапазоне 70–100 % и аварии на фоне изменения мощности) в обучение не входит и используется как внешний стресс-тест.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6" w:id="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Модель данных</w:t>
      </w:r>
      <w:bookmarkEnd w:id="6"/>
    </w:p>
    <w:p>
      <w:pPr>
        <w:pStyle w:val="Heading2"/>
        <w:keepNext/>
        <w:spacing w:after="120" w:before="240" w:line="360"/>
        <w:ind w:firstLine="709"/>
        <w:jc w:val="left"/>
      </w:pPr>
      <w:bookmarkStart w:name="_Toc7" w:id="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Реестр измерительных каналов</w:t>
      </w:r>
      <w:bookmarkEnd w:id="7"/>
    </w:p>
    <w:p>
      <w:pPr>
        <w:spacing w:after="0" w:before="0" w:line="360"/>
        <w:ind w:firstLine="709"/>
        <w:jc w:val="both"/>
      </w:pPr>
      <w:r>
        <w:t xml:space="preserve">Все 96 каналов описаны в реестре (файл конфигурации channels.toml), построенном по таблице параметров документации NPPAD. Для каждого канала хранятся каноническое имя, описание, единица измерения, подсистема станции и признак label_proxy. Распределение каналов по подсистемам приведено в таблице 2.</w:t>
      </w:r>
    </w:p>
    <w:p>
      <w:pPr>
        <w:keepNext/>
        <w:spacing w:after="0" w:before="120" w:line="360"/>
        <w:ind w:firstLine="0"/>
        <w:jc w:val="left"/>
      </w:pPr>
      <w:r>
        <w:t xml:space="preserve">Таблица 2 – Распределение каналов по подсистемам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Подсистема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Каналов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Примеры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первый контур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 – давление, TAVG – средняя температура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второй контур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PSGA – давление в ПГ A, уровни ПГ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радиационный контроль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RM1–RM6, мониторы паропровода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активная зона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PWNT – мощность по нейтронному потоку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топливо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температуры оболочек твэлов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защитная оболочка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PRB – давление в здании реактора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САОЗ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расходы систем аварийного охлаждения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тяжёлая авария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параметры расплава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компенсатор давления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LVPZ – уровень в КД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параметры течи (label_proxy)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WLR, HLW – расход и энергия течи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Признак label_proxy отмечает восемь величин, которые описывают саму неисправность (расход течи, течь трубок парогенератора, разрыв питательной линии). Штатными приборами они не измеряются и фактически содержат ответ, поэтому не допускаются ни в генератор, ни в верификатор гипотез: иначе проверка стала бы тривиальной, а оценка качества – нечестной. Ещё семь каналов постоянны на всей обучающей выборке. Верификатор гипотез использует 82 наблюдаемых канала.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Разрешённые каналы генератора.</w:t>
      </w:r>
      <w:r>
        <w:t xml:space="preserve"> Генератор гипотез видит только шесть каналов – по одному на каждую критическую функцию безопасности PWR, которые оператор контролирует в первую очередь [6] (таблица 3).</w:t>
      </w:r>
    </w:p>
    <w:p>
      <w:pPr>
        <w:keepNext/>
        <w:spacing w:after="0" w:before="120" w:line="360"/>
        <w:ind w:firstLine="0"/>
        <w:jc w:val="left"/>
      </w:pPr>
      <w:r>
        <w:t xml:space="preserve">Таблица 3 – Разрешённые каналы генератора гипотез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Критическая функция безопасности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Канал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подкритичность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PWNT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мощность по нейтронному потоку, 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охлаждение активной зоны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TAVG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средняя температура теплоносителя, °C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теплоотвод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PSGA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парогенераторе A,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целостность первого контура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первом контуре,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защитная оболочка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PRB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здании реактора,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запас теплоносителя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LVPZ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уровень в компенсаторе давления, %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Набор задаётся в конфигурации, а не в коде, и не подбирался под точность классификатора. Он намеренно неполон: например, разрывы трубок парогенераторов A и B по этим каналам различаются плохо. Различение обеспечивает верификатор, который видит все наблюдаемые каналы. В этом и состоит архитектурная идея работы: гипотеза строится по части данных, а проверяется по всем.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8" w:id="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Конвейер подготовки данных</w:t>
      </w:r>
      <w:bookmarkEnd w:id="8"/>
    </w:p>
    <w:p>
      <w:pPr>
        <w:spacing w:after="0" w:before="0" w:line="360"/>
        <w:ind w:firstLine="709"/>
        <w:jc w:val="both"/>
      </w:pPr>
      <w:r>
        <w:t xml:space="preserve">Подготовка выполняется одной командой (скрипт load_nppad.py, около 15 с на все прогоны):</w:t>
      </w:r>
    </w:p>
    <w:p>
      <w:pPr>
        <w:spacing w:after="0" w:before="0" w:line="360"/>
        <w:ind w:firstLine="709"/>
        <w:jc w:val="both"/>
      </w:pPr>
      <w:r>
        <w:t xml:space="preserve">1) чтение CSV каждого прогона и приведение столбцов к порядку реестра по имени; неожиданный столбец или нечисловое значение – ошибка (исключение – три лишних столбца в 25 файлах SLBIC, отсутствующие в документации и отбрасываемые явно);</w:t>
      </w:r>
    </w:p>
    <w:p>
      <w:pPr>
        <w:spacing w:after="0" w:before="0" w:line="360"/>
        <w:ind w:firstLine="709"/>
        <w:jc w:val="both"/>
      </w:pPr>
      <w:r>
        <w:t xml:space="preserve">2) сортировка строк по времени и проверка, что все шаги равны 10 с;</w:t>
      </w:r>
    </w:p>
    <w:p>
      <w:pPr>
        <w:spacing w:after="0" w:before="0" w:line="360"/>
        <w:ind w:firstLine="709"/>
        <w:jc w:val="both"/>
      </w:pPr>
      <w:r>
        <w:t xml:space="preserve">3) присвоение непрозрачного идентификатора прогона;</w:t>
      </w:r>
    </w:p>
    <w:p>
      <w:pPr>
        <w:spacing w:after="0" w:before="0" w:line="360"/>
        <w:ind w:firstLine="709"/>
        <w:jc w:val="both"/>
      </w:pPr>
      <w:r>
        <w:t xml:space="preserve">4) запись меток (сценарий, тяжесть, номер неисправности, исходный путь) в отдельное хранилище меток;</w:t>
      </w:r>
    </w:p>
    <w:p>
      <w:pPr>
        <w:spacing w:after="0" w:before="0" w:line="360"/>
        <w:ind w:firstLine="709"/>
        <w:jc w:val="both"/>
      </w:pPr>
      <w:r>
        <w:t xml:space="preserve">5) разбиение прогонов на обучающую, валидационную и тестовую выборки;</w:t>
      </w:r>
    </w:p>
    <w:p>
      <w:pPr>
        <w:spacing w:after="0" w:before="0" w:line="360"/>
        <w:ind w:firstLine="709"/>
        <w:jc w:val="both"/>
      </w:pPr>
      <w:r>
        <w:t xml:space="preserve">6) нормализация каналов;</w:t>
      </w:r>
    </w:p>
    <w:p>
      <w:pPr>
        <w:spacing w:after="0" w:before="0" w:line="360"/>
        <w:ind w:firstLine="709"/>
        <w:jc w:val="both"/>
      </w:pPr>
      <w:r>
        <w:t xml:space="preserve">7) сохранение данных в физических единицах, манифеста версий и файла меток.</w:t>
      </w:r>
    </w:p>
    <w:p>
      <w:pPr>
        <w:spacing w:after="0" w:before="0" w:line="360"/>
        <w:ind w:firstLine="709"/>
        <w:jc w:val="both"/>
      </w:pPr>
      <w:r>
        <w:t xml:space="preserve">Манифест фиксирует всё, что нужно для воспроизводимости: коммит источника, хэш конфигурации, порядок каналов, параметры нормализации и состав выборок.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Разбиение.</w:t>
      </w:r>
      <w:r>
        <w:t xml:space="preserve"> Прогоны делятся в пропорции 60/20/20, стратифицированно по сценарию, с фиксированным начальным числом генератора случайных чисел (42). Разбиение выполняется по прогонам, а не по отдельным окнам: иначе соседние окна одного прогона попали бы и в обучение, и в тест, и оценка оказалась бы завышенной. Для 11 обучаемых классов получено 667 обучающих, 222 валидационных и 222 тестовых прогона. Тестовая выборка не используется при настройке.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Нормализация.</w:t>
      </w:r>
      <w:r>
        <w:t xml:space="preserve"> Каждый канал приводится к z-оценке; среднее и стандартное отклонение считаются только по обучающим прогонам. Постоянные на обучении каналы получают единичное отклонение.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Идентификаторы.</w:t>
      </w:r>
      <w:r>
        <w:t xml:space="preserve"> Пути файлов NPPAD содержат имя сценария (например, LOCA/12.csv). Если такой путь попадёт в идентификатор, генератор сможет «узнать» ответ из него. Поэтому идентификатор прогона – первые 12 символов хэша SHA-256 от пути, идентификатор окна – 16 символов хэша от идентификатора прогона и номера первой точки. Исходный путь хранится только в хранилище меток.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9" w:id="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Окна наблюдений и память о событии</w:t>
      </w:r>
      <w:bookmarkEnd w:id="9"/>
    </w:p>
    <w:p>
      <w:pPr>
        <w:spacing w:after="0" w:before="0" w:line="360"/>
        <w:ind w:firstLine="709"/>
        <w:jc w:val="both"/>
      </w:pPr>
      <w:r>
        <w:t xml:space="preserve">Прогон нарезается на окна длиной 12 точек (120 с) со сдвигом 6 точек (60 с). Окно содержит нормализованные значения и значения в физических единицах по всем каналам, идентификатор и время начала и конца. Окна строятся детерминированно из сохранённых данных и на диск не записываются.</w:t>
      </w:r>
    </w:p>
    <w:p>
      <w:pPr>
        <w:spacing w:after="0" w:before="0" w:line="360"/>
        <w:ind w:firstLine="709"/>
        <w:jc w:val="both"/>
      </w:pPr>
      <w:r>
        <w:t xml:space="preserve">Одного окна недостаточно для различения некоторых сценариев: течи в горячей и холодной нитке первого контура в установившемся процессе выглядят почти одинаково, а различаются в первые 30–120 с после начала события. Поэтому модель данных дополнена памятью о событии (EpisodeContext): исходное состояние до события и наблюдения первых 120 с после его начала. Память строго причинна – в неё попадают только точки, уже наблюдавшиеся к концу текущего окна.</w:t>
      </w:r>
    </w:p>
    <w:p>
      <w:pPr>
        <w:spacing w:after="0" w:before="0" w:line="360"/>
        <w:ind w:firstLine="709"/>
        <w:jc w:val="both"/>
      </w:pPr>
      <w:r>
        <w:t xml:space="preserve">Начало события определяется по самим данным, без знания момента ввода неисправности. Точка считается стационарной, если ни один наблюдаемый канал не изменился больше чем на 1 % за предыдущие 60 с. Начало события – последняя стационарная точка перед отклонением. Событие считается законченным, только когда станция 120 с подряд стационарна и вернулась к состоянию до события. Это правило не даёт «закрыть» событие, когда станция после аварии выходит на новое, но ненормальное стационарное состояние. На всех тестовых прогонах NPPAD найденное начало совпадает с началом записи.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0" w:id="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Контракты данных</w:t>
      </w:r>
      <w:bookmarkEnd w:id="10"/>
    </w:p>
    <w:p>
      <w:pPr>
        <w:spacing w:after="0" w:before="0" w:line="360"/>
        <w:ind w:firstLine="709"/>
        <w:jc w:val="both"/>
      </w:pPr>
      <w:r>
        <w:t xml:space="preserve">Обмен между модулями идёт через типизированные контракты с проверкой инвариантов и сериализацией в JSON (таблица 4).</w:t>
      </w:r>
    </w:p>
    <w:p>
      <w:pPr>
        <w:keepNext/>
        <w:spacing w:after="0" w:before="120" w:line="360"/>
        <w:ind w:firstLine="0"/>
        <w:jc w:val="left"/>
      </w:pPr>
      <w:r>
        <w:t xml:space="preserve">Таблица 4 – Контракты диагностического контура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cantSplit/>
          <w:tblHeader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Инварианты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ObservationWindow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по всем каналам: идентификаторы, время, значения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форма значений согласована со списком каналов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RestrictedWindow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только по разрешённым каналам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создаётся только барьером; полей метки, времени и прогона нет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EpisodeContext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исходное состояние и первые 120 с события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только прошлые точки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ScenarioHypothesis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сценарий, уверенность, ранг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уверенность в [0; 1]; текст без рекомендаций действий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HypothesisSet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несколько гипотез по окну (top-k)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 убыванию уверенности, сумма не больше 1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ChannelEvidence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свидетельство «за» или «против»: канал, окно, наблюдение, ожидание, вес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ссылка вида &lt;окно&gt;#&lt;канал&gt;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EventAnalogue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аналогичное историческое событие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формулировка «в аналогичных случаях наблюдалось…»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HypothesisVerdict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статус проверки гипотезы и свидетельства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статус: подтверждена, отклонена, не определено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DiagnosticReport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итог диагностики окна: гипотезы, вердикты, новизна, исход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исход из конечного множества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Требование выдавать несколько гипотез вместо одной и калибровать уверенность заложено в тип HypothesisSet. Оно защищает от двух опасностей, выделенных в анализе развития системы [3]: неверной классификации ситуации и сверхуверенности.</w:t>
      </w:r>
    </w:p>
    <w:p>
      <w:pPr>
        <w:spacing w:after="0" w:before="0" w:line="360"/>
        <w:ind w:firstLine="709"/>
        <w:jc w:val="both"/>
      </w:pPr>
      <w:r>
        <w:t xml:space="preserve">Для проверки итогового ответа используются контракты из проекта верификатора 7-го семестра: утверждение (Claim), ссылка на свидетельство (EvidenceRef), набор правил (RulePack) и решение политики (PolicyDecision), объединяемые в пакет проверки (VerificationBundle). Вид свидетельства задаётся перечислением: нормативный документ, фрагмент базы знаний, вывод инструмента, телеметрия, историческое событие, подтверждение человека, текст модели. Телеметрия и исторические события добавлены для диагностического контура.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1" w:id="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Семантическая модель</w:t>
      </w:r>
      <w:bookmarkEnd w:id="11"/>
    </w:p>
    <w:p>
      <w:pPr>
        <w:spacing w:after="0" w:before="0" w:line="360"/>
        <w:ind w:firstLine="709"/>
        <w:jc w:val="both"/>
      </w:pPr>
      <w:r>
        <w:t xml:space="preserve">Единая семантическая модель диагностической информации реализована как граф знаний в памяти с явной схемой допустимых связей. У каждого узла есть идентификатор, тип и происхождение (источник, версия, время создания). Связь добавляется только для допустимой пары типов, иначе возникает ошибка. Отдельная графовая СУБД не используется: объём – тысячи узлов на сценарий, а проверяемая схема и воспроизводимость важнее масштабирования (таблица 5).</w:t>
      </w:r>
    </w:p>
    <w:p>
      <w:pPr>
        <w:keepNext/>
        <w:spacing w:after="0" w:before="120" w:line="360"/>
        <w:ind w:firstLine="0"/>
        <w:jc w:val="left"/>
      </w:pPr>
      <w:r>
        <w:t xml:space="preserve">Таблица 5 – Сущности семантической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 узла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представляет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channel, run, window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измерительный канал, прогон симулятора, окно наблюдений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scenario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класс ситуации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historical_event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событие из базы ETHZ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document, fragment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документ базы знаний и его фрагмент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hypothesis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гипотеза «вероятна ситуация X, уверенность Y»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evidence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свидетельство «за» или «против»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claim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утверждение в ответе оператору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rule, rule_pack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правило проверки и версионируемый пакет правил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policy_decision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решение о выпуске ответа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Сведения приведены в таблице 6.</w:t>
      </w:r>
    </w:p>
    <w:p>
      <w:pPr>
        <w:keepNext/>
        <w:spacing w:after="0" w:before="120" w:line="360"/>
        <w:ind w:firstLine="0"/>
        <w:jc w:val="left"/>
      </w:pPr>
      <w:r>
        <w:t xml:space="preserve">Таблица 6 – Связи семантической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Связь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Допустимые пары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part_of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→ прогон, фрагмент → документ, правило → пакет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observes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→ канал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about, proposes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гипотеза → окно, гипотеза → сценарий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refers_to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свидетельство → канал, окно, историческое событие, фрагмент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supports, contradicts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свидетельство → гипотеза или утверждение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analogous_to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историческое событие → сценарий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checked_by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утверждение → правило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decides, applies</w:t>
            </w:r>
          </w:p>
        </w:tc>
        <w:tc>
          <w:tcPr>
            <w:tcW w:type="dxa" w:w="6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решение → утверждение, решение → пакет правил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Путь «данные → гипотеза → проверка → ответ → решение» восстанавливается в графе по цепочке: канал ← окно ← гипотеза ← свидетельство → утверждение ← решение → пакет правил.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2" w:id="1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Информационный барьер</w:t>
      </w:r>
      <w:bookmarkEnd w:id="12"/>
    </w:p>
    <w:p>
      <w:pPr>
        <w:spacing w:after="0" w:before="0" w:line="360"/>
        <w:ind w:firstLine="709"/>
        <w:jc w:val="both"/>
      </w:pPr>
      <w:r>
        <w:t xml:space="preserve">Требование 5 – генератор не видит скрытых данных и истинной метки – обеспечено на трёх уровнях: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тип данных:</w:t>
      </w:r>
      <w:r>
        <w:t xml:space="preserve"> генератор принимает только RestrictedWindow, в котором нет полей метки, времени и идентификатора прогона;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проекция:</w:t>
      </w:r>
      <w:r>
        <w:t xml:space="preserve"> барьер оставляет только разрешённые каналы из конфигурации; каналы label_proxy запрещены уже при загрузке конфигурации;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идентификаторы и метки:</w:t>
      </w:r>
      <w:r>
        <w:t xml:space="preserve"> идентификаторы – хэши без имени сценария, метки хранятся отдельно, а модули рабочего пути генератора не импортируют модуль меток (это проверяет статический тест).</w:t>
      </w:r>
    </w:p>
    <w:p>
      <w:pPr>
        <w:spacing w:after="0" w:before="0" w:line="360"/>
        <w:ind w:firstLine="709"/>
        <w:jc w:val="both"/>
      </w:pPr>
      <w:r>
        <w:t xml:space="preserve">Каждый уровень покрыт контрактными тестами, в том числе на реальных данных NPPAD.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ind w:firstLine="0"/>
        <w:jc w:val="center"/>
      </w:pPr>
      <w:r>
        <w:t xml:space="preserve">Рисунок 1 – Общая архитектура системы: диагностический контур и ассистент 6-го семестра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13" w:id="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Методы</w:t>
      </w:r>
      <w:bookmarkEnd w:id="13"/>
    </w:p>
    <w:p>
      <w:pPr>
        <w:pStyle w:val="Heading2"/>
        <w:keepNext/>
        <w:spacing w:after="120" w:before="240" w:line="360"/>
        <w:ind w:firstLine="709"/>
        <w:jc w:val="left"/>
      </w:pPr>
      <w:bookmarkStart w:name="_Toc14" w:id="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Генерация гипотез</w:t>
      </w:r>
      <w:bookmarkEnd w:id="14"/>
    </w:p>
    <w:p>
      <w:pPr>
        <w:spacing w:after="0" w:before="0" w:line="360"/>
        <w:ind w:firstLine="709"/>
        <w:jc w:val="both"/>
      </w:pPr>
      <w:r>
        <w:t xml:space="preserve">Генератор строит по окну шести разрешённых каналов несколько гипотез вида «вероятна ситуация X, уверенность Y» без рекомендаций действий.</w:t>
      </w:r>
    </w:p>
    <w:p>
      <w:pPr>
        <w:spacing w:after="0" w:before="0" w:line="360"/>
        <w:ind w:firstLine="709"/>
        <w:jc w:val="both"/>
      </w:pPr>
      <w:r>
        <w:t xml:space="preserve">Для каждого канала вычисляются семь признаков окна: значение в начале и в конце, среднее, стандартное отклонение, минимум, максимум и наклон линейного тренда – всего 42 признака. Сравнивались логистическая регрессия и градиентный бустинг на гистограммах [7, 8]. Уверенность калибруется температурным масштабированием [9]: вероятности возводятся в степень 1/T и перенормируются, параметр T подбирается минимизацией логарифмической функции потерь на валидационной выборке. Модель выбрана по той же функции потерь после калибровки – это градиентный бустинг (T = 1,67: до калибровки модель была сверхуверенной). На выход подаются три наиболее вероятных сценария.</w:t>
      </w:r>
    </w:p>
    <w:p>
      <w:pPr>
        <w:spacing w:after="0" w:before="0" w:line="360"/>
        <w:ind w:firstLine="709"/>
        <w:jc w:val="both"/>
      </w:pPr>
      <w:r>
        <w:t xml:space="preserve">Языковая модель в генераторе не используется: классический классификатор детерминирован, хорошо калибруется и объясним.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5" w:id="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Независимая проверка гипотез</w:t>
      </w:r>
      <w:bookmarkEnd w:id="15"/>
    </w:p>
    <w:p>
      <w:pPr>
        <w:spacing w:after="0" w:before="0" w:line="360"/>
        <w:ind w:firstLine="709"/>
        <w:jc w:val="both"/>
      </w:pPr>
      <w:r>
        <w:t xml:space="preserve">Верификатор проверяет каждую гипотезу по 82 наблюдаемым каналам методом, не связанным с генератором: вместо обучаемого классификатора – квантильные сигнатуры сценариев и правила.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Сигнатуры.</w:t>
      </w:r>
      <w:r>
        <w:t xml:space="preserve"> По обучающим окнам для каждого сценария и канала вычисляются квантили 1, 5, 50, 95 и 99 % двух признаков: уровня (среднее нормализованное значение) и тренда. Типичным считается диапазон между 5 и 95 %, допустимым – между 1 и 99 %. По памяти о событии строятся сигнатуры ранней фазы: изменение каждого канала через 30, 60 и 120 с от начала события относительно исходного состояния (по одному вектору на обучающий прогон).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Специфичность.</w:t>
      </w:r>
      <w:r>
        <w:t xml:space="preserve"> Для каждой пары сценариев и каждого признака вычисляется доля окон второго сценария, выходящих за типичный диапазон первого. Чем больше эта доля, тем лучше признак отличает первый сценарий от второго.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Контрастная проверка.</w:t>
      </w:r>
      <w:r>
        <w:t xml:space="preserve"> Гипотеза проверяется не против всех классов сразу, а против конкурентов из того же набора гипотез. Для каждого конкурента отбираются признаки с наибольшей специфичностью именно против него. Значение в типичном диапазоне гипотезы даёт свидетельство «за», за пределами допустимого – «против», между ними – «против» с половинным весом. Доля подтверждений – отношение суммарного веса свидетельств «за» к весу всех свидетельств; при доле не ниже 0,7 гипотеза подтверждена, не выше 0,4 – отклонена, иначе статус «не определено». Если памяти о событии нет (ассистент подключился посреди события), используются более строгие параметры.</w:t>
      </w:r>
    </w:p>
    <w:p>
      <w:pPr>
        <w:spacing w:after="0" w:before="0" w:line="360"/>
        <w:ind w:firstLine="709"/>
        <w:jc w:val="both"/>
      </w:pPr>
      <w:r>
        <w:t xml:space="preserve">Каждое свидетельство содержит ссылку на конкретный канал и окно, наблюдаемое значение, ожидаемый диапазон и вес, например: «Давление воздуха в оболочке: уровень +2,11σ – в типичном диапазоне для LOCA [−0,40; +2,23]».</w:t>
      </w:r>
    </w:p>
    <w:p>
      <w:pPr>
        <w:spacing w:after="0" w:before="0" w:line="360"/>
        <w:ind w:firstLine="709"/>
        <w:jc w:val="both"/>
      </w:pPr>
      <w:r>
        <w:t xml:space="preserve">Пороги подобраны на валидационной выборке по критерию безопасности: максимум подтверждённых верных гипотез при доле подтверждённых неверных не более 10 %. Для АЭС ложное подтверждение опаснее неопределённости: неопределённость оставляет решение оператору, а ложное подтверждение усиливает чрезмерное доверие автоматике [10].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6" w:id="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Проверка отклонения и новизны</w:t>
      </w:r>
      <w:bookmarkEnd w:id="16"/>
    </w:p>
    <w:p>
      <w:pPr>
        <w:spacing w:after="0" w:before="0" w:line="360"/>
        <w:ind w:firstLine="709"/>
        <w:jc w:val="both"/>
      </w:pPr>
      <w:r>
        <w:t xml:space="preserve">Верификатор отвечает на вопрос, согласуются ли данные с гипотезой, но не может сказать, что ситуация не похожа ни на один известный сценарий. Поэтому введены две дополнительные проверки: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проверка отклонения:</w:t>
      </w:r>
      <w:r>
        <w:t xml:space="preserve"> событие есть, если хотя бы один наблюдаемый канал отличается от исходного состояния больше чем на 1 % (четыре канала, дрейфующих и без события, не учитываются);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проверка новизны:</w:t>
      </w:r>
      <w:r>
        <w:t xml:space="preserve"> вычисляются расстояние до ближайшего обучающего события по признакам ранней фазы и расстояние до ближайшего обучающего окна; порог каждого – 99-й перцентиль расстояний на валидационной выборке, что даёт около 2 % ложных тревог на известных сценариях [11].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7" w:id="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Итоговое правило выбора</w:t>
      </w:r>
      <w:bookmarkEnd w:id="17"/>
    </w:p>
    <w:p>
      <w:pPr>
        <w:spacing w:after="0" w:before="0" w:line="360"/>
        <w:ind w:firstLine="709"/>
        <w:jc w:val="both"/>
      </w:pPr>
      <w:r>
        <w:t xml:space="preserve">По результатам проверок окно получает один из пяти исходов:</w:t>
      </w:r>
    </w:p>
    <w:p>
      <w:pPr>
        <w:spacing w:after="0" w:before="0" w:line="360"/>
        <w:ind w:firstLine="709"/>
        <w:jc w:val="both"/>
      </w:pPr>
      <w:r>
        <w:t xml:space="preserve">1) нет отклонения – «отклонений не обнаружено» (NO_ANOMALY);</w:t>
      </w:r>
    </w:p>
    <w:p>
      <w:pPr>
        <w:spacing w:after="0" w:before="0" w:line="360"/>
        <w:ind w:firstLine="709"/>
        <w:jc w:val="both"/>
      </w:pPr>
      <w:r>
        <w:t xml:space="preserve">2) событие новое – «ситуация не похожа ни на один известный сценарий» (NOVEL);</w:t>
      </w:r>
    </w:p>
    <w:p>
      <w:pPr>
        <w:spacing w:after="0" w:before="0" w:line="360"/>
        <w:ind w:firstLine="709"/>
        <w:jc w:val="both"/>
      </w:pPr>
      <w:r>
        <w:t xml:space="preserve">3) ни одна гипотеза не подтверждена – «не подтверждено» (UNCONFIRMED);</w:t>
      </w:r>
    </w:p>
    <w:p>
      <w:pPr>
        <w:spacing w:after="0" w:before="0" w:line="360"/>
        <w:ind w:firstLine="709"/>
        <w:jc w:val="both"/>
      </w:pPr>
      <w:r>
        <w:t xml:space="preserve">4) подтверждена одна гипотеза или лидер опережает вторую подтверждённую по доле подтверждений не менее чем на 0,1 – «вероятна ситуация X» (IDENTIFIED);</w:t>
      </w:r>
    </w:p>
    <w:p>
      <w:pPr>
        <w:spacing w:after="0" w:before="0" w:line="360"/>
        <w:ind w:firstLine="709"/>
        <w:jc w:val="both"/>
      </w:pPr>
      <w:r>
        <w:t xml:space="preserve">5) иначе – «неоднозначно» (AMBIGUOUS).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486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ind w:firstLine="0"/>
        <w:jc w:val="center"/>
      </w:pPr>
      <w:r>
        <w:t xml:space="preserve">Рисунок 2 – Диагностический конвейер и исходы диагностики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8" w:id="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Подбор аналогов</w:t>
      </w:r>
      <w:bookmarkEnd w:id="18"/>
    </w:p>
    <w:p>
      <w:pPr>
        <w:spacing w:after="0" w:before="0" w:line="360"/>
        <w:ind w:firstLine="709"/>
        <w:jc w:val="both"/>
      </w:pPr>
      <w:r>
        <w:t xml:space="preserve">Для каждого сценария NPPAD в конфигурации задан список типов исходного события базы ETHZ (например, для разрывов трубок парогенераторов – Steam Generator Tube Rupture) и текстовый запрос. Сначала выбираются события с совпавшим типом исходного события, затем результаты дополняются текстовым поиском BM25 [12] по описанию, системе и причине события. Аналог подаётся как справка «в аналогичных случаях наблюдалось…» без предписания действий.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9" w:id="1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Детерминированная проверка ответа</w:t>
      </w:r>
      <w:bookmarkEnd w:id="19"/>
    </w:p>
    <w:p>
      <w:pPr>
        <w:spacing w:after="0" w:before="0" w:line="360"/>
        <w:ind w:firstLine="709"/>
        <w:jc w:val="both"/>
      </w:pPr>
      <w:r>
        <w:t xml:space="preserve">Итоговый ответ оператору выпускается только после проверки правилами. Ответ разбивается на утверждения; каждое утверждение ссылается на свидетельства (окно и канал телеметрии, событие ETHZ, фрагмент базы знаний). Доверие к источнику назначает политика, а не агент, сформировавший ответ (таблица 7).</w:t>
      </w:r>
    </w:p>
    <w:p>
      <w:pPr>
        <w:keepNext/>
        <w:spacing w:after="0" w:before="120" w:line="360"/>
        <w:ind w:firstLine="0"/>
        <w:jc w:val="left"/>
      </w:pPr>
      <w:r>
        <w:t xml:space="preserve">Таблица 7 – Доверие к видам источников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Вид источника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Доверие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подтверждение человека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нормативный документ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0,95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телеметрия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вывод инструмента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фрагмент базы знаний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историческое событие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текст языковой модели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0,2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Сила утверждения равна минимальному доверию среди его источников, уверенность ответа – минимальной силе утверждений: ответ не может быть надёжнее своего самого слабого основания. Версионируемый пакет правил aes-core-1.1.0 содержит пять правил (таблица 8).</w:t>
      </w:r>
    </w:p>
    <w:p>
      <w:pPr>
        <w:keepNext/>
        <w:spacing w:after="0" w:before="120" w:line="360"/>
        <w:ind w:firstLine="0"/>
        <w:jc w:val="left"/>
      </w:pPr>
      <w:r>
        <w:t xml:space="preserve">Таблица 8 – Правила пакета aes-core-1.1.0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5"/>
        <w:gridCol w:w="2313"/>
        <w:gridCol w:w="4530"/>
      </w:tblGrid>
      <w:tr>
        <w:trPr>
          <w:cantSplit/>
          <w:tblHeader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Проверка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EVIDENCE_REQUIRED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 каждого утверждения есть хотя бы одна ссылка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NO_MODEL_ONLY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предупреждение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нет утверждений, опирающихся только на текст модели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REF_RESOLVABLE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каждая ссылка указывает на существующий артефакт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DIAGNOSIS_CONFIRMED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предупреждение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диагноз выпускается без оговорки только при исходах IDENTIFIED и NO_ANOMALY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NO_DIRECTIVES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ответ не содержит указаний к действию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Нарушение правила уровня «ошибка» блокирует ответ (BLOCK) – вместо него выдаётся безопасная заглушка. Нарушение предупреждения или уверенность ниже 0,5 означает выпуск с пометкой «требуется оценка оператора» (REQUIRE_HUMAN). Иначе ответ выпускается (ALLOW). Языковая модель в принятии решения не участвует; её роль ограничена необязательным пояснением, каждое предложение которого тоже проверяется правилами.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20" w:id="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Проверка модели данных и методов</w:t>
      </w:r>
      <w:bookmarkEnd w:id="20"/>
    </w:p>
    <w:p>
      <w:pPr>
        <w:pStyle w:val="Heading2"/>
        <w:keepNext/>
        <w:spacing w:after="120" w:before="240" w:line="360"/>
        <w:ind w:firstLine="709"/>
        <w:jc w:val="left"/>
      </w:pPr>
      <w:bookmarkStart w:name="_Toc21" w:id="2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Тестирование</w:t>
      </w:r>
      <w:bookmarkEnd w:id="21"/>
    </w:p>
    <w:p>
      <w:pPr>
        <w:spacing w:after="0" w:before="0" w:line="360"/>
        <w:ind w:firstLine="709"/>
        <w:jc w:val="both"/>
      </w:pPr>
      <w:r>
        <w:t xml:space="preserve">Все модули покрыты модульными и контрактными тестами, которые не требуют языковой модели и базы данных и используют синтетический набор в формате NPPAD. Регрессионные тесты базового ассистента 6-го семестра выполняются вместе с ними (таблица 9).</w:t>
      </w:r>
    </w:p>
    <w:p>
      <w:pPr>
        <w:keepNext/>
        <w:spacing w:after="0" w:before="120" w:line="360"/>
        <w:ind w:firstLine="0"/>
        <w:jc w:val="left"/>
      </w:pPr>
      <w:r>
        <w:t xml:space="preserve">Таблица 9 – Тесты, относящиеся к этапу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4337"/>
        <w:gridCol w:w="1446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Набор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проверяет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Тестов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test_contracts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инварианты типов, сериализация, отсутствие императивов в тексте гипотезы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test_knowledge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сущности и связи графа, запрет недопустимых связей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test_nppad_loader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приведение столбцов, раздельные метки, непересекающееся разбиение, нормализация по обучению, окна, детерминизм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test_barrier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барьер на синтетических и реальных данных, запрет label_proxy, отсутствие импорта меток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test_onset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признаки ранней фазы, причинность памяти о событии и детектора начала события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На момент контрольной точки весь набор (130 тестов) проходит, включая регрессию базового ассистента на локальных языковых моделях.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2" w:id="2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Критерии готовности этапа A</w:t>
      </w:r>
      <w:bookmarkEnd w:id="22"/>
    </w:p>
    <w:p>
      <w:pPr>
        <w:spacing w:after="0" w:before="0" w:line="360"/>
        <w:ind w:firstLine="709"/>
        <w:jc w:val="both"/>
      </w:pPr>
      <w:r>
        <w:t xml:space="preserve">Сведения приведены в таблице 10.</w:t>
      </w:r>
    </w:p>
    <w:p>
      <w:pPr>
        <w:keepNext/>
        <w:spacing w:after="0" w:before="120" w:line="360"/>
        <w:ind w:firstLine="0"/>
        <w:jc w:val="left"/>
      </w:pPr>
      <w:r>
        <w:t xml:space="preserve">Таблица 10 – Выполнение критериев готовности этапа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Критерий дорожной карты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NPPAD загружается одной командой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выполнено: load_nppad.py, около 15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Тест подтверждает, что вход генератора не содержит скрытых каналов и меток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выполнено: контрактные тесты барьера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Тесты базового ассистента проходят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выполнено: регрессионные тесты зелёные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  <w:jc w:val="left"/>
      </w:pPr>
      <w:bookmarkStart w:name="_Toc23" w:id="2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Предварительные результаты применения методов</w:t>
      </w:r>
      <w:bookmarkEnd w:id="23"/>
    </w:p>
    <w:p>
      <w:pPr>
        <w:spacing w:after="0" w:before="0" w:line="360"/>
        <w:ind w:firstLine="709"/>
        <w:jc w:val="both"/>
      </w:pPr>
      <w:r>
        <w:t xml:space="preserve">Методы, описанные в разделе 3, испытаны на тестовой выборке (13 984 окна, 222 прогона) (таблица 11).</w:t>
      </w:r>
    </w:p>
    <w:p>
      <w:pPr>
        <w:keepNext/>
        <w:spacing w:after="0" w:before="120" w:line="360"/>
        <w:ind w:firstLine="0"/>
        <w:jc w:val="left"/>
      </w:pPr>
      <w:r>
        <w:t xml:space="preserve">Таблица 11 – Предварительные результаты на тестовой выборке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верный сценарий первым у генератора / среди трёх гипотез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0,888 / 0,996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 калибровки уверенности до / после калибровки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0,048 / 0,028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верных гипотез подтверждено / неверных подтверждено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0,969 / 0,015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доля окон с исходом «вероятна ситуация X» / точность этого исхода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0,952 / 0,999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пробы вне обучаемого множества: ожидаемый исход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100 % окон, ни одного ложного диагноза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задержка диагностики одного окна (медиана)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26 мс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Повторный прогон и сборка из чистого окружения дают те же числа. Подробная методика и анализ результатов приводятся в отчёте по практике.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24" w:id="2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bookmarkEnd w:id="24"/>
    </w:p>
    <w:p>
      <w:pPr>
        <w:spacing w:after="0" w:before="0" w:line="360"/>
        <w:ind w:firstLine="709"/>
        <w:jc w:val="both"/>
      </w:pPr>
      <w:r>
        <w:t xml:space="preserve">На этапе A разработана модель данных диагностического контура: реестр 96 каналов с разметкой подсистем и величин, кодирующих неисправность; воспроизводимый конвейер подготовки NPPAD с разбиением по прогонам и нормализацией по обучающей выборке; окна наблюдений и причинная память о событии; типизированные контракты; семантическая модель в виде графа знаний с проверяемой схемой; трёхуровневый информационный барьер.</w:t>
      </w:r>
    </w:p>
    <w:p>
      <w:pPr>
        <w:spacing w:after="0" w:before="0" w:line="360"/>
        <w:ind w:firstLine="709"/>
        <w:jc w:val="both"/>
      </w:pPr>
      <w:r>
        <w:t xml:space="preserve">Описаны методы следующих этапов: генерация калиброванных гипотез по шести каналам критических функций безопасности, независимая контрастная проверка по 82 каналам с учётом ранней фазы события, проверки отклонения и новизны, правило выбора итогового исхода, подбор аналогов из базы ETHZ и детерминированная проверка ответа правилами.</w:t>
      </w:r>
    </w:p>
    <w:p>
      <w:pPr>
        <w:spacing w:after="0" w:before="0" w:line="360"/>
        <w:ind w:firstLine="709"/>
        <w:jc w:val="both"/>
      </w:pPr>
      <w:r>
        <w:t xml:space="preserve">Критерии готовности этапа A выполнены: данные загружаются одной командой, тесты барьера и регрессия базового ассистента проходят. Аудит данных выявил классы NPPAD без наблюдаемого события; это учтено в составе обучаемых классов и будет отражено в ограничениях работы.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25" w:id="2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  <w:bookmarkEnd w:id="25"/>
    </w:p>
    <w:p>
      <w:pPr>
        <w:spacing w:after="0" w:before="0" w:line="360"/>
        <w:ind w:firstLine="709"/>
        <w:jc w:val="both"/>
      </w:pPr>
      <w:r>
        <w:t xml:space="preserve">1) Шелманова Е. О. Разработка интерактивного ассистента для операторов АЭС : отчёт по учебной практике (6 семестр) / рук. А. О. Толоконский. – Москва : НИЯУ МИФИ, 2026.</w:t>
      </w:r>
    </w:p>
    <w:p>
      <w:pPr>
        <w:spacing w:after="0" w:before="0" w:line="360"/>
        <w:ind w:firstLine="709"/>
        <w:jc w:val="both"/>
      </w:pPr>
      <w:r>
        <w:t xml:space="preserve">2) Lewis P., Perez E., Piktus A. [et al.]. Retrieval-Augmented Generation for Knowledge-Intensive NLP Tasks // Advances in Neural Information Processing Systems. – 2020. – Vol. 33. – P. 9459–9474.</w:t>
      </w:r>
    </w:p>
    <w:p>
      <w:pPr>
        <w:spacing w:after="0" w:before="0" w:line="360"/>
        <w:ind w:firstLine="709"/>
        <w:jc w:val="both"/>
      </w:pPr>
      <w:r>
        <w:t xml:space="preserve">3) Upgrade to Guided Operations: эволюция системы поддержки оператора и анализ опасностей : рабочий документ проекта atomic. – 2026.</w:t>
      </w:r>
    </w:p>
    <w:p>
      <w:pPr>
        <w:spacing w:after="0" w:before="0" w:line="360"/>
        <w:ind w:firstLine="709"/>
        <w:jc w:val="both"/>
      </w:pPr>
      <w:r>
        <w:t xml:space="preserve">4) Qi B., Xiao X., Liang J. [et al.]. An open time-series simulated dataset covering various accidents for nuclear power plants // Scientific Data. – 2022. – Vol. 9. – Art. 766. – DOI 10.1038/s41597-022-01879-1.</w:t>
      </w:r>
    </w:p>
    <w:p>
      <w:pPr>
        <w:spacing w:after="0" w:before="0" w:line="360"/>
        <w:ind w:firstLine="709"/>
        <w:jc w:val="both"/>
      </w:pPr>
      <w:r>
        <w:t xml:space="preserve">5) Ayoub A., Stankovski A., Kröger W., Sornette D. The ETH Zurich curated nuclear events database: Layout, event classification, and analysis of contributing factors // Reliability Engineering and System Safety. – 2021. – Vol. 213. – Art. 107781. – DOI 10.1016/j.ress.2021.107781.</w:t>
      </w:r>
    </w:p>
    <w:p>
      <w:pPr>
        <w:spacing w:after="0" w:before="0" w:line="360"/>
        <w:ind w:firstLine="709"/>
        <w:jc w:val="both"/>
      </w:pPr>
      <w:r>
        <w:t xml:space="preserve">6) Corcoran W. R., Porter N. J., Church J. F. [et al.]. The critical safety functions and plant operation // Nuclear Technology. – 1981. – Vol. 55, № 3. – P. 690–712.</w:t>
      </w:r>
    </w:p>
    <w:p>
      <w:pPr>
        <w:spacing w:after="0" w:before="0" w:line="360"/>
        <w:ind w:firstLine="709"/>
        <w:jc w:val="both"/>
      </w:pPr>
      <w:r>
        <w:t xml:space="preserve">7) Friedman J. H. Greedy function approximation: a gradient boosting machine // The Annals of Statistics. – 2001. – Vol. 29, № 5. – P. 1189–1232.</w:t>
      </w:r>
    </w:p>
    <w:p>
      <w:pPr>
        <w:spacing w:after="0" w:before="0" w:line="360"/>
        <w:ind w:firstLine="709"/>
        <w:jc w:val="both"/>
      </w:pPr>
      <w:r>
        <w:t xml:space="preserve">8) Pedregosa F., Varoquaux G., Gramfort A. [et al.]. Scikit-learn: Machine Learning in Python // Journal of Machine Learning Research. – 2011. – Vol. 12. – P. 2825–2830.</w:t>
      </w:r>
    </w:p>
    <w:p>
      <w:pPr>
        <w:spacing w:after="0" w:before="0" w:line="360"/>
        <w:ind w:firstLine="709"/>
        <w:jc w:val="both"/>
      </w:pPr>
      <w:r>
        <w:t xml:space="preserve">9) Guo C., Pleiss G., Sun Y., Weinberger K. Q. On Calibration of Modern Neural Networks // Proceedings of the 34th International Conference on Machine Learning. – 2017. – P. 1321–1330.</w:t>
      </w:r>
    </w:p>
    <w:p>
      <w:pPr>
        <w:spacing w:after="0" w:before="0" w:line="360"/>
        <w:ind w:firstLine="709"/>
        <w:jc w:val="both"/>
      </w:pPr>
      <w:r>
        <w:t xml:space="preserve">10) Parasuraman R., Riley V. Humans and automation: use, misuse, disuse, abuse // Human Factors. – 1997. – Vol. 39, № 2. – P. 230–253.</w:t>
      </w:r>
    </w:p>
    <w:p>
      <w:pPr>
        <w:spacing w:after="0" w:before="0" w:line="360"/>
        <w:ind w:firstLine="709"/>
        <w:jc w:val="both"/>
      </w:pPr>
      <w:r>
        <w:t xml:space="preserve">11) Hendrycks D., Gimpel K. A Baseline for Detecting Misclassified and Out-of-Distribution Examples in Neural Networks // International Conference on Learning Representations (ICLR). – 2017.</w:t>
      </w:r>
    </w:p>
    <w:p>
      <w:pPr>
        <w:spacing w:after="0" w:before="0" w:line="360"/>
        <w:ind w:firstLine="709"/>
        <w:jc w:val="both"/>
      </w:pPr>
      <w:r>
        <w:t xml:space="preserve">12) Robertson S., Zaragoza H. The Probabilistic Relevance Framework: BM25 and Beyond // Foundations and Trends in Information Retrieval. – 2009. – Vol. 3, № 4. – P. 333–389.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  <w:lvl w:ilvl="1" w:tentative="1">
      <w:start w:val="1"/>
      <w:numFmt w:val="bullet"/>
      <w:lvlText w:val="•"/>
      <w:lvlJc w:val="left"/>
      <w:pPr>
        <w:ind w:left="1636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StructNoToc">
    <w:name w:val="Struct No TOC"/>
    <w:basedOn w:val="Normal"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1">
    <w:name w:val="toc 1"/>
    <w:basedOn w:val="Normal"/>
    <w:pPr>
      <w:spacing w:line="360"/>
    </w:pPr>
    <w:rPr>
      <w:rFonts w:ascii="Times New Roman" w:cs="Times New Roman" w:eastAsia="Times New Roman" w:hAnsi="Times New Roman"/>
      <w:sz w:val="28"/>
      <w:szCs w:val="28"/>
    </w:rPr>
  </w:style>
  <w:style w:type="paragraph" w:styleId="TOC2">
    <w:name w:val="toc 2"/>
    <w:basedOn w:val="Normal"/>
    <w:pPr>
      <w:spacing w:line="360"/>
      <w:ind w:left="425"/>
    </w:pPr>
    <w:rPr>
      <w:rFonts w:ascii="Times New Roman" w:cs="Times New Roman" w:eastAsia="Times New Roman" w:hAnsi="Times New Roman"/>
      <w:sz w:val="28"/>
      <w:szCs w:val="28"/>
    </w:rPr>
  </w:style>
  <w:style w:type="paragraph" w:styleId="TOC3">
    <w:name w:val="toc 3"/>
    <w:basedOn w:val="Normal"/>
    <w:pPr>
      <w:spacing w:line="360"/>
      <w:ind w:left="850"/>
    </w:pPr>
    <w:rPr>
      <w:rFonts w:ascii="Times New Roman" w:cs="Times New Roman" w:eastAsia="Times New Roman" w:hAnsi="Times New Roman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18a7ae5e1173157307f6a6e9c7702f8fd1ca8a39.png"/><Relationship Id="rId10" Type="http://schemas.openxmlformats.org/officeDocument/2006/relationships/image" Target="media/081afe9d774e992bd4d60c516e13f2ca77c38f6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модели данных и методов (контрольная точка этапа A)</dc:title>
  <dc:creator>Шелманова Е. О.</dc:creator>
  <cp:lastModifiedBy>Un-named</cp:lastModifiedBy>
  <cp:revision>1</cp:revision>
  <dcterms:created xsi:type="dcterms:W3CDTF">2026-10-24T22:35:59.310Z</dcterms:created>
  <dcterms:modified xsi:type="dcterms:W3CDTF">2026-10-24T22:35:59.313Z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