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hAnsi="宋体" w:cs="仿宋"/>
          <w:b/>
          <w:bCs/>
          <w:sz w:val="72"/>
          <w:szCs w:val="72"/>
        </w:rPr>
      </w:pPr>
      <w:r>
        <w:rPr>
          <w:rFonts w:hint="eastAsia" w:hAnsi="宋体" w:cs="仿宋"/>
          <w:b/>
          <w:bCs/>
          <w:sz w:val="72"/>
          <w:szCs w:val="72"/>
        </w:rPr>
        <w:t>采</w:t>
      </w:r>
      <w:r>
        <w:rPr>
          <w:rFonts w:hint="eastAsia" w:hAnsi="宋体" w:cs="仿宋"/>
          <w:b/>
          <w:bCs/>
          <w:sz w:val="72"/>
          <w:szCs w:val="72"/>
          <w:lang w:val="en-US" w:eastAsia="zh-CN"/>
        </w:rPr>
        <w:t xml:space="preserve"> </w:t>
      </w:r>
      <w:r>
        <w:rPr>
          <w:rFonts w:hint="eastAsia" w:hAnsi="宋体" w:cs="仿宋"/>
          <w:b/>
          <w:bCs/>
          <w:sz w:val="72"/>
          <w:szCs w:val="72"/>
        </w:rPr>
        <w:t>购</w:t>
      </w:r>
      <w:r>
        <w:rPr>
          <w:rFonts w:hint="eastAsia" w:hAnsi="宋体" w:cs="仿宋"/>
          <w:b/>
          <w:bCs/>
          <w:sz w:val="72"/>
          <w:szCs w:val="72"/>
          <w:lang w:val="en-US" w:eastAsia="zh-CN"/>
        </w:rPr>
        <w:t xml:space="preserve"> </w:t>
      </w:r>
      <w:r>
        <w:rPr>
          <w:rFonts w:hint="eastAsia" w:hAnsi="宋体" w:cs="仿宋"/>
          <w:b/>
          <w:bCs/>
          <w:sz w:val="72"/>
          <w:szCs w:val="72"/>
        </w:rPr>
        <w:t>合</w:t>
      </w:r>
      <w:r>
        <w:rPr>
          <w:rFonts w:hint="eastAsia" w:hAnsi="宋体" w:cs="仿宋"/>
          <w:b/>
          <w:bCs/>
          <w:sz w:val="72"/>
          <w:szCs w:val="72"/>
          <w:lang w:val="en-US" w:eastAsia="zh-CN"/>
        </w:rPr>
        <w:t xml:space="preserve"> </w:t>
      </w:r>
      <w:r>
        <w:rPr>
          <w:rFonts w:hint="eastAsia" w:hAnsi="宋体" w:cs="仿宋"/>
          <w:b/>
          <w:bCs/>
          <w:sz w:val="72"/>
          <w:szCs w:val="72"/>
        </w:rPr>
        <w:t>同</w:t>
      </w:r>
    </w:p>
    <w:p>
      <w:pPr>
        <w:pStyle w:val="6"/>
        <w:spacing w:line="360" w:lineRule="auto"/>
        <w:jc w:val="center"/>
        <w:rPr>
          <w:rFonts w:hAnsi="宋体" w:cs="仿宋"/>
          <w:b/>
          <w:bCs/>
          <w:szCs w:val="21"/>
        </w:rPr>
      </w:pPr>
      <w:r>
        <w:rPr>
          <w:rFonts w:hint="eastAsia" w:hAnsi="宋体" w:cs="仿宋"/>
          <w:szCs w:val="21"/>
        </w:rPr>
        <w:t xml:space="preserve">                                         </w:t>
      </w:r>
      <w:r>
        <w:rPr>
          <w:rFonts w:hAnsi="宋体" w:cs="仿宋"/>
          <w:szCs w:val="21"/>
        </w:rPr>
        <w:t xml:space="preserve"> </w:t>
      </w:r>
      <w:r>
        <w:rPr>
          <w:rFonts w:hint="eastAsia" w:hAnsi="宋体" w:cs="仿宋"/>
          <w:szCs w:val="21"/>
        </w:rPr>
        <w:t>合同编号：</w:t>
      </w:r>
    </w:p>
    <w:p>
      <w:pPr>
        <w:spacing w:line="360" w:lineRule="auto"/>
        <w:rPr>
          <w:rFonts w:hint="eastAsia" w:ascii="宋体" w:hAnsi="宋体" w:cs="宋体"/>
          <w:b/>
          <w:bCs/>
          <w:sz w:val="28"/>
          <w:szCs w:val="36"/>
        </w:rPr>
      </w:pPr>
    </w:p>
    <w:p>
      <w:pPr>
        <w:spacing w:line="360" w:lineRule="auto"/>
        <w:rPr>
          <w:rFonts w:ascii="宋体" w:hAnsi="宋体" w:cs="宋体"/>
          <w:b/>
          <w:bCs/>
          <w:sz w:val="28"/>
          <w:szCs w:val="36"/>
        </w:rPr>
      </w:pPr>
      <w:r>
        <w:rPr>
          <w:rFonts w:hint="eastAsia" w:ascii="宋体" w:hAnsi="宋体" w:cs="宋体"/>
          <w:b/>
          <w:bCs/>
          <w:sz w:val="28"/>
          <w:szCs w:val="36"/>
        </w:rPr>
        <w:t xml:space="preserve">甲方（采购方）：                                </w:t>
      </w:r>
    </w:p>
    <w:p>
      <w:pPr>
        <w:spacing w:line="360" w:lineRule="auto"/>
        <w:rPr>
          <w:rFonts w:ascii="宋体" w:hAnsi="宋体" w:cs="宋体"/>
        </w:rPr>
      </w:pPr>
      <w:r>
        <w:rPr>
          <w:rFonts w:hint="eastAsia" w:ascii="宋体" w:hAnsi="宋体" w:cs="宋体"/>
          <w:b/>
          <w:bCs/>
          <w:sz w:val="28"/>
          <w:szCs w:val="36"/>
        </w:rPr>
        <w:t xml:space="preserve">乙方（供应方）： 深圳市圆周率智能信息科技有限公司     </w:t>
      </w:r>
      <w:r>
        <w:rPr>
          <w:rFonts w:hint="eastAsia" w:ascii="宋体" w:hAnsi="宋体" w:cs="宋体"/>
        </w:rPr>
        <w:t xml:space="preserve">                  </w:t>
      </w:r>
    </w:p>
    <w:p>
      <w:pPr>
        <w:spacing w:line="360" w:lineRule="auto"/>
        <w:rPr>
          <w:rFonts w:ascii="宋体" w:hAnsi="宋体" w:cs="宋体"/>
        </w:rPr>
      </w:pPr>
      <w:r>
        <w:rPr>
          <w:rFonts w:hint="eastAsia" w:ascii="宋体" w:hAnsi="宋体" w:cs="宋体"/>
        </w:rPr>
        <w:t xml:space="preserve">    根据《中华人民共和国民法典》等相关法律法规的要求，经双方协商，本着平等互利和诚实信用的原则，一致同意签订本合同。</w:t>
      </w:r>
    </w:p>
    <w:p>
      <w:pPr>
        <w:numPr>
          <w:ilvl w:val="0"/>
          <w:numId w:val="1"/>
        </w:numPr>
        <w:spacing w:line="360" w:lineRule="auto"/>
        <w:rPr>
          <w:rFonts w:ascii="宋体" w:hAnsi="宋体" w:cs="宋体"/>
          <w:b/>
        </w:rPr>
      </w:pPr>
      <w:r>
        <w:rPr>
          <w:rFonts w:hint="eastAsia" w:ascii="宋体" w:hAnsi="宋体" w:cs="宋体"/>
          <w:b/>
        </w:rPr>
        <w:t xml:space="preserve">产品内容 </w:t>
      </w:r>
    </w:p>
    <w:tbl>
      <w:tblPr>
        <w:tblStyle w:val="11"/>
        <w:tblW w:w="5640" w:type="pct"/>
        <w:tblInd w:w="0" w:type="dxa"/>
        <w:tblLayout w:type="autofit"/>
        <w:tblCellMar>
          <w:top w:w="0" w:type="dxa"/>
          <w:left w:w="108" w:type="dxa"/>
          <w:bottom w:w="0" w:type="dxa"/>
          <w:right w:w="108" w:type="dxa"/>
        </w:tblCellMar>
      </w:tblPr>
      <w:tblGrid>
        <w:gridCol w:w="682"/>
        <w:gridCol w:w="2217"/>
        <w:gridCol w:w="1163"/>
        <w:gridCol w:w="729"/>
        <w:gridCol w:w="1021"/>
        <w:gridCol w:w="875"/>
        <w:gridCol w:w="1171"/>
        <w:gridCol w:w="1755"/>
      </w:tblGrid>
      <w:tr>
        <w:tblPrEx>
          <w:tblCellMar>
            <w:top w:w="0" w:type="dxa"/>
            <w:left w:w="108" w:type="dxa"/>
            <w:bottom w:w="0" w:type="dxa"/>
            <w:right w:w="108" w:type="dxa"/>
          </w:tblCellMar>
        </w:tblPrEx>
        <w:trPr>
          <w:trHeight w:val="280" w:hRule="atLeast"/>
        </w:trPr>
        <w:tc>
          <w:tcPr>
            <w:tcW w:w="355" w:type="pct"/>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1153" w:type="pct"/>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商品名称</w:t>
            </w:r>
          </w:p>
        </w:tc>
        <w:tc>
          <w:tcPr>
            <w:tcW w:w="605" w:type="pct"/>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规格型号</w:t>
            </w:r>
          </w:p>
        </w:tc>
        <w:tc>
          <w:tcPr>
            <w:tcW w:w="379" w:type="pct"/>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产地</w:t>
            </w:r>
          </w:p>
        </w:tc>
        <w:tc>
          <w:tcPr>
            <w:tcW w:w="531" w:type="pct"/>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数量</w:t>
            </w:r>
          </w:p>
        </w:tc>
        <w:tc>
          <w:tcPr>
            <w:tcW w:w="455" w:type="pct"/>
            <w:tcBorders>
              <w:top w:val="single" w:color="auto" w:sz="8" w:space="0"/>
              <w:left w:val="nil"/>
              <w:bottom w:val="nil"/>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单价</w:t>
            </w:r>
          </w:p>
        </w:tc>
        <w:tc>
          <w:tcPr>
            <w:tcW w:w="609" w:type="pct"/>
            <w:tcBorders>
              <w:top w:val="single" w:color="auto" w:sz="8" w:space="0"/>
              <w:left w:val="nil"/>
              <w:bottom w:val="nil"/>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金额</w:t>
            </w:r>
          </w:p>
        </w:tc>
        <w:tc>
          <w:tcPr>
            <w:tcW w:w="910" w:type="pct"/>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290" w:hRule="atLeast"/>
        </w:trPr>
        <w:tc>
          <w:tcPr>
            <w:tcW w:w="355" w:type="pct"/>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cs="宋体"/>
                <w:b/>
                <w:bCs/>
                <w:color w:val="000000"/>
                <w:kern w:val="0"/>
                <w:szCs w:val="21"/>
              </w:rPr>
            </w:pPr>
          </w:p>
        </w:tc>
        <w:tc>
          <w:tcPr>
            <w:tcW w:w="1153" w:type="pct"/>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cs="宋体"/>
                <w:b/>
                <w:bCs/>
                <w:color w:val="000000"/>
                <w:kern w:val="0"/>
                <w:szCs w:val="21"/>
              </w:rPr>
            </w:pPr>
          </w:p>
        </w:tc>
        <w:tc>
          <w:tcPr>
            <w:tcW w:w="605" w:type="pct"/>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cs="宋体"/>
                <w:b/>
                <w:bCs/>
                <w:color w:val="000000"/>
                <w:kern w:val="0"/>
                <w:szCs w:val="21"/>
              </w:rPr>
            </w:pPr>
          </w:p>
        </w:tc>
        <w:tc>
          <w:tcPr>
            <w:tcW w:w="379" w:type="pct"/>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cs="宋体"/>
                <w:b/>
                <w:bCs/>
                <w:color w:val="000000"/>
                <w:kern w:val="0"/>
                <w:szCs w:val="21"/>
              </w:rPr>
            </w:pPr>
          </w:p>
        </w:tc>
        <w:tc>
          <w:tcPr>
            <w:tcW w:w="531" w:type="pct"/>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cs="宋体"/>
                <w:b/>
                <w:bCs/>
                <w:color w:val="000000"/>
                <w:kern w:val="0"/>
                <w:szCs w:val="21"/>
              </w:rPr>
            </w:pPr>
          </w:p>
        </w:tc>
        <w:tc>
          <w:tcPr>
            <w:tcW w:w="455" w:type="pct"/>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（元）</w:t>
            </w:r>
          </w:p>
        </w:tc>
        <w:tc>
          <w:tcPr>
            <w:tcW w:w="609" w:type="pct"/>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（元）</w:t>
            </w:r>
          </w:p>
        </w:tc>
        <w:tc>
          <w:tcPr>
            <w:tcW w:w="910" w:type="pct"/>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cs="宋体"/>
                <w:b/>
                <w:bCs/>
                <w:color w:val="000000"/>
                <w:kern w:val="0"/>
                <w:szCs w:val="21"/>
              </w:rPr>
            </w:pPr>
          </w:p>
        </w:tc>
      </w:tr>
      <w:tr>
        <w:tblPrEx>
          <w:tblCellMar>
            <w:top w:w="0" w:type="dxa"/>
            <w:left w:w="108" w:type="dxa"/>
            <w:bottom w:w="0" w:type="dxa"/>
            <w:right w:w="108" w:type="dxa"/>
          </w:tblCellMar>
        </w:tblPrEx>
        <w:trPr>
          <w:trHeight w:val="1080" w:hRule="atLeast"/>
        </w:trPr>
        <w:tc>
          <w:tcPr>
            <w:tcW w:w="355"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153"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数据对接服务</w:t>
            </w:r>
          </w:p>
        </w:tc>
        <w:tc>
          <w:tcPr>
            <w:tcW w:w="605"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定制</w:t>
            </w:r>
          </w:p>
        </w:tc>
        <w:tc>
          <w:tcPr>
            <w:tcW w:w="379"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中国</w:t>
            </w:r>
          </w:p>
        </w:tc>
        <w:tc>
          <w:tcPr>
            <w:tcW w:w="531"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c>
          <w:tcPr>
            <w:tcW w:w="455"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20000</w:t>
            </w:r>
          </w:p>
        </w:tc>
        <w:tc>
          <w:tcPr>
            <w:tcW w:w="609"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20000</w:t>
            </w:r>
          </w:p>
        </w:tc>
        <w:tc>
          <w:tcPr>
            <w:tcW w:w="910" w:type="pct"/>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hint="eastAsia"/>
                <w:lang w:val="en-US" w:eastAsia="zh-CN"/>
              </w:rPr>
            </w:pPr>
            <w:r>
              <w:rPr>
                <w:rFonts w:hint="eastAsia"/>
                <w:lang w:val="en-US" w:eastAsia="zh-CN"/>
              </w:rPr>
              <w:t>根据客户需求定制云端数据对接接口，提供2只样品用于数据对接测试，</w:t>
            </w:r>
          </w:p>
          <w:p>
            <w:pPr>
              <w:pStyle w:val="2"/>
              <w:ind w:left="0" w:leftChars="0" w:firstLine="0" w:firstLineChars="0"/>
              <w:rPr>
                <w:rFonts w:hint="default"/>
                <w:lang w:val="en-US" w:eastAsia="zh-CN"/>
              </w:rPr>
            </w:pPr>
            <w:r>
              <w:rPr>
                <w:rFonts w:hint="eastAsia"/>
                <w:lang w:val="en-US" w:eastAsia="zh-CN"/>
              </w:rPr>
              <w:t>开6%增值税专票</w:t>
            </w:r>
          </w:p>
        </w:tc>
      </w:tr>
      <w:tr>
        <w:tblPrEx>
          <w:tblCellMar>
            <w:top w:w="0" w:type="dxa"/>
            <w:left w:w="108" w:type="dxa"/>
            <w:bottom w:w="0" w:type="dxa"/>
            <w:right w:w="108" w:type="dxa"/>
          </w:tblCellMar>
        </w:tblPrEx>
        <w:trPr>
          <w:trHeight w:val="312" w:hRule="atLeast"/>
        </w:trPr>
        <w:tc>
          <w:tcPr>
            <w:tcW w:w="355"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1153"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605"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379"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531"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455" w:type="pct"/>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Cs w:val="21"/>
              </w:rPr>
            </w:pPr>
          </w:p>
        </w:tc>
        <w:tc>
          <w:tcPr>
            <w:tcW w:w="609" w:type="pct"/>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Cs w:val="21"/>
              </w:rPr>
            </w:pPr>
          </w:p>
        </w:tc>
        <w:tc>
          <w:tcPr>
            <w:tcW w:w="910"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312" w:hRule="atLeast"/>
        </w:trPr>
        <w:tc>
          <w:tcPr>
            <w:tcW w:w="355"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1153"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605"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379"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531"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c>
          <w:tcPr>
            <w:tcW w:w="455" w:type="pct"/>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Cs w:val="21"/>
              </w:rPr>
            </w:pPr>
          </w:p>
        </w:tc>
        <w:tc>
          <w:tcPr>
            <w:tcW w:w="609" w:type="pct"/>
            <w:vMerge w:val="continue"/>
            <w:tcBorders>
              <w:top w:val="nil"/>
              <w:left w:val="single" w:color="auto" w:sz="8" w:space="0"/>
              <w:bottom w:val="single" w:color="000000" w:sz="8" w:space="0"/>
              <w:right w:val="single" w:color="auto" w:sz="8" w:space="0"/>
            </w:tcBorders>
            <w:vAlign w:val="center"/>
          </w:tcPr>
          <w:p>
            <w:pPr>
              <w:widowControl/>
              <w:jc w:val="center"/>
              <w:rPr>
                <w:rFonts w:ascii="宋体" w:hAnsi="宋体" w:cs="宋体"/>
                <w:color w:val="000000"/>
                <w:kern w:val="0"/>
                <w:szCs w:val="21"/>
              </w:rPr>
            </w:pPr>
          </w:p>
        </w:tc>
        <w:tc>
          <w:tcPr>
            <w:tcW w:w="910" w:type="pct"/>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522" w:hRule="atLeast"/>
        </w:trPr>
        <w:tc>
          <w:tcPr>
            <w:tcW w:w="355" w:type="pct"/>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c>
          <w:tcPr>
            <w:tcW w:w="1153" w:type="pct"/>
            <w:tcBorders>
              <w:top w:val="nil"/>
              <w:left w:val="nil"/>
              <w:bottom w:val="single" w:color="auto" w:sz="8" w:space="0"/>
              <w:right w:val="single" w:color="auto" w:sz="8" w:space="0"/>
            </w:tcBorders>
            <w:shd w:val="clear" w:color="auto" w:fill="auto"/>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如骏翻羽运动手表（CAT1版）</w:t>
            </w:r>
          </w:p>
        </w:tc>
        <w:tc>
          <w:tcPr>
            <w:tcW w:w="605" w:type="pct"/>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lang w:val="en-US" w:eastAsia="zh-CN"/>
              </w:rPr>
              <w:t>REALI6 EX(CAT1)</w:t>
            </w:r>
          </w:p>
        </w:tc>
        <w:tc>
          <w:tcPr>
            <w:tcW w:w="379" w:type="pct"/>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中国</w:t>
            </w:r>
          </w:p>
        </w:tc>
        <w:tc>
          <w:tcPr>
            <w:tcW w:w="531" w:type="pct"/>
            <w:tcBorders>
              <w:top w:val="nil"/>
              <w:left w:val="nil"/>
              <w:bottom w:val="single" w:color="auto" w:sz="8" w:space="0"/>
              <w:right w:val="single" w:color="auto" w:sz="8" w:space="0"/>
            </w:tcBorders>
            <w:shd w:val="clear" w:color="auto" w:fill="auto"/>
            <w:vAlign w:val="center"/>
          </w:tcPr>
          <w:p>
            <w:pPr>
              <w:widowControl/>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1</w:t>
            </w:r>
            <w:r>
              <w:rPr>
                <w:rFonts w:hint="eastAsia" w:ascii="宋体" w:hAnsi="宋体" w:cs="宋体"/>
                <w:color w:val="000000"/>
                <w:kern w:val="0"/>
                <w:szCs w:val="21"/>
                <w:lang w:val="en-US" w:eastAsia="zh-CN"/>
              </w:rPr>
              <w:t>0</w:t>
            </w:r>
          </w:p>
        </w:tc>
        <w:tc>
          <w:tcPr>
            <w:tcW w:w="455" w:type="pct"/>
            <w:tcBorders>
              <w:top w:val="nil"/>
              <w:left w:val="nil"/>
              <w:bottom w:val="single" w:color="auto" w:sz="8" w:space="0"/>
              <w:right w:val="single" w:color="auto" w:sz="8" w:space="0"/>
            </w:tcBorders>
            <w:shd w:val="clear" w:color="auto" w:fill="auto"/>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1250</w:t>
            </w:r>
          </w:p>
        </w:tc>
        <w:tc>
          <w:tcPr>
            <w:tcW w:w="609" w:type="pct"/>
            <w:tcBorders>
              <w:top w:val="nil"/>
              <w:left w:val="nil"/>
              <w:bottom w:val="single" w:color="auto" w:sz="8" w:space="0"/>
              <w:right w:val="single" w:color="auto" w:sz="8" w:space="0"/>
            </w:tcBorders>
            <w:shd w:val="clear" w:color="auto" w:fill="auto"/>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12500</w:t>
            </w:r>
          </w:p>
        </w:tc>
        <w:tc>
          <w:tcPr>
            <w:tcW w:w="910" w:type="pct"/>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Cs w:val="21"/>
              </w:rPr>
            </w:pPr>
            <w:r>
              <w:rPr>
                <w:rFonts w:hint="eastAsia"/>
                <w:lang w:val="en-US" w:eastAsia="zh-CN"/>
              </w:rPr>
              <w:t>开13%增值税专票</w:t>
            </w:r>
          </w:p>
        </w:tc>
      </w:tr>
      <w:tr>
        <w:tblPrEx>
          <w:tblCellMar>
            <w:top w:w="0" w:type="dxa"/>
            <w:left w:w="108" w:type="dxa"/>
            <w:bottom w:w="0" w:type="dxa"/>
            <w:right w:w="108" w:type="dxa"/>
          </w:tblCellMar>
        </w:tblPrEx>
        <w:trPr>
          <w:trHeight w:val="700" w:hRule="atLeast"/>
        </w:trPr>
        <w:tc>
          <w:tcPr>
            <w:tcW w:w="5000" w:type="pct"/>
            <w:gridSpan w:val="8"/>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kern w:val="0"/>
                <w:szCs w:val="21"/>
              </w:rPr>
            </w:pPr>
            <w:r>
              <w:rPr>
                <w:rFonts w:hint="eastAsia" w:ascii="宋体" w:hAnsi="宋体" w:cs="宋体"/>
                <w:kern w:val="0"/>
                <w:szCs w:val="21"/>
                <w:highlight w:val="yellow"/>
              </w:rPr>
              <w:t>合计总金额：小写：</w:t>
            </w:r>
            <w:r>
              <w:rPr>
                <w:rFonts w:hint="eastAsia" w:ascii="宋体" w:hAnsi="宋体" w:cs="宋体"/>
                <w:kern w:val="0"/>
                <w:szCs w:val="21"/>
                <w:highlight w:val="yellow"/>
                <w:u w:val="single"/>
                <w:lang w:val="en-US" w:eastAsia="zh-CN"/>
              </w:rPr>
              <w:t>32</w:t>
            </w:r>
            <w:r>
              <w:rPr>
                <w:rFonts w:hint="eastAsia" w:ascii="宋体" w:hAnsi="宋体" w:cs="宋体"/>
                <w:kern w:val="0"/>
                <w:szCs w:val="21"/>
                <w:highlight w:val="yellow"/>
                <w:u w:val="single"/>
              </w:rPr>
              <w:t>,</w:t>
            </w:r>
            <w:r>
              <w:rPr>
                <w:rFonts w:hint="eastAsia" w:ascii="宋体" w:hAnsi="宋体" w:cs="宋体"/>
                <w:kern w:val="0"/>
                <w:szCs w:val="21"/>
                <w:highlight w:val="yellow"/>
                <w:u w:val="single"/>
                <w:lang w:val="en-US" w:eastAsia="zh-CN"/>
              </w:rPr>
              <w:t>5</w:t>
            </w:r>
            <w:r>
              <w:rPr>
                <w:rFonts w:hint="eastAsia" w:ascii="宋体" w:hAnsi="宋体" w:cs="宋体"/>
                <w:kern w:val="0"/>
                <w:szCs w:val="21"/>
                <w:highlight w:val="yellow"/>
                <w:u w:val="single"/>
              </w:rPr>
              <w:t>00</w:t>
            </w:r>
            <w:r>
              <w:rPr>
                <w:rFonts w:hint="eastAsia" w:ascii="宋体" w:hAnsi="宋体" w:cs="宋体"/>
                <w:kern w:val="0"/>
                <w:szCs w:val="21"/>
                <w:highlight w:val="yellow"/>
                <w:u w:val="single"/>
                <w:lang w:val="en-US" w:eastAsia="zh-CN"/>
              </w:rPr>
              <w:t>元</w:t>
            </w:r>
            <w:r>
              <w:rPr>
                <w:rFonts w:hint="eastAsia" w:ascii="宋体" w:hAnsi="宋体" w:cs="宋体"/>
                <w:kern w:val="0"/>
                <w:szCs w:val="21"/>
                <w:highlight w:val="yellow"/>
                <w:u w:val="single"/>
              </w:rPr>
              <w:t xml:space="preserve"> </w:t>
            </w:r>
            <w:r>
              <w:rPr>
                <w:rFonts w:hint="eastAsia" w:ascii="宋体" w:hAnsi="宋体" w:cs="宋体"/>
                <w:kern w:val="0"/>
                <w:szCs w:val="21"/>
                <w:highlight w:val="yellow"/>
              </w:rPr>
              <w:t>； 大写：人民币</w:t>
            </w:r>
            <w:r>
              <w:rPr>
                <w:rFonts w:hint="eastAsia" w:ascii="宋体" w:hAnsi="宋体" w:cs="宋体"/>
                <w:kern w:val="0"/>
                <w:szCs w:val="21"/>
                <w:highlight w:val="yellow"/>
                <w:u w:val="single"/>
              </w:rPr>
              <w:t xml:space="preserve"> </w:t>
            </w:r>
            <w:r>
              <w:rPr>
                <w:rFonts w:hint="eastAsia" w:ascii="宋体" w:hAnsi="宋体" w:cs="宋体"/>
                <w:kern w:val="0"/>
                <w:szCs w:val="21"/>
                <w:highlight w:val="yellow"/>
                <w:u w:val="single"/>
                <w:lang w:val="en-US" w:eastAsia="zh-CN"/>
              </w:rPr>
              <w:t>叁萬贰仟伍佰元</w:t>
            </w:r>
            <w:r>
              <w:rPr>
                <w:rFonts w:hint="eastAsia" w:ascii="宋体" w:hAnsi="宋体" w:cs="宋体"/>
                <w:kern w:val="0"/>
                <w:szCs w:val="21"/>
                <w:highlight w:val="yellow"/>
                <w:u w:val="single"/>
              </w:rPr>
              <w:t>整；</w:t>
            </w:r>
            <w:r>
              <w:rPr>
                <w:rFonts w:hint="eastAsia" w:ascii="宋体" w:hAnsi="宋体" w:cs="宋体"/>
                <w:kern w:val="0"/>
                <w:szCs w:val="21"/>
                <w:highlight w:val="yellow"/>
              </w:rPr>
              <w:t>以上报价</w:t>
            </w:r>
            <w:r>
              <w:rPr>
                <w:rFonts w:hint="eastAsia" w:ascii="宋体" w:hAnsi="宋体" w:cs="宋体"/>
                <w:kern w:val="0"/>
                <w:szCs w:val="21"/>
                <w:highlight w:val="yellow"/>
                <w:lang w:val="en-US" w:eastAsia="zh-CN"/>
              </w:rPr>
              <w:t>含</w:t>
            </w:r>
            <w:r>
              <w:rPr>
                <w:rFonts w:hint="eastAsia" w:ascii="宋体" w:hAnsi="宋体" w:cs="宋体"/>
                <w:kern w:val="0"/>
                <w:szCs w:val="21"/>
                <w:highlight w:val="yellow"/>
              </w:rPr>
              <w:t>税率开值税专用发票。</w:t>
            </w:r>
          </w:p>
        </w:tc>
      </w:tr>
    </w:tbl>
    <w:p>
      <w:pPr>
        <w:spacing w:line="360" w:lineRule="auto"/>
        <w:rPr>
          <w:rFonts w:ascii="宋体" w:hAnsi="宋体" w:cs="宋体"/>
          <w:b/>
        </w:rPr>
      </w:pPr>
      <w:r>
        <w:rPr>
          <w:rFonts w:hint="eastAsia" w:ascii="宋体" w:hAnsi="宋体" w:cs="宋体"/>
          <w:b/>
        </w:rPr>
        <w:t>注：产品名称内容必须与技术</w:t>
      </w:r>
      <w:r>
        <w:rPr>
          <w:rFonts w:ascii="宋体" w:hAnsi="宋体" w:cs="宋体"/>
          <w:b/>
        </w:rPr>
        <w:t>文件</w:t>
      </w:r>
      <w:r>
        <w:rPr>
          <w:rFonts w:hint="eastAsia" w:ascii="宋体" w:hAnsi="宋体" w:cs="宋体"/>
          <w:b/>
        </w:rPr>
        <w:t>中产品名称内容一致。</w:t>
      </w:r>
    </w:p>
    <w:p>
      <w:pPr>
        <w:spacing w:line="360" w:lineRule="auto"/>
        <w:ind w:firstLine="422" w:firstLineChars="200"/>
        <w:rPr>
          <w:rFonts w:ascii="宋体" w:hAnsi="宋体" w:cs="宋体"/>
          <w:b/>
        </w:rPr>
      </w:pPr>
      <w:r>
        <w:rPr>
          <w:rFonts w:hint="eastAsia" w:ascii="宋体" w:hAnsi="宋体" w:cs="宋体"/>
          <w:b/>
        </w:rPr>
        <w:t>二、 合同金额</w:t>
      </w:r>
    </w:p>
    <w:p>
      <w:pPr>
        <w:spacing w:line="360" w:lineRule="auto"/>
        <w:ind w:firstLine="420" w:firstLineChars="200"/>
      </w:pPr>
      <w:r>
        <w:rPr>
          <w:rFonts w:hint="eastAsia" w:ascii="宋体" w:hAnsi="宋体" w:cs="宋体"/>
          <w:highlight w:val="yellow"/>
        </w:rPr>
        <w:t>合同总金额：￥</w:t>
      </w:r>
      <w:r>
        <w:rPr>
          <w:rFonts w:hint="eastAsia" w:ascii="宋体" w:hAnsi="宋体" w:cs="宋体"/>
          <w:kern w:val="0"/>
          <w:szCs w:val="21"/>
          <w:highlight w:val="yellow"/>
          <w:u w:val="single"/>
          <w:lang w:val="en-US" w:eastAsia="zh-CN"/>
        </w:rPr>
        <w:t>32</w:t>
      </w:r>
      <w:r>
        <w:rPr>
          <w:rFonts w:hint="eastAsia" w:ascii="宋体" w:hAnsi="宋体" w:cs="宋体"/>
          <w:kern w:val="0"/>
          <w:szCs w:val="21"/>
          <w:highlight w:val="yellow"/>
          <w:u w:val="single"/>
        </w:rPr>
        <w:t>,</w:t>
      </w:r>
      <w:r>
        <w:rPr>
          <w:rFonts w:hint="eastAsia" w:ascii="宋体" w:hAnsi="宋体" w:cs="宋体"/>
          <w:kern w:val="0"/>
          <w:szCs w:val="21"/>
          <w:highlight w:val="yellow"/>
          <w:u w:val="single"/>
          <w:lang w:val="en-US" w:eastAsia="zh-CN"/>
        </w:rPr>
        <w:t>5</w:t>
      </w:r>
      <w:r>
        <w:rPr>
          <w:rFonts w:hint="eastAsia" w:ascii="宋体" w:hAnsi="宋体" w:cs="宋体"/>
          <w:kern w:val="0"/>
          <w:szCs w:val="21"/>
          <w:highlight w:val="yellow"/>
          <w:u w:val="single"/>
        </w:rPr>
        <w:t>00</w:t>
      </w:r>
      <w:r>
        <w:rPr>
          <w:rFonts w:hint="eastAsia" w:ascii="宋体" w:hAnsi="宋体" w:cs="宋体"/>
          <w:highlight w:val="yellow"/>
        </w:rPr>
        <w:t>； 大写：人民币</w:t>
      </w:r>
      <w:r>
        <w:rPr>
          <w:rFonts w:hint="eastAsia" w:ascii="宋体" w:hAnsi="宋体" w:cs="宋体"/>
          <w:highlight w:val="yellow"/>
          <w:lang w:val="en-US" w:eastAsia="zh-CN"/>
        </w:rPr>
        <w:t xml:space="preserve"> </w:t>
      </w:r>
      <w:r>
        <w:rPr>
          <w:rFonts w:hint="eastAsia" w:ascii="宋体" w:hAnsi="宋体" w:cs="宋体"/>
          <w:kern w:val="0"/>
          <w:szCs w:val="21"/>
          <w:highlight w:val="yellow"/>
          <w:u w:val="single"/>
          <w:lang w:val="en-US" w:eastAsia="zh-CN"/>
        </w:rPr>
        <w:t>叁萬贰仟伍佰元</w:t>
      </w:r>
      <w:r>
        <w:rPr>
          <w:rFonts w:hint="eastAsia" w:ascii="宋体" w:hAnsi="宋体" w:cs="宋体"/>
          <w:kern w:val="0"/>
          <w:szCs w:val="21"/>
          <w:highlight w:val="yellow"/>
          <w:u w:val="single"/>
        </w:rPr>
        <w:t>整</w:t>
      </w:r>
      <w:r>
        <w:rPr>
          <w:rFonts w:hint="eastAsia" w:ascii="宋体" w:hAnsi="宋体" w:cs="宋体"/>
          <w:kern w:val="0"/>
          <w:szCs w:val="21"/>
          <w:highlight w:val="yellow"/>
          <w:u w:val="single"/>
          <w:lang w:val="en-US" w:eastAsia="zh-CN"/>
        </w:rPr>
        <w:t xml:space="preserve"> </w:t>
      </w:r>
      <w:r>
        <w:rPr>
          <w:rFonts w:hint="eastAsia" w:ascii="宋体" w:hAnsi="宋体" w:cs="仿宋"/>
          <w:szCs w:val="21"/>
          <w:highlight w:val="yellow"/>
          <w:u w:val="single"/>
        </w:rPr>
        <w:t>；</w:t>
      </w:r>
      <w:r>
        <w:rPr>
          <w:rFonts w:hint="eastAsia" w:ascii="宋体" w:hAnsi="宋体" w:cs="仿宋"/>
          <w:szCs w:val="21"/>
          <w:highlight w:val="yellow"/>
        </w:rPr>
        <w:t>按照备注信息开具对应增值税专用发票</w:t>
      </w:r>
      <w:r>
        <w:rPr>
          <w:rFonts w:hint="eastAsia" w:ascii="宋体" w:hAnsi="宋体" w:cs="宋体"/>
          <w:highlight w:val="yellow"/>
        </w:rPr>
        <w:t>。</w:t>
      </w:r>
    </w:p>
    <w:p>
      <w:pPr>
        <w:spacing w:line="360" w:lineRule="auto"/>
        <w:ind w:firstLine="420" w:firstLineChars="200"/>
        <w:rPr>
          <w:rFonts w:ascii="宋体" w:hAnsi="宋体" w:cs="宋体"/>
        </w:rPr>
      </w:pPr>
      <w:r>
        <w:rPr>
          <w:rFonts w:hint="eastAsia" w:ascii="宋体" w:hAnsi="宋体" w:cs="宋体"/>
          <w:szCs w:val="21"/>
        </w:rPr>
        <w:t>上述金额包括本合同</w:t>
      </w:r>
      <w:r>
        <w:rPr>
          <w:rFonts w:ascii="宋体" w:hAnsi="宋体" w:cs="宋体"/>
          <w:szCs w:val="21"/>
        </w:rPr>
        <w:t>项下甲方</w:t>
      </w:r>
      <w:r>
        <w:rPr>
          <w:rFonts w:hint="eastAsia" w:ascii="宋体" w:hAnsi="宋体" w:cs="宋体"/>
          <w:szCs w:val="21"/>
        </w:rPr>
        <w:t>应</w:t>
      </w:r>
      <w:r>
        <w:rPr>
          <w:rFonts w:ascii="宋体" w:hAnsi="宋体" w:cs="宋体"/>
          <w:szCs w:val="21"/>
        </w:rPr>
        <w:t>向乙方支付的全部费用</w:t>
      </w:r>
      <w:r>
        <w:rPr>
          <w:rFonts w:hint="eastAsia" w:ascii="宋体" w:hAnsi="宋体" w:cs="宋体"/>
          <w:szCs w:val="21"/>
        </w:rPr>
        <w:t>，</w:t>
      </w:r>
      <w:r>
        <w:rPr>
          <w:rFonts w:ascii="宋体" w:hAnsi="宋体" w:cs="宋体"/>
          <w:szCs w:val="21"/>
        </w:rPr>
        <w:t>包括</w:t>
      </w:r>
      <w:r>
        <w:rPr>
          <w:rFonts w:hint="eastAsia" w:ascii="宋体" w:hAnsi="宋体" w:cs="宋体"/>
          <w:szCs w:val="21"/>
        </w:rPr>
        <w:t>但不限于以下内容：设备费、材料费（含损耗）、运输费、人工费、调试费、系统集成费、培训费、管理费、利润、税金、进出场费（如有）及合同实施过程中不可预见费用等全部可能发生的费用。</w:t>
      </w:r>
    </w:p>
    <w:p>
      <w:pPr>
        <w:spacing w:line="360" w:lineRule="auto"/>
        <w:ind w:firstLine="422" w:firstLineChars="200"/>
        <w:rPr>
          <w:rFonts w:ascii="宋体" w:hAnsi="宋体" w:cs="宋体"/>
          <w:b/>
        </w:rPr>
      </w:pPr>
      <w:r>
        <w:rPr>
          <w:rFonts w:hint="eastAsia" w:ascii="宋体" w:hAnsi="宋体" w:cs="宋体"/>
          <w:b/>
        </w:rPr>
        <w:t>三、 设备要求</w:t>
      </w:r>
    </w:p>
    <w:p>
      <w:pPr>
        <w:spacing w:line="360" w:lineRule="auto"/>
        <w:ind w:firstLine="420" w:firstLineChars="200"/>
        <w:rPr>
          <w:rFonts w:ascii="宋体" w:hAnsi="宋体" w:cs="宋体"/>
        </w:rPr>
      </w:pPr>
      <w:r>
        <w:rPr>
          <w:rFonts w:hint="eastAsia" w:ascii="宋体" w:hAnsi="宋体" w:cs="宋体"/>
        </w:rPr>
        <w:t>1、 乙方提供的货物必须符合中华人民共和国国家安全环保标准。</w:t>
      </w:r>
    </w:p>
    <w:p>
      <w:pPr>
        <w:spacing w:line="360" w:lineRule="auto"/>
        <w:ind w:firstLine="420" w:firstLineChars="200"/>
        <w:rPr>
          <w:rFonts w:ascii="宋体" w:hAnsi="宋体" w:cs="宋体"/>
        </w:rPr>
      </w:pPr>
      <w:r>
        <w:rPr>
          <w:rFonts w:hint="eastAsia" w:ascii="宋体" w:hAnsi="宋体" w:cs="宋体"/>
        </w:rPr>
        <w:t>2、 货物为乙方制造的全新产品（含零部件、配件、随机工具等），整机无污染，无侵权行为、表面无划损、无任何缺陷隐患、无碰撞、配件齐全，完全符合国家有关质量标准，并附有产品质量检验合格证书，在中国境内可依常规安全合法使用。</w:t>
      </w:r>
    </w:p>
    <w:p>
      <w:pPr>
        <w:spacing w:line="360" w:lineRule="auto"/>
        <w:ind w:firstLine="420" w:firstLineChars="200"/>
        <w:rPr>
          <w:rFonts w:ascii="宋体" w:hAnsi="宋体" w:cs="宋体"/>
        </w:rPr>
      </w:pPr>
      <w:r>
        <w:rPr>
          <w:rFonts w:hint="eastAsia" w:ascii="宋体" w:hAnsi="宋体" w:cs="宋体"/>
        </w:rPr>
        <w:t>3、 货物为厂商未启封全新包装，具有出厂合格证，序列号、包装箱号与出厂批号一致，并可追索查阅。</w:t>
      </w:r>
    </w:p>
    <w:p>
      <w:pPr>
        <w:spacing w:line="360" w:lineRule="auto"/>
        <w:ind w:firstLine="420" w:firstLineChars="200"/>
        <w:rPr>
          <w:rFonts w:ascii="宋体" w:hAnsi="宋体" w:cs="宋体"/>
        </w:rPr>
      </w:pPr>
      <w:r>
        <w:rPr>
          <w:rFonts w:hint="eastAsia" w:ascii="宋体" w:hAnsi="宋体" w:cs="宋体"/>
        </w:rPr>
        <w:t>4、 乙方应将关键主机设备的用户手册、保修手册、有关单证资料及配备件、随机工具等随设备一并交付给甲方，使用操作及安全须知等重要资料应附有中文说明。</w:t>
      </w:r>
    </w:p>
    <w:p>
      <w:pPr>
        <w:spacing w:line="360" w:lineRule="auto"/>
        <w:ind w:firstLine="420" w:firstLineChars="200"/>
        <w:rPr>
          <w:rFonts w:ascii="宋体" w:hAnsi="宋体" w:cs="宋体"/>
        </w:rPr>
      </w:pPr>
      <w:r>
        <w:rPr>
          <w:rFonts w:hint="eastAsia" w:ascii="宋体" w:hAnsi="宋体" w:cs="宋体"/>
        </w:rPr>
        <w:t>5、 如果发现货物的质量和规格与合同规定不符或货物在质量保证期内被证明有缺陷，包括内在缺陷或使用不适当原材料，甲方将有权要求有关部门进行检验，并依据检验证书向乙方索赔。</w:t>
      </w:r>
    </w:p>
    <w:p>
      <w:pPr>
        <w:spacing w:line="360" w:lineRule="auto"/>
        <w:ind w:firstLine="422" w:firstLineChars="200"/>
        <w:rPr>
          <w:rFonts w:ascii="宋体" w:hAnsi="宋体" w:cs="宋体"/>
          <w:b/>
        </w:rPr>
      </w:pPr>
      <w:r>
        <w:rPr>
          <w:rFonts w:hint="eastAsia" w:ascii="宋体" w:hAnsi="宋体" w:cs="宋体"/>
          <w:b/>
        </w:rPr>
        <w:t>四、 知识产权</w:t>
      </w:r>
    </w:p>
    <w:p>
      <w:pPr>
        <w:spacing w:line="360" w:lineRule="auto"/>
        <w:ind w:firstLine="420" w:firstLineChars="200"/>
        <w:rPr>
          <w:rFonts w:ascii="宋体" w:hAnsi="宋体" w:cs="宋体"/>
        </w:rPr>
      </w:pPr>
      <w:r>
        <w:rPr>
          <w:rFonts w:hint="eastAsia" w:ascii="宋体" w:hAnsi="宋体" w:cs="宋体"/>
        </w:rPr>
        <w:t>1、 乙方保证本合同项下向</w:t>
      </w:r>
      <w:r>
        <w:rPr>
          <w:rFonts w:ascii="宋体" w:hAnsi="宋体" w:cs="宋体"/>
        </w:rPr>
        <w:t>甲方</w:t>
      </w:r>
      <w:r>
        <w:rPr>
          <w:rFonts w:hint="eastAsia" w:ascii="宋体" w:hAnsi="宋体" w:cs="宋体"/>
        </w:rPr>
        <w:t>提供的所有</w:t>
      </w:r>
      <w:r>
        <w:rPr>
          <w:rFonts w:ascii="宋体" w:hAnsi="宋体" w:cs="宋体"/>
        </w:rPr>
        <w:t>产品</w:t>
      </w:r>
      <w:r>
        <w:rPr>
          <w:rFonts w:hint="eastAsia" w:ascii="宋体" w:hAnsi="宋体" w:cs="宋体"/>
        </w:rPr>
        <w:t>或服务均无</w:t>
      </w:r>
      <w:r>
        <w:rPr>
          <w:rFonts w:ascii="宋体" w:hAnsi="宋体" w:cs="宋体"/>
        </w:rPr>
        <w:t>任何</w:t>
      </w:r>
      <w:r>
        <w:rPr>
          <w:rFonts w:hint="eastAsia" w:ascii="宋体" w:hAnsi="宋体" w:cs="宋体"/>
        </w:rPr>
        <w:t>权利</w:t>
      </w:r>
      <w:r>
        <w:rPr>
          <w:rFonts w:ascii="宋体" w:hAnsi="宋体" w:cs="宋体"/>
        </w:rPr>
        <w:t>瑕疵</w:t>
      </w:r>
      <w:r>
        <w:rPr>
          <w:rFonts w:hint="eastAsia" w:ascii="宋体" w:hAnsi="宋体" w:cs="宋体"/>
        </w:rPr>
        <w:t>，不侵犯任何第三方的权益。否则，乙方须承担对第三方的侵权责任并承担因此而发生的所有费用及给甲方造成的全部损失</w:t>
      </w:r>
      <w:r>
        <w:rPr>
          <w:rFonts w:ascii="宋体" w:hAnsi="宋体" w:cs="宋体"/>
        </w:rPr>
        <w:t>（含</w:t>
      </w:r>
      <w:r>
        <w:rPr>
          <w:rFonts w:hint="eastAsia" w:ascii="宋体" w:hAnsi="宋体" w:cs="宋体"/>
        </w:rPr>
        <w:t>直接损失</w:t>
      </w:r>
      <w:r>
        <w:rPr>
          <w:rFonts w:ascii="宋体" w:hAnsi="宋体" w:cs="宋体"/>
        </w:rPr>
        <w:t>和</w:t>
      </w:r>
      <w:r>
        <w:rPr>
          <w:rFonts w:hint="eastAsia" w:ascii="宋体" w:hAnsi="宋体" w:cs="宋体"/>
        </w:rPr>
        <w:t>间接损失）。</w:t>
      </w:r>
    </w:p>
    <w:p>
      <w:pPr>
        <w:spacing w:line="360" w:lineRule="auto"/>
        <w:ind w:firstLine="422" w:firstLineChars="200"/>
        <w:rPr>
          <w:rFonts w:ascii="宋体" w:hAnsi="宋体" w:cs="宋体"/>
          <w:b/>
          <w:bCs/>
        </w:rPr>
      </w:pPr>
      <w:r>
        <w:rPr>
          <w:rFonts w:hint="eastAsia" w:ascii="宋体" w:hAnsi="宋体" w:cs="宋体"/>
          <w:b/>
          <w:bCs/>
        </w:rPr>
        <w:t>五、交货期及交货方式</w:t>
      </w:r>
    </w:p>
    <w:p>
      <w:pPr>
        <w:spacing w:line="360" w:lineRule="auto"/>
        <w:ind w:firstLine="420" w:firstLineChars="200"/>
        <w:rPr>
          <w:rFonts w:ascii="宋体" w:hAnsi="宋体" w:cs="宋体"/>
        </w:rPr>
      </w:pPr>
      <w:r>
        <w:rPr>
          <w:rFonts w:hint="eastAsia" w:ascii="宋体" w:hAnsi="宋体" w:cs="宋体"/>
          <w:highlight w:val="yellow"/>
        </w:rPr>
        <w:t>1、交货期：</w:t>
      </w:r>
      <w:r>
        <w:rPr>
          <w:rFonts w:ascii="宋体" w:hAnsi="宋体" w:cs="宋体"/>
          <w:highlight w:val="yellow"/>
        </w:rPr>
        <w:t xml:space="preserve"> </w:t>
      </w:r>
      <w:r>
        <w:rPr>
          <w:rFonts w:hint="eastAsia" w:ascii="宋体" w:hAnsi="宋体" w:cs="宋体"/>
          <w:highlight w:val="yellow"/>
          <w:u w:val="single"/>
        </w:rPr>
        <w:t>自</w:t>
      </w:r>
      <w:r>
        <w:rPr>
          <w:rFonts w:ascii="宋体" w:hAnsi="宋体" w:cs="宋体"/>
          <w:highlight w:val="yellow"/>
          <w:u w:val="single"/>
        </w:rPr>
        <w:t>合同生效之日起，</w:t>
      </w:r>
      <w:r>
        <w:rPr>
          <w:rFonts w:hint="eastAsia" w:ascii="宋体" w:hAnsi="宋体" w:cs="宋体"/>
          <w:highlight w:val="yellow"/>
          <w:u w:val="single"/>
        </w:rPr>
        <w:t>20天</w:t>
      </w:r>
      <w:r>
        <w:rPr>
          <w:rFonts w:ascii="宋体" w:hAnsi="宋体" w:cs="宋体"/>
          <w:highlight w:val="yellow"/>
          <w:u w:val="single"/>
        </w:rPr>
        <w:t>内完成交货</w:t>
      </w:r>
      <w:r>
        <w:rPr>
          <w:rFonts w:hint="eastAsia" w:ascii="宋体" w:hAnsi="宋体" w:cs="宋体"/>
          <w:highlight w:val="yellow"/>
        </w:rPr>
        <w:t>。</w:t>
      </w:r>
    </w:p>
    <w:p>
      <w:pPr>
        <w:spacing w:line="360" w:lineRule="auto"/>
        <w:ind w:firstLine="420" w:firstLineChars="200"/>
        <w:rPr>
          <w:rFonts w:ascii="宋体" w:hAnsi="宋体" w:cs="宋体"/>
        </w:rPr>
      </w:pPr>
      <w:r>
        <w:rPr>
          <w:rFonts w:hint="eastAsia" w:ascii="宋体" w:hAnsi="宋体" w:cs="宋体"/>
        </w:rPr>
        <w:t>2、交货方式：</w:t>
      </w:r>
      <w:r>
        <w:rPr>
          <w:rFonts w:ascii="宋体" w:hAnsi="宋体" w:cs="宋体"/>
        </w:rPr>
        <w:t xml:space="preserve"> </w:t>
      </w:r>
      <w:r>
        <w:rPr>
          <w:rFonts w:hint="eastAsia" w:ascii="宋体" w:hAnsi="宋体" w:cs="宋体"/>
        </w:rPr>
        <w:t>送货</w:t>
      </w:r>
      <w:r>
        <w:rPr>
          <w:rFonts w:ascii="宋体" w:hAnsi="宋体" w:cs="宋体"/>
        </w:rPr>
        <w:t>上门或快递交货。</w:t>
      </w:r>
    </w:p>
    <w:p>
      <w:pPr>
        <w:spacing w:line="360" w:lineRule="auto"/>
        <w:ind w:firstLine="420" w:firstLineChars="200"/>
        <w:rPr>
          <w:rFonts w:ascii="宋体" w:hAnsi="宋体" w:cs="宋体"/>
        </w:rPr>
      </w:pPr>
      <w:r>
        <w:rPr>
          <w:rFonts w:hint="eastAsia" w:ascii="宋体" w:hAnsi="宋体" w:cs="宋体"/>
        </w:rPr>
        <w:t>3、交货地点：</w:t>
      </w:r>
      <w:r>
        <w:rPr>
          <w:rFonts w:hint="eastAsia" w:ascii="宋体" w:hAnsi="宋体" w:cs="宋体"/>
          <w:bCs/>
          <w:lang w:val="en-US" w:eastAsia="zh-CN"/>
        </w:rPr>
        <w:t xml:space="preserve"> </w:t>
      </w:r>
      <w:r>
        <w:rPr>
          <w:rFonts w:hint="eastAsia" w:ascii="宋体" w:hAnsi="宋体" w:cs="宋体"/>
          <w:bCs/>
          <w:u w:val="single"/>
          <w:lang w:val="en-US" w:eastAsia="zh-CN"/>
        </w:rPr>
        <w:t xml:space="preserve">                                   </w:t>
      </w:r>
      <w:r>
        <w:rPr>
          <w:rFonts w:hint="eastAsia" w:ascii="宋体" w:hAnsi="宋体" w:cs="宋体"/>
          <w:bCs/>
        </w:rPr>
        <w:t>。</w:t>
      </w:r>
    </w:p>
    <w:p>
      <w:pPr>
        <w:spacing w:line="360" w:lineRule="auto"/>
        <w:ind w:firstLine="422" w:firstLineChars="200"/>
        <w:rPr>
          <w:rFonts w:ascii="宋体" w:hAnsi="宋体" w:cs="宋体"/>
          <w:b/>
        </w:rPr>
      </w:pPr>
      <w:r>
        <w:rPr>
          <w:rFonts w:hint="eastAsia" w:ascii="宋体" w:hAnsi="宋体" w:cs="宋体"/>
          <w:b/>
        </w:rPr>
        <w:t>六、 付款方式</w:t>
      </w:r>
    </w:p>
    <w:p>
      <w:pPr>
        <w:spacing w:line="360" w:lineRule="auto"/>
        <w:ind w:firstLine="420" w:firstLineChars="200"/>
        <w:rPr>
          <w:rFonts w:ascii="宋体" w:hAnsi="宋体" w:cs="宋体" w:eastAsiaTheme="minorEastAsia"/>
        </w:rPr>
      </w:pPr>
      <w:r>
        <w:rPr>
          <w:rFonts w:hint="eastAsia" w:ascii="宋体" w:hAnsi="宋体" w:cs="宋体"/>
          <w:bCs/>
          <w:highlight w:val="yellow"/>
          <w:lang w:val="en-US" w:eastAsia="zh-CN"/>
        </w:rPr>
        <w:t>1、</w:t>
      </w:r>
      <w:r>
        <w:rPr>
          <w:rFonts w:hint="eastAsia" w:ascii="宋体" w:hAnsi="宋体" w:cs="宋体"/>
          <w:bCs/>
          <w:highlight w:val="yellow"/>
        </w:rPr>
        <w:t>合同</w:t>
      </w:r>
      <w:r>
        <w:rPr>
          <w:rFonts w:ascii="宋体" w:hAnsi="宋体" w:cs="宋体"/>
          <w:bCs/>
          <w:highlight w:val="yellow"/>
        </w:rPr>
        <w:t>生效后，甲方向乙方支付</w:t>
      </w:r>
      <w:r>
        <w:rPr>
          <w:rFonts w:hint="eastAsia" w:ascii="宋体" w:hAnsi="宋体" w:cs="宋体"/>
          <w:bCs/>
          <w:highlight w:val="yellow"/>
          <w:lang w:val="en-US" w:eastAsia="zh-CN"/>
        </w:rPr>
        <w:t>32500</w:t>
      </w:r>
      <w:r>
        <w:rPr>
          <w:rFonts w:hint="eastAsia" w:ascii="宋体" w:hAnsi="宋体" w:cs="宋体"/>
          <w:bCs/>
          <w:highlight w:val="yellow"/>
        </w:rPr>
        <w:t>元</w:t>
      </w:r>
      <w:r>
        <w:rPr>
          <w:rFonts w:ascii="宋体" w:hAnsi="宋体" w:cs="宋体"/>
          <w:bCs/>
          <w:highlight w:val="yellow"/>
        </w:rPr>
        <w:t>；</w:t>
      </w:r>
    </w:p>
    <w:p>
      <w:pPr>
        <w:spacing w:line="360" w:lineRule="auto"/>
        <w:ind w:firstLine="420" w:firstLineChars="200"/>
        <w:rPr>
          <w:rFonts w:hint="eastAsia" w:ascii="宋体" w:hAnsi="宋体" w:cs="宋体"/>
          <w:bCs/>
          <w:lang w:eastAsia="zh-CN"/>
        </w:rPr>
      </w:pPr>
      <w:r>
        <w:rPr>
          <w:rFonts w:hint="eastAsia" w:ascii="宋体" w:hAnsi="宋体" w:cs="宋体"/>
          <w:bCs/>
          <w:lang w:val="en-US" w:eastAsia="zh-CN"/>
        </w:rPr>
        <w:t>2、</w:t>
      </w:r>
      <w:r>
        <w:rPr>
          <w:rFonts w:hint="eastAsia" w:ascii="宋体" w:hAnsi="宋体" w:cs="宋体"/>
          <w:bCs/>
        </w:rPr>
        <w:t>付款</w:t>
      </w:r>
      <w:r>
        <w:rPr>
          <w:rFonts w:hint="eastAsia" w:ascii="宋体" w:hAnsi="宋体" w:cs="宋体"/>
          <w:bCs/>
          <w:lang w:val="en-US" w:eastAsia="zh-CN"/>
        </w:rPr>
        <w:t>后3个工作日内</w:t>
      </w:r>
      <w:r>
        <w:rPr>
          <w:rFonts w:ascii="宋体" w:hAnsi="宋体" w:cs="宋体"/>
          <w:bCs/>
        </w:rPr>
        <w:t>，乙方</w:t>
      </w:r>
      <w:r>
        <w:rPr>
          <w:rFonts w:hint="eastAsia" w:ascii="宋体" w:hAnsi="宋体" w:cs="宋体"/>
          <w:bCs/>
          <w:lang w:val="en-US" w:eastAsia="zh-CN"/>
        </w:rPr>
        <w:t>向甲方</w:t>
      </w:r>
      <w:r>
        <w:rPr>
          <w:rFonts w:ascii="宋体" w:hAnsi="宋体" w:cs="宋体"/>
          <w:bCs/>
        </w:rPr>
        <w:t>开具</w:t>
      </w:r>
      <w:r>
        <w:rPr>
          <w:rFonts w:hint="eastAsia" w:ascii="宋体" w:hAnsi="宋体" w:cs="宋体"/>
          <w:bCs/>
        </w:rPr>
        <w:t>符合</w:t>
      </w:r>
      <w:r>
        <w:rPr>
          <w:rFonts w:ascii="宋体" w:hAnsi="宋体" w:cs="宋体"/>
          <w:bCs/>
        </w:rPr>
        <w:t>甲方要求的发票</w:t>
      </w:r>
      <w:r>
        <w:rPr>
          <w:rFonts w:hint="eastAsia" w:ascii="宋体" w:hAnsi="宋体" w:cs="宋体"/>
          <w:bCs/>
          <w:lang w:eastAsia="zh-CN"/>
        </w:rPr>
        <w:t>；</w:t>
      </w:r>
    </w:p>
    <w:p>
      <w:pPr>
        <w:spacing w:line="360" w:lineRule="auto"/>
        <w:ind w:firstLine="420" w:firstLineChars="200"/>
        <w:rPr>
          <w:rFonts w:hint="eastAsia" w:ascii="宋体" w:hAnsi="宋体" w:cs="宋体"/>
          <w:bCs/>
          <w:lang w:val="en-US" w:eastAsia="zh-CN"/>
        </w:rPr>
      </w:pPr>
      <w:r>
        <w:rPr>
          <w:rFonts w:hint="eastAsia" w:ascii="宋体" w:hAnsi="宋体" w:cs="宋体"/>
          <w:bCs/>
          <w:lang w:val="en-US" w:eastAsia="zh-CN"/>
        </w:rPr>
        <w:t>3、乙方账户信息：</w:t>
      </w:r>
    </w:p>
    <w:p>
      <w:pPr>
        <w:spacing w:line="360" w:lineRule="auto"/>
        <w:ind w:firstLine="420" w:firstLineChars="200"/>
        <w:rPr>
          <w:rFonts w:ascii="宋体" w:hAnsi="宋体"/>
          <w:sz w:val="21"/>
          <w:szCs w:val="21"/>
          <w:highlight w:val="none"/>
        </w:rPr>
      </w:pPr>
      <w:r>
        <w:rPr>
          <w:rFonts w:hint="eastAsia" w:ascii="宋体" w:hAnsi="宋体"/>
          <w:sz w:val="21"/>
          <w:szCs w:val="21"/>
          <w:highlight w:val="none"/>
        </w:rPr>
        <w:t>开户名称：</w:t>
      </w:r>
      <w:r>
        <w:rPr>
          <w:rFonts w:hint="eastAsia"/>
          <w:sz w:val="21"/>
          <w:szCs w:val="21"/>
          <w:highlight w:val="none"/>
        </w:rPr>
        <w:t>深圳市圆周率智能信息科技有限公司</w:t>
      </w:r>
    </w:p>
    <w:p>
      <w:pPr>
        <w:spacing w:line="360" w:lineRule="auto"/>
        <w:ind w:firstLine="420" w:firstLineChars="200"/>
        <w:rPr>
          <w:rFonts w:hint="default" w:ascii="宋体" w:hAnsi="宋体"/>
          <w:sz w:val="21"/>
          <w:szCs w:val="21"/>
          <w:highlight w:val="none"/>
          <w:lang w:val="en-US" w:eastAsia="zh-CN"/>
        </w:rPr>
      </w:pPr>
      <w:r>
        <w:rPr>
          <w:rFonts w:hint="default" w:ascii="宋体" w:hAnsi="宋体"/>
          <w:sz w:val="21"/>
          <w:szCs w:val="21"/>
          <w:highlight w:val="none"/>
          <w:lang w:val="en-US" w:eastAsia="zh-CN"/>
        </w:rPr>
        <w:t>账户号码：</w:t>
      </w:r>
      <w:r>
        <w:rPr>
          <w:rFonts w:hint="eastAsia" w:ascii="宋体" w:hAnsi="宋体"/>
          <w:sz w:val="21"/>
          <w:szCs w:val="21"/>
          <w:highlight w:val="none"/>
          <w:lang w:val="en-US" w:eastAsia="zh-CN"/>
        </w:rPr>
        <w:t>44250100018900000946</w:t>
      </w:r>
    </w:p>
    <w:p>
      <w:pPr>
        <w:spacing w:line="360" w:lineRule="auto"/>
        <w:ind w:firstLine="420" w:firstLineChars="200"/>
        <w:rPr>
          <w:rFonts w:hint="default" w:ascii="宋体" w:hAnsi="宋体"/>
          <w:sz w:val="21"/>
          <w:szCs w:val="21"/>
          <w:highlight w:val="none"/>
          <w:lang w:val="en-US" w:eastAsia="zh-CN"/>
        </w:rPr>
      </w:pPr>
      <w:r>
        <w:rPr>
          <w:rFonts w:hint="default" w:ascii="宋体" w:hAnsi="宋体"/>
          <w:sz w:val="21"/>
          <w:szCs w:val="21"/>
          <w:highlight w:val="none"/>
          <w:lang w:val="en-US" w:eastAsia="zh-CN"/>
        </w:rPr>
        <w:t>开户行：</w:t>
      </w:r>
      <w:r>
        <w:rPr>
          <w:rFonts w:hint="eastAsia" w:ascii="宋体" w:hAnsi="宋体"/>
          <w:sz w:val="21"/>
          <w:szCs w:val="21"/>
          <w:highlight w:val="none"/>
          <w:lang w:val="en-US" w:eastAsia="zh-CN"/>
        </w:rPr>
        <w:t>中国建设银行股份有限公司深圳葵涌支行</w:t>
      </w:r>
    </w:p>
    <w:p>
      <w:pPr>
        <w:pStyle w:val="2"/>
        <w:rPr>
          <w:rFonts w:hint="default"/>
          <w:lang w:val="en-US" w:eastAsia="zh-CN"/>
        </w:rPr>
      </w:pPr>
      <w:r>
        <w:rPr>
          <w:rFonts w:hint="eastAsia" w:ascii="宋体" w:hAnsi="宋体"/>
          <w:sz w:val="24"/>
          <w:highlight w:val="none"/>
          <w:lang w:val="en-US" w:eastAsia="zh-CN"/>
        </w:rPr>
        <w:t>4、</w:t>
      </w:r>
      <w:r>
        <w:rPr>
          <w:rFonts w:hint="default" w:ascii="宋体" w:hAnsi="宋体" w:eastAsia="宋体" w:cs="Times New Roman"/>
          <w:kern w:val="2"/>
          <w:sz w:val="21"/>
          <w:szCs w:val="21"/>
          <w:highlight w:val="none"/>
          <w:lang w:val="en-US" w:eastAsia="zh-CN" w:bidi="ar-SA"/>
        </w:rPr>
        <w:t>如果乙方的开户银行和/或帐号发生变更，乙方应在本协议规定的甲方相关付款期限前的十个工作日内，以书面形式通知甲方。如因乙方未及时通知或通知有误而影响甲方付款，甲方不承担逾期付款的任何责任。</w:t>
      </w:r>
    </w:p>
    <w:p>
      <w:pPr>
        <w:spacing w:line="360" w:lineRule="auto"/>
        <w:ind w:firstLine="422" w:firstLineChars="200"/>
        <w:rPr>
          <w:rFonts w:ascii="宋体" w:hAnsi="宋体" w:cs="宋体"/>
          <w:b/>
        </w:rPr>
      </w:pPr>
      <w:r>
        <w:rPr>
          <w:rFonts w:hint="eastAsia" w:ascii="宋体" w:hAnsi="宋体" w:cs="宋体"/>
          <w:b/>
        </w:rPr>
        <w:t>七、 培训、质保期及售后服务要求</w:t>
      </w:r>
    </w:p>
    <w:p>
      <w:pPr>
        <w:spacing w:line="360" w:lineRule="auto"/>
        <w:ind w:firstLine="420" w:firstLineChars="200"/>
        <w:rPr>
          <w:rFonts w:ascii="宋体" w:hAnsi="宋体" w:cs="宋体"/>
        </w:rPr>
      </w:pPr>
      <w:r>
        <w:rPr>
          <w:rFonts w:hint="eastAsia" w:ascii="宋体" w:hAnsi="宋体" w:cs="宋体"/>
        </w:rPr>
        <w:t>1、乙方负责无偿为甲方提供使用人员的使用操作技术及维护技术的培训。</w:t>
      </w:r>
    </w:p>
    <w:p>
      <w:pPr>
        <w:spacing w:line="360" w:lineRule="auto"/>
        <w:ind w:firstLine="420" w:firstLineChars="200"/>
        <w:rPr>
          <w:rFonts w:ascii="宋体" w:hAnsi="宋体" w:cs="宋体"/>
        </w:rPr>
      </w:pPr>
      <w:r>
        <w:rPr>
          <w:rFonts w:ascii="宋体" w:hAnsi="宋体" w:cs="宋体"/>
        </w:rPr>
        <w:t>2</w:t>
      </w:r>
      <w:r>
        <w:rPr>
          <w:rFonts w:hint="eastAsia" w:ascii="宋体" w:hAnsi="宋体" w:cs="宋体"/>
        </w:rPr>
        <w:t>、质保</w:t>
      </w:r>
      <w:r>
        <w:rPr>
          <w:rFonts w:ascii="宋体" w:hAnsi="宋体" w:cs="宋体"/>
        </w:rPr>
        <w:t>期</w:t>
      </w:r>
      <w:r>
        <w:rPr>
          <w:rFonts w:hint="eastAsia" w:ascii="宋体" w:hAnsi="宋体" w:cs="宋体"/>
        </w:rPr>
        <w:t>及售后服务要求</w:t>
      </w:r>
    </w:p>
    <w:p>
      <w:pPr>
        <w:spacing w:line="360" w:lineRule="auto"/>
        <w:ind w:firstLine="420" w:firstLineChars="200"/>
        <w:rPr>
          <w:rFonts w:ascii="宋体" w:hAnsi="宋体" w:cs="宋体"/>
          <w:color w:val="000000" w:themeColor="text1"/>
          <w14:textFill>
            <w14:solidFill>
              <w14:schemeClr w14:val="tx1"/>
            </w14:solidFill>
          </w14:textFill>
        </w:rPr>
      </w:pPr>
      <w:r>
        <w:rPr>
          <w:rFonts w:hint="eastAsia" w:ascii="宋体" w:hAnsi="宋体" w:cs="宋体"/>
        </w:rPr>
        <w:t>（1）</w:t>
      </w:r>
      <w:r>
        <w:rPr>
          <w:rFonts w:hint="eastAsia" w:ascii="宋体" w:hAnsi="宋体" w:cs="宋体"/>
          <w:color w:val="000000" w:themeColor="text1"/>
          <w14:textFill>
            <w14:solidFill>
              <w14:schemeClr w14:val="tx1"/>
            </w14:solidFill>
          </w14:textFill>
        </w:rPr>
        <w:t>所有设备及产品均需提供整机</w:t>
      </w:r>
      <w:r>
        <w:rPr>
          <w:rFonts w:hint="eastAsia" w:ascii="宋体" w:hAnsi="宋体" w:cs="宋体"/>
          <w:color w:val="000000" w:themeColor="text1"/>
          <w:lang w:val="en-US" w:eastAsia="zh-CN"/>
          <w14:textFill>
            <w14:solidFill>
              <w14:schemeClr w14:val="tx1"/>
            </w14:solidFill>
          </w14:textFill>
        </w:rPr>
        <w:t>1</w:t>
      </w:r>
      <w:r>
        <w:rPr>
          <w:rFonts w:hint="eastAsia" w:ascii="宋体" w:hAnsi="宋体" w:cs="宋体"/>
          <w:color w:val="000000" w:themeColor="text1"/>
          <w14:textFill>
            <w14:solidFill>
              <w14:schemeClr w14:val="tx1"/>
            </w14:solidFill>
          </w14:textFill>
        </w:rPr>
        <w:t>年原厂保修服务（包括电子物料及零配件），保修期自最终验收合格之日起计算，保修期内乙方对所供产品实行包修、包维护保养，如因设备质量原因导致并且维修三次以后还是无法使用，质保期内要包换，不再收取任何费用。</w:t>
      </w:r>
    </w:p>
    <w:p>
      <w:pPr>
        <w:spacing w:line="360" w:lineRule="auto"/>
        <w:ind w:firstLine="420" w:firstLineChars="200"/>
        <w:rPr>
          <w:rFonts w:ascii="宋体" w:hAnsi="宋体" w:cs="宋体"/>
        </w:rPr>
      </w:pPr>
      <w:r>
        <w:rPr>
          <w:rFonts w:hint="eastAsia" w:ascii="宋体" w:hAnsi="宋体" w:cs="宋体"/>
        </w:rPr>
        <w:t>（2）乙方必须具有完备的技术支持体系，提供7*24小时热线电话技术支持和现场支持服务，接到用户问题在1小时之内进行回复；如故障发生5小时后仍无法解决问题，则必须在故障发生后8小时内提供同档次以上备机服务支持。</w:t>
      </w:r>
    </w:p>
    <w:p>
      <w:pPr>
        <w:spacing w:line="360" w:lineRule="auto"/>
        <w:ind w:firstLine="420" w:firstLineChars="200"/>
        <w:rPr>
          <w:rFonts w:ascii="宋体" w:hAnsi="宋体" w:cs="宋体"/>
        </w:rPr>
      </w:pPr>
      <w:r>
        <w:rPr>
          <w:rFonts w:hint="eastAsia" w:ascii="宋体" w:hAnsi="宋体" w:cs="宋体"/>
        </w:rPr>
        <w:t>（</w:t>
      </w:r>
      <w:r>
        <w:rPr>
          <w:rFonts w:ascii="宋体" w:hAnsi="宋体" w:cs="宋体"/>
        </w:rPr>
        <w:t>3</w:t>
      </w:r>
      <w:r>
        <w:rPr>
          <w:rFonts w:hint="eastAsia" w:ascii="宋体" w:hAnsi="宋体" w:cs="宋体"/>
        </w:rPr>
        <w:t>）质保期内，如因需要增加设备功能而产生的费用，双方另议。</w:t>
      </w:r>
    </w:p>
    <w:p>
      <w:pPr>
        <w:spacing w:line="360" w:lineRule="auto"/>
        <w:ind w:firstLine="420" w:firstLineChars="200"/>
        <w:rPr>
          <w:rFonts w:ascii="宋体" w:hAnsi="宋体" w:cs="宋体"/>
        </w:rPr>
      </w:pPr>
      <w:r>
        <w:rPr>
          <w:rFonts w:hint="eastAsia" w:ascii="宋体" w:hAnsi="宋体" w:cs="宋体"/>
        </w:rPr>
        <w:t>（</w:t>
      </w:r>
      <w:r>
        <w:rPr>
          <w:rFonts w:ascii="宋体" w:hAnsi="宋体" w:cs="宋体"/>
        </w:rPr>
        <w:t>4</w:t>
      </w:r>
      <w:r>
        <w:rPr>
          <w:rFonts w:hint="eastAsia" w:ascii="宋体" w:hAnsi="宋体" w:cs="宋体"/>
        </w:rPr>
        <w:t>）保修服务期满后，乙方必须承诺在法定工作时间内，可以提供免费的技术指导和咨询，如需其他技术支持服务，则费用由双方另议。</w:t>
      </w:r>
    </w:p>
    <w:p>
      <w:pPr>
        <w:spacing w:line="360" w:lineRule="auto"/>
        <w:ind w:firstLine="420" w:firstLineChars="200"/>
        <w:rPr>
          <w:rFonts w:ascii="宋体" w:hAnsi="宋体" w:cs="宋体"/>
        </w:rPr>
      </w:pPr>
      <w:r>
        <w:rPr>
          <w:rFonts w:hint="eastAsia" w:ascii="宋体" w:hAnsi="宋体" w:cs="宋体"/>
        </w:rPr>
        <w:t>（5）质保期内，如产品因非甲方人为因素出现故障而造成停用时，则质保期相应顺延；如停用时间累计超过60天则质保期重新计算。</w:t>
      </w:r>
    </w:p>
    <w:p>
      <w:pPr>
        <w:spacing w:line="360" w:lineRule="auto"/>
        <w:ind w:firstLine="422" w:firstLineChars="200"/>
        <w:rPr>
          <w:rFonts w:ascii="宋体" w:hAnsi="宋体" w:cs="宋体"/>
          <w:b/>
        </w:rPr>
      </w:pPr>
      <w:r>
        <w:rPr>
          <w:rFonts w:hint="eastAsia" w:ascii="宋体" w:hAnsi="宋体" w:cs="宋体"/>
          <w:b/>
        </w:rPr>
        <w:t>八、包装、到货检验、安装与调试</w:t>
      </w:r>
    </w:p>
    <w:p>
      <w:pPr>
        <w:numPr>
          <w:ilvl w:val="0"/>
          <w:numId w:val="2"/>
        </w:numPr>
        <w:tabs>
          <w:tab w:val="left" w:pos="0"/>
        </w:tabs>
        <w:autoSpaceDE w:val="0"/>
        <w:autoSpaceDN w:val="0"/>
        <w:adjustRightInd w:val="0"/>
        <w:spacing w:line="360" w:lineRule="auto"/>
        <w:ind w:left="0" w:firstLine="420" w:firstLineChars="200"/>
        <w:jc w:val="left"/>
        <w:rPr>
          <w:rFonts w:ascii="宋体" w:hAnsi="宋体" w:cs="仿宋"/>
          <w:color w:val="000000"/>
          <w:szCs w:val="21"/>
        </w:rPr>
      </w:pPr>
      <w:r>
        <w:rPr>
          <w:rFonts w:hint="eastAsia" w:ascii="宋体" w:hAnsi="宋体" w:cs="仿宋"/>
          <w:color w:val="000000"/>
          <w:szCs w:val="21"/>
        </w:rPr>
        <w:t>合同产品的包装：产品的包装均应有良好的防湿、防锈、防潮、防雨、防腐及防碰撞的措施。凡由于包装不良造成的损失和由此产生的费用均由乙方承担。</w:t>
      </w:r>
    </w:p>
    <w:p>
      <w:pPr>
        <w:numPr>
          <w:ilvl w:val="0"/>
          <w:numId w:val="2"/>
        </w:numPr>
        <w:tabs>
          <w:tab w:val="left" w:pos="0"/>
        </w:tabs>
        <w:autoSpaceDE w:val="0"/>
        <w:autoSpaceDN w:val="0"/>
        <w:adjustRightInd w:val="0"/>
        <w:spacing w:line="360" w:lineRule="auto"/>
        <w:ind w:left="0" w:firstLine="420" w:firstLineChars="200"/>
        <w:jc w:val="left"/>
        <w:rPr>
          <w:rFonts w:ascii="宋体" w:hAnsi="宋体" w:cs="仿宋"/>
          <w:color w:val="000000"/>
          <w:szCs w:val="21"/>
        </w:rPr>
      </w:pPr>
      <w:r>
        <w:rPr>
          <w:rFonts w:hint="eastAsia" w:ascii="宋体" w:hAnsi="宋体" w:cs="仿宋"/>
          <w:color w:val="000000"/>
          <w:szCs w:val="21"/>
        </w:rPr>
        <w:t>到货检验</w:t>
      </w:r>
    </w:p>
    <w:p>
      <w:pPr>
        <w:numPr>
          <w:ilvl w:val="1"/>
          <w:numId w:val="2"/>
        </w:numPr>
        <w:autoSpaceDE w:val="0"/>
        <w:autoSpaceDN w:val="0"/>
        <w:adjustRightInd w:val="0"/>
        <w:spacing w:line="360" w:lineRule="auto"/>
        <w:ind w:left="0" w:firstLine="420" w:firstLineChars="200"/>
        <w:jc w:val="left"/>
        <w:rPr>
          <w:rFonts w:ascii="宋体" w:hAnsi="宋体" w:cs="仿宋"/>
          <w:color w:val="000000"/>
          <w:szCs w:val="21"/>
        </w:rPr>
      </w:pPr>
      <w:r>
        <w:rPr>
          <w:rFonts w:hint="eastAsia" w:ascii="宋体" w:hAnsi="宋体" w:cs="仿宋"/>
          <w:color w:val="000000"/>
          <w:szCs w:val="21"/>
        </w:rPr>
        <w:t>产品的到货验收包括：型号、规格、数量、外观质量及产品包装完整无破损，在产品抵达交货目的地后，甲乙双方就产品外观质量、规格和型号进行初步检验。产品为原厂商未启封全新包装，具出厂合格证，序列号、包装箱号与出厂批号一致，并可追索查阅。所有随产品的附件必须齐全。如果发现到货的外观质量、规格和型号与合同不符，甲方有权拒收产品，并可向乙方索赔。</w:t>
      </w:r>
    </w:p>
    <w:p>
      <w:pPr>
        <w:spacing w:line="360" w:lineRule="auto"/>
        <w:ind w:firstLine="422" w:firstLineChars="200"/>
        <w:rPr>
          <w:rFonts w:ascii="宋体" w:hAnsi="宋体" w:cs="宋体"/>
          <w:b/>
        </w:rPr>
      </w:pPr>
      <w:r>
        <w:rPr>
          <w:rFonts w:hint="eastAsia" w:ascii="宋体" w:hAnsi="宋体" w:cs="宋体"/>
          <w:b/>
        </w:rPr>
        <w:t>九、 测试、验收要求</w:t>
      </w:r>
    </w:p>
    <w:p>
      <w:pPr>
        <w:spacing w:line="360" w:lineRule="auto"/>
        <w:ind w:firstLine="420" w:firstLineChars="200"/>
        <w:rPr>
          <w:rFonts w:ascii="宋体" w:hAnsi="宋体" w:cs="宋体"/>
        </w:rPr>
      </w:pPr>
      <w:r>
        <w:rPr>
          <w:rFonts w:hint="eastAsia" w:ascii="宋体" w:hAnsi="宋体" w:cs="宋体"/>
        </w:rPr>
        <w:t>1、</w:t>
      </w:r>
      <w:r>
        <w:rPr>
          <w:rFonts w:ascii="宋体" w:hAnsi="宋体" w:cs="宋体"/>
        </w:rPr>
        <w:t>验收标准：</w:t>
      </w:r>
      <w:r>
        <w:rPr>
          <w:rFonts w:hint="eastAsia" w:ascii="宋体" w:hAnsi="宋体" w:cs="宋体"/>
        </w:rPr>
        <w:t>如</w:t>
      </w:r>
      <w:r>
        <w:rPr>
          <w:rFonts w:ascii="宋体" w:hAnsi="宋体" w:cs="宋体"/>
        </w:rPr>
        <w:t>产品的规格、质量</w:t>
      </w:r>
      <w:r>
        <w:rPr>
          <w:rFonts w:hint="eastAsia" w:ascii="宋体" w:hAnsi="宋体" w:cs="宋体"/>
        </w:rPr>
        <w:t>、</w:t>
      </w:r>
      <w:r>
        <w:rPr>
          <w:rFonts w:ascii="宋体" w:hAnsi="宋体" w:cs="宋体"/>
        </w:rPr>
        <w:t>数量等</w:t>
      </w:r>
      <w:r>
        <w:rPr>
          <w:rFonts w:hint="eastAsia" w:ascii="宋体" w:hAnsi="宋体" w:cs="宋体"/>
        </w:rPr>
        <w:t>与</w:t>
      </w:r>
      <w:r>
        <w:rPr>
          <w:rFonts w:ascii="宋体" w:hAnsi="宋体" w:cs="宋体"/>
        </w:rPr>
        <w:t>合同规定的检验标准</w:t>
      </w:r>
      <w:r>
        <w:rPr>
          <w:rFonts w:hint="eastAsia" w:ascii="宋体" w:hAnsi="宋体" w:cs="宋体"/>
        </w:rPr>
        <w:t>不符</w:t>
      </w:r>
      <w:r>
        <w:rPr>
          <w:rFonts w:ascii="宋体" w:hAnsi="宋体" w:cs="宋体"/>
        </w:rPr>
        <w:t>或者存在质量缺陷，影响甲方正常使用的，甲方有权要求无条件换货或退货，由此所发生的一切费用由乙方承担，甲方并保留提出索赔的权利。</w:t>
      </w:r>
    </w:p>
    <w:p>
      <w:pPr>
        <w:pStyle w:val="2"/>
        <w:spacing w:line="360" w:lineRule="auto"/>
        <w:rPr>
          <w:rFonts w:ascii="宋体" w:hAnsi="宋体" w:cs="宋体"/>
        </w:rPr>
      </w:pPr>
      <w:r>
        <w:rPr>
          <w:rFonts w:hint="eastAsia"/>
        </w:rPr>
        <w:t>2</w:t>
      </w:r>
      <w:r>
        <w:rPr>
          <w:rFonts w:hint="eastAsia" w:ascii="宋体" w:hAnsi="宋体" w:cs="宋体"/>
        </w:rPr>
        <w:t>、</w:t>
      </w:r>
      <w:r>
        <w:rPr>
          <w:rFonts w:ascii="宋体" w:hAnsi="宋体" w:cs="宋体"/>
        </w:rPr>
        <w:t>在双方共同验收</w:t>
      </w:r>
      <w:r>
        <w:rPr>
          <w:rFonts w:hint="eastAsia" w:ascii="宋体" w:hAnsi="宋体" w:cs="宋体"/>
        </w:rPr>
        <w:t>时</w:t>
      </w:r>
      <w:r>
        <w:rPr>
          <w:rFonts w:ascii="宋体" w:hAnsi="宋体" w:cs="宋体"/>
        </w:rPr>
        <w:t>，如发现包括质量在内的相关问题时，乙方应在</w:t>
      </w:r>
      <w:r>
        <w:rPr>
          <w:rFonts w:hint="eastAsia" w:ascii="宋体" w:hAnsi="宋体" w:cs="宋体"/>
        </w:rPr>
        <w:t>2天内</w:t>
      </w:r>
      <w:r>
        <w:rPr>
          <w:rFonts w:ascii="宋体" w:hAnsi="宋体" w:cs="宋体"/>
        </w:rPr>
        <w:t>负责处理完毕，否则，即视为默认甲方</w:t>
      </w:r>
      <w:r>
        <w:rPr>
          <w:rFonts w:hint="eastAsia" w:ascii="宋体" w:hAnsi="宋体" w:cs="宋体"/>
        </w:rPr>
        <w:t>提出</w:t>
      </w:r>
      <w:r>
        <w:rPr>
          <w:rFonts w:ascii="宋体" w:hAnsi="宋体" w:cs="宋体"/>
        </w:rPr>
        <w:t>的</w:t>
      </w:r>
      <w:r>
        <w:rPr>
          <w:rFonts w:hint="eastAsia" w:ascii="宋体" w:hAnsi="宋体" w:cs="宋体"/>
        </w:rPr>
        <w:t>异议和</w:t>
      </w:r>
      <w:r>
        <w:rPr>
          <w:rFonts w:ascii="宋体" w:hAnsi="宋体" w:cs="宋体"/>
        </w:rPr>
        <w:t>处理要求</w:t>
      </w:r>
      <w:r>
        <w:rPr>
          <w:rFonts w:hint="eastAsia" w:ascii="宋体" w:hAnsi="宋体" w:cs="宋体"/>
        </w:rPr>
        <w:t>。</w:t>
      </w:r>
    </w:p>
    <w:p>
      <w:pPr>
        <w:pStyle w:val="2"/>
        <w:spacing w:line="360" w:lineRule="auto"/>
      </w:pPr>
      <w:r>
        <w:rPr>
          <w:rFonts w:hint="eastAsia" w:ascii="宋体" w:hAnsi="宋体" w:cs="宋体"/>
        </w:rPr>
        <w:t>3、</w:t>
      </w:r>
      <w:r>
        <w:rPr>
          <w:rFonts w:ascii="宋体" w:hAnsi="宋体" w:cs="宋体"/>
        </w:rPr>
        <w:t>乙方应将所提供的产品的装箱清单、配件、随机工具、产品说明书、保修卡</w:t>
      </w:r>
      <w:r>
        <w:rPr>
          <w:rFonts w:hint="eastAsia" w:ascii="宋体" w:hAnsi="宋体" w:cs="宋体"/>
        </w:rPr>
        <w:t>等</w:t>
      </w:r>
      <w:r>
        <w:rPr>
          <w:rFonts w:ascii="宋体" w:hAnsi="宋体" w:cs="宋体"/>
        </w:rPr>
        <w:t>资料交付给</w:t>
      </w:r>
      <w:r>
        <w:rPr>
          <w:rFonts w:hint="eastAsia" w:ascii="宋体" w:hAnsi="宋体" w:cs="宋体"/>
        </w:rPr>
        <w:t>甲方</w:t>
      </w:r>
      <w:r>
        <w:rPr>
          <w:rFonts w:ascii="宋体" w:hAnsi="宋体" w:cs="宋体"/>
        </w:rPr>
        <w:t>，乙方不能完整交付</w:t>
      </w:r>
      <w:r>
        <w:rPr>
          <w:rFonts w:hint="eastAsia" w:ascii="宋体" w:hAnsi="宋体" w:cs="宋体"/>
        </w:rPr>
        <w:t>产品的</w:t>
      </w:r>
      <w:r>
        <w:rPr>
          <w:rFonts w:ascii="宋体" w:hAnsi="宋体" w:cs="宋体"/>
        </w:rPr>
        <w:t>，必须负责补齐，否则视为未按合同</w:t>
      </w:r>
      <w:r>
        <w:rPr>
          <w:rFonts w:hint="eastAsia" w:ascii="宋体" w:hAnsi="宋体" w:cs="宋体"/>
        </w:rPr>
        <w:t>约定</w:t>
      </w:r>
      <w:r>
        <w:rPr>
          <w:rFonts w:ascii="宋体" w:hAnsi="宋体" w:cs="宋体"/>
        </w:rPr>
        <w:t>交货。</w:t>
      </w:r>
    </w:p>
    <w:p>
      <w:pPr>
        <w:spacing w:line="360" w:lineRule="auto"/>
        <w:ind w:firstLine="422" w:firstLineChars="200"/>
        <w:rPr>
          <w:rFonts w:ascii="宋体" w:hAnsi="宋体" w:cs="宋体"/>
          <w:b/>
        </w:rPr>
      </w:pPr>
      <w:r>
        <w:rPr>
          <w:rFonts w:hint="eastAsia" w:ascii="宋体" w:hAnsi="宋体" w:cs="宋体"/>
          <w:b/>
        </w:rPr>
        <w:t>十、 违约责任与赔偿损失</w:t>
      </w:r>
    </w:p>
    <w:p>
      <w:pPr>
        <w:numPr>
          <w:ilvl w:val="0"/>
          <w:numId w:val="3"/>
        </w:numPr>
        <w:tabs>
          <w:tab w:val="left" w:pos="0"/>
        </w:tabs>
        <w:autoSpaceDE w:val="0"/>
        <w:autoSpaceDN w:val="0"/>
        <w:adjustRightInd w:val="0"/>
        <w:spacing w:line="360" w:lineRule="auto"/>
        <w:ind w:left="0" w:firstLine="420" w:firstLineChars="200"/>
        <w:jc w:val="left"/>
        <w:rPr>
          <w:rFonts w:ascii="宋体" w:hAnsi="宋体" w:cs="仿宋"/>
          <w:szCs w:val="21"/>
        </w:rPr>
      </w:pPr>
      <w:r>
        <w:rPr>
          <w:rFonts w:hint="eastAsia" w:ascii="宋体" w:hAnsi="宋体" w:cs="仿宋"/>
          <w:szCs w:val="21"/>
        </w:rPr>
        <w:t>乙方最终交付的货物不符合本合同规定的，甲方有权拒收且有权终止合同，乙方须退还甲方已支付的全部费用</w:t>
      </w:r>
      <w:r>
        <w:rPr>
          <w:rFonts w:hint="eastAsia" w:ascii="宋体" w:hAnsi="宋体" w:cs="仿宋"/>
          <w:szCs w:val="21"/>
          <w:lang w:eastAsia="zh-CN"/>
        </w:rPr>
        <w:t>。</w:t>
      </w:r>
    </w:p>
    <w:p>
      <w:pPr>
        <w:spacing w:line="360" w:lineRule="auto"/>
        <w:ind w:firstLine="420" w:firstLineChars="200"/>
        <w:rPr>
          <w:rFonts w:ascii="宋体" w:hAnsi="宋体" w:cs="宋体"/>
        </w:rPr>
      </w:pPr>
      <w:r>
        <w:rPr>
          <w:rFonts w:ascii="宋体" w:hAnsi="宋体" w:cs="宋体"/>
        </w:rPr>
        <w:t>2</w:t>
      </w:r>
      <w:r>
        <w:rPr>
          <w:rFonts w:hint="eastAsia" w:ascii="宋体" w:hAnsi="宋体" w:cs="宋体"/>
        </w:rPr>
        <w:t>、 乙方未能按本合同规定的交货时间交付货物的，从逾期之日起每日按本合同总价3‰的数额向甲方支付违约金, 此项违约金额以逾期交货部分总金额为限度；逾期交货10天的，甲方有权终止合同，由此造成的甲方全部损失由乙方承担，</w:t>
      </w:r>
      <w:r>
        <w:rPr>
          <w:rFonts w:ascii="宋体" w:hAnsi="宋体" w:cs="宋体"/>
        </w:rPr>
        <w:t>且乙方</w:t>
      </w:r>
      <w:r>
        <w:rPr>
          <w:rFonts w:hint="eastAsia" w:ascii="宋体" w:hAnsi="宋体" w:cs="宋体"/>
        </w:rPr>
        <w:t>须退还甲方已支付的全部费用。</w:t>
      </w:r>
    </w:p>
    <w:p>
      <w:pPr>
        <w:spacing w:line="360" w:lineRule="auto"/>
        <w:ind w:firstLine="420" w:firstLineChars="200"/>
        <w:rPr>
          <w:rFonts w:ascii="宋体" w:hAnsi="宋体" w:cs="宋体"/>
        </w:rPr>
      </w:pPr>
      <w:r>
        <w:rPr>
          <w:rFonts w:ascii="宋体" w:hAnsi="宋体" w:cs="宋体"/>
        </w:rPr>
        <w:t>3</w:t>
      </w:r>
      <w:r>
        <w:rPr>
          <w:rFonts w:hint="eastAsia" w:ascii="宋体" w:hAnsi="宋体" w:cs="宋体"/>
        </w:rPr>
        <w:t>、 如乙方提供的货物在验收过程中达不到合同中所约定的要求，甲方有权要求更换或全部退货，由此造成的延期交货违约责任由乙方按照本合同第九条第</w:t>
      </w:r>
      <w:r>
        <w:rPr>
          <w:rFonts w:ascii="宋体" w:hAnsi="宋体" w:cs="宋体"/>
        </w:rPr>
        <w:t>1</w:t>
      </w:r>
      <w:r>
        <w:rPr>
          <w:rFonts w:hint="eastAsia" w:ascii="宋体" w:hAnsi="宋体" w:cs="宋体"/>
        </w:rPr>
        <w:t>款约定执行。</w:t>
      </w:r>
    </w:p>
    <w:p>
      <w:pPr>
        <w:spacing w:line="360" w:lineRule="auto"/>
        <w:ind w:firstLine="420" w:firstLineChars="200"/>
        <w:rPr>
          <w:rFonts w:ascii="宋体" w:hAnsi="宋体" w:cs="宋体"/>
        </w:rPr>
      </w:pPr>
      <w:r>
        <w:rPr>
          <w:rFonts w:ascii="宋体" w:hAnsi="宋体" w:cs="宋体"/>
        </w:rPr>
        <w:t>4</w:t>
      </w:r>
      <w:r>
        <w:rPr>
          <w:rFonts w:hint="eastAsia" w:ascii="宋体" w:hAnsi="宋体" w:cs="宋体"/>
        </w:rPr>
        <w:t>、 乙方如没有按合同规定履行售后服务承诺，甲方可自行安排由第三方单位进行修复，其费用全部由乙方支付，否则，将没收乙方的质量保证金，如果没有质量保证金的则追究乙方违约的法律责任。</w:t>
      </w:r>
    </w:p>
    <w:p>
      <w:pPr>
        <w:spacing w:line="360" w:lineRule="auto"/>
        <w:ind w:firstLine="420" w:firstLineChars="200"/>
        <w:rPr>
          <w:rFonts w:ascii="宋体" w:hAnsi="宋体" w:cs="宋体"/>
        </w:rPr>
      </w:pPr>
      <w:r>
        <w:rPr>
          <w:rFonts w:ascii="宋体" w:hAnsi="宋体" w:cs="宋体"/>
        </w:rPr>
        <w:t>5</w:t>
      </w:r>
      <w:r>
        <w:rPr>
          <w:rFonts w:hint="eastAsia" w:ascii="宋体" w:hAnsi="宋体" w:cs="宋体"/>
        </w:rPr>
        <w:t>、 其它违约责任按《中华人民共和国民法典》处理。</w:t>
      </w:r>
    </w:p>
    <w:p>
      <w:pPr>
        <w:spacing w:line="360" w:lineRule="auto"/>
        <w:ind w:firstLine="422" w:firstLineChars="200"/>
        <w:rPr>
          <w:rFonts w:ascii="宋体" w:hAnsi="宋体" w:cs="宋体"/>
          <w:b/>
        </w:rPr>
      </w:pPr>
      <w:r>
        <w:rPr>
          <w:rFonts w:hint="eastAsia" w:ascii="宋体" w:hAnsi="宋体" w:cs="宋体"/>
          <w:b/>
        </w:rPr>
        <w:t>十一、 保密</w:t>
      </w:r>
    </w:p>
    <w:p>
      <w:pPr>
        <w:spacing w:line="360" w:lineRule="auto"/>
        <w:ind w:firstLine="420" w:firstLineChars="200"/>
        <w:rPr>
          <w:rFonts w:ascii="宋体" w:hAnsi="宋体" w:cs="宋体"/>
        </w:rPr>
      </w:pPr>
      <w:r>
        <w:rPr>
          <w:rFonts w:hint="eastAsia" w:ascii="宋体" w:hAnsi="宋体" w:cs="宋体"/>
        </w:rPr>
        <w:t>1、 乙方提供给甲方的技术资料、信息、计算机软件、专有技术、设计方案等知识产权及价格条款等商业秘密和技术秘密，甲方应采取保密措施，予以严密保守。</w:t>
      </w:r>
    </w:p>
    <w:p>
      <w:pPr>
        <w:spacing w:line="360" w:lineRule="auto"/>
        <w:ind w:firstLine="420" w:firstLineChars="200"/>
        <w:rPr>
          <w:rFonts w:ascii="宋体" w:hAnsi="宋体" w:cs="宋体"/>
        </w:rPr>
      </w:pPr>
      <w:r>
        <w:rPr>
          <w:rFonts w:hint="eastAsia" w:ascii="宋体" w:hAnsi="宋体" w:cs="宋体"/>
        </w:rPr>
        <w:t>2、 乙方提供给甲方的产品，不得嵌入或安装窃取用户数据的木马病毒、窃密装置等软硬件。</w:t>
      </w:r>
    </w:p>
    <w:p>
      <w:pPr>
        <w:spacing w:line="360" w:lineRule="auto"/>
        <w:ind w:firstLine="420" w:firstLineChars="200"/>
        <w:rPr>
          <w:rFonts w:ascii="宋体" w:hAnsi="宋体" w:cs="宋体"/>
        </w:rPr>
      </w:pPr>
      <w:r>
        <w:rPr>
          <w:rFonts w:hint="eastAsia" w:ascii="宋体" w:hAnsi="宋体" w:cs="宋体"/>
        </w:rPr>
        <w:t>3、 除法律规定或经双方同意外，乙方不得以任何形式、在任何时间、向任何其他第三方或</w:t>
      </w:r>
      <w:r>
        <w:rPr>
          <w:rFonts w:ascii="宋体" w:hAnsi="宋体" w:cs="宋体"/>
        </w:rPr>
        <w:t>公开场合</w:t>
      </w:r>
      <w:r>
        <w:rPr>
          <w:rFonts w:hint="eastAsia" w:ascii="宋体" w:hAnsi="宋体" w:cs="宋体"/>
        </w:rPr>
        <w:t>披露、泄露或提供与本合同有关或执行本合同有关的资料、文件、往来传真、信函、本合同文本及相关信息，以及商业秘密（包括财务秘密、技术秘密、经营诀窍和其他保密信息和资料），无论该资料是以书面、口头、邮件或其他形式做成。否则，甲方将追究乙方的法律责任。</w:t>
      </w:r>
    </w:p>
    <w:p>
      <w:pPr>
        <w:spacing w:line="360" w:lineRule="auto"/>
        <w:ind w:firstLine="420" w:firstLineChars="200"/>
        <w:rPr>
          <w:rFonts w:ascii="宋体" w:hAnsi="宋体" w:cs="宋体"/>
        </w:rPr>
      </w:pPr>
      <w:r>
        <w:rPr>
          <w:rFonts w:hint="eastAsia" w:ascii="宋体" w:hAnsi="宋体" w:cs="宋体"/>
        </w:rPr>
        <w:t>4、 双方的保密义务期限为自本合同生效之日起长期有效，并不因合同的结束而解除效力。</w:t>
      </w:r>
    </w:p>
    <w:p>
      <w:pPr>
        <w:spacing w:line="360" w:lineRule="auto"/>
        <w:ind w:firstLine="420" w:firstLineChars="200"/>
        <w:rPr>
          <w:rFonts w:ascii="宋体" w:hAnsi="宋体" w:cs="宋体"/>
        </w:rPr>
      </w:pPr>
      <w:r>
        <w:rPr>
          <w:rFonts w:hint="eastAsia" w:ascii="宋体" w:hAnsi="宋体" w:cs="宋体"/>
        </w:rPr>
        <w:t>5、 乙方在进行设备调试、维护时，未经甲方允许，不得拷贝甲方设备数据、信息等资料。</w:t>
      </w:r>
    </w:p>
    <w:p>
      <w:pPr>
        <w:spacing w:line="360" w:lineRule="auto"/>
        <w:ind w:firstLine="420" w:firstLineChars="200"/>
        <w:rPr>
          <w:rFonts w:ascii="宋体" w:hAnsi="宋体" w:cs="宋体"/>
        </w:rPr>
      </w:pPr>
      <w:r>
        <w:rPr>
          <w:rFonts w:ascii="宋体" w:hAnsi="宋体" w:cs="宋体"/>
        </w:rPr>
        <w:t>6</w:t>
      </w:r>
      <w:r>
        <w:rPr>
          <w:rFonts w:hint="eastAsia" w:ascii="宋体" w:hAnsi="宋体" w:cs="宋体"/>
        </w:rPr>
        <w:t>、 任何违反上述保密条款的行为均应承担违约责任，赔偿守约方实际损失的30%的违约金，若违约金不足以弥补守约方损失（含直接损失和间接损失）的，违约方还应承担补充赔偿责任。</w:t>
      </w:r>
    </w:p>
    <w:p>
      <w:pPr>
        <w:spacing w:line="360" w:lineRule="auto"/>
        <w:ind w:firstLine="422" w:firstLineChars="200"/>
        <w:rPr>
          <w:rFonts w:ascii="宋体" w:hAnsi="宋体" w:cs="宋体"/>
          <w:b/>
        </w:rPr>
      </w:pPr>
      <w:r>
        <w:rPr>
          <w:rFonts w:hint="eastAsia" w:ascii="宋体" w:hAnsi="宋体" w:cs="宋体"/>
          <w:b/>
        </w:rPr>
        <w:t>十二、 争议的解决</w:t>
      </w:r>
    </w:p>
    <w:p>
      <w:pPr>
        <w:spacing w:line="360" w:lineRule="auto"/>
        <w:ind w:firstLine="420" w:firstLineChars="200"/>
        <w:rPr>
          <w:rFonts w:ascii="宋体" w:hAnsi="宋体" w:cs="宋体"/>
        </w:rPr>
      </w:pPr>
      <w:r>
        <w:rPr>
          <w:rFonts w:hint="eastAsia" w:ascii="宋体" w:hAnsi="宋体" w:cs="宋体"/>
        </w:rPr>
        <w:t>合同签署</w:t>
      </w:r>
      <w:r>
        <w:rPr>
          <w:rFonts w:ascii="宋体" w:hAnsi="宋体" w:cs="宋体"/>
        </w:rPr>
        <w:t>、</w:t>
      </w:r>
      <w:r>
        <w:rPr>
          <w:rFonts w:hint="eastAsia" w:ascii="宋体" w:hAnsi="宋体" w:cs="宋体"/>
        </w:rPr>
        <w:t>执行过程中发生的任何争议，双方应通过友好协商解决，若经协商不能达成协议时，则向甲方所在地人民法院提起诉讼。诉讼期间，双方应继续执行合同其余部分。因诉讼所产生的费用由败诉方承担。</w:t>
      </w:r>
    </w:p>
    <w:p>
      <w:pPr>
        <w:spacing w:line="360" w:lineRule="auto"/>
        <w:ind w:firstLine="422" w:firstLineChars="200"/>
        <w:rPr>
          <w:rFonts w:ascii="宋体" w:hAnsi="宋体" w:cs="宋体"/>
          <w:b/>
        </w:rPr>
      </w:pPr>
      <w:r>
        <w:rPr>
          <w:rFonts w:hint="eastAsia" w:ascii="宋体" w:hAnsi="宋体" w:cs="宋体"/>
          <w:b/>
        </w:rPr>
        <w:t>十三、 不可抗力</w:t>
      </w:r>
    </w:p>
    <w:p>
      <w:pPr>
        <w:spacing w:line="360" w:lineRule="auto"/>
        <w:ind w:firstLine="420" w:firstLineChars="200"/>
        <w:rPr>
          <w:rFonts w:ascii="宋体" w:hAnsi="宋体" w:cs="宋体"/>
        </w:rPr>
      </w:pPr>
      <w:r>
        <w:rPr>
          <w:rFonts w:hint="eastAsia" w:ascii="宋体" w:hAnsi="宋体" w:cs="宋体"/>
        </w:rPr>
        <w:t>任何一方由于不可抗力原因不能履行合同时，应在不可抗力事件结束后1日内向对方通报，以减轻可能给对方造成的损失，在取得有关机构的不可抗力证明或双方谅解确认后，允许延期履行或修订合同，并根据情况可部分或全部免于承担违约责任。</w:t>
      </w:r>
    </w:p>
    <w:p>
      <w:pPr>
        <w:spacing w:line="360" w:lineRule="auto"/>
        <w:ind w:firstLine="422" w:firstLineChars="200"/>
        <w:rPr>
          <w:rFonts w:ascii="宋体" w:hAnsi="宋体" w:cs="宋体"/>
          <w:b/>
        </w:rPr>
      </w:pPr>
      <w:r>
        <w:rPr>
          <w:rFonts w:hint="eastAsia" w:ascii="宋体" w:hAnsi="宋体" w:cs="宋体"/>
          <w:b/>
        </w:rPr>
        <w:t>十四、 税费</w:t>
      </w:r>
    </w:p>
    <w:p>
      <w:pPr>
        <w:spacing w:line="360" w:lineRule="auto"/>
        <w:ind w:firstLine="420" w:firstLineChars="200"/>
        <w:rPr>
          <w:rFonts w:ascii="宋体" w:hAnsi="宋体" w:cs="宋体"/>
        </w:rPr>
      </w:pPr>
      <w:r>
        <w:rPr>
          <w:rFonts w:hint="eastAsia" w:ascii="宋体" w:hAnsi="宋体" w:cs="宋体"/>
        </w:rPr>
        <w:t>在中国境内、外发生的与本合同执行有关的一切税费均由乙方负担。</w:t>
      </w:r>
    </w:p>
    <w:p>
      <w:pPr>
        <w:spacing w:line="360" w:lineRule="auto"/>
        <w:ind w:firstLine="422" w:firstLineChars="200"/>
        <w:rPr>
          <w:rFonts w:ascii="宋体" w:hAnsi="宋体" w:cs="宋体"/>
          <w:b/>
        </w:rPr>
      </w:pPr>
      <w:r>
        <w:rPr>
          <w:rFonts w:hint="eastAsia" w:ascii="宋体" w:hAnsi="宋体" w:cs="宋体"/>
          <w:b/>
        </w:rPr>
        <w:t>十五、 其它</w:t>
      </w:r>
    </w:p>
    <w:p>
      <w:pPr>
        <w:pStyle w:val="5"/>
        <w:ind w:firstLine="420" w:firstLineChars="200"/>
      </w:pPr>
      <w:r>
        <w:rPr>
          <w:rFonts w:hint="eastAsia"/>
        </w:rPr>
        <w:t>1、 本合同所有附件、产品</w:t>
      </w:r>
      <w:r>
        <w:t>规格说明书</w:t>
      </w:r>
      <w:r>
        <w:rPr>
          <w:rFonts w:hint="eastAsia"/>
        </w:rPr>
        <w:t>等均为合同的有效组成部分，与本合同具有同等法律效力。</w:t>
      </w:r>
    </w:p>
    <w:p>
      <w:pPr>
        <w:spacing w:line="360" w:lineRule="auto"/>
        <w:ind w:firstLine="420" w:firstLineChars="200"/>
        <w:rPr>
          <w:rFonts w:ascii="宋体" w:hAnsi="宋体" w:cs="宋体"/>
        </w:rPr>
      </w:pPr>
      <w:r>
        <w:rPr>
          <w:rFonts w:hint="eastAsia" w:ascii="宋体" w:hAnsi="宋体" w:cs="宋体"/>
        </w:rPr>
        <w:t>2、 在执行本合同的过程中，所有经双方签署确认的文件（包括会议纪要、补充协议、往来信函）即成为本合同的有效组成部分。</w:t>
      </w:r>
    </w:p>
    <w:p>
      <w:pPr>
        <w:spacing w:line="360" w:lineRule="auto"/>
        <w:ind w:firstLine="420" w:firstLineChars="200"/>
        <w:rPr>
          <w:rFonts w:ascii="宋体" w:hAnsi="宋体" w:cs="宋体"/>
        </w:rPr>
      </w:pPr>
      <w:r>
        <w:rPr>
          <w:rFonts w:hint="eastAsia" w:ascii="宋体" w:hAnsi="宋体" w:cs="宋体"/>
        </w:rPr>
        <w:t xml:space="preserve">3、 如一方地址、电话、传真号码有变更，应在变更当日内书面通知对方，否则，应承担相应责任。 </w:t>
      </w:r>
    </w:p>
    <w:p>
      <w:pPr>
        <w:spacing w:line="360" w:lineRule="auto"/>
        <w:ind w:firstLine="420" w:firstLineChars="200"/>
        <w:rPr>
          <w:rFonts w:ascii="宋体" w:hAnsi="宋体" w:cs="宋体"/>
        </w:rPr>
      </w:pPr>
      <w:r>
        <w:rPr>
          <w:rFonts w:hint="eastAsia" w:ascii="宋体" w:hAnsi="宋体" w:cs="宋体"/>
        </w:rPr>
        <w:t>4、 除甲方事先书面同意外，乙方不得部分或全部转让其应履行的合同项下的义务。</w:t>
      </w:r>
    </w:p>
    <w:p>
      <w:pPr>
        <w:spacing w:line="360" w:lineRule="auto"/>
        <w:ind w:firstLine="422" w:firstLineChars="200"/>
        <w:rPr>
          <w:rFonts w:ascii="宋体" w:hAnsi="宋体" w:cs="宋体"/>
          <w:b/>
        </w:rPr>
      </w:pPr>
      <w:r>
        <w:rPr>
          <w:rFonts w:hint="eastAsia" w:ascii="宋体" w:hAnsi="宋体" w:cs="宋体"/>
          <w:b/>
        </w:rPr>
        <w:t>十六、 合同生效</w:t>
      </w:r>
    </w:p>
    <w:p>
      <w:pPr>
        <w:spacing w:line="360" w:lineRule="auto"/>
        <w:ind w:firstLine="420" w:firstLineChars="200"/>
        <w:rPr>
          <w:rFonts w:ascii="宋体" w:hAnsi="宋体" w:cs="宋体"/>
        </w:rPr>
      </w:pPr>
      <w:r>
        <w:rPr>
          <w:rFonts w:hint="eastAsia" w:ascii="宋体" w:hAnsi="宋体" w:cs="宋体"/>
        </w:rPr>
        <w:t>1、 本合同在经双方法定代表人或其授权代表签字并盖公司公章后生效。合同生效日期以后一个签字的日期为准。</w:t>
      </w:r>
    </w:p>
    <w:p>
      <w:pPr>
        <w:spacing w:line="360" w:lineRule="auto"/>
        <w:ind w:firstLine="420" w:firstLineChars="200"/>
        <w:rPr>
          <w:rFonts w:ascii="宋体" w:hAnsi="宋体" w:cs="宋体"/>
        </w:rPr>
      </w:pPr>
      <w:r>
        <w:rPr>
          <w:rFonts w:hint="eastAsia" w:ascii="宋体" w:hAnsi="宋体" w:cs="宋体"/>
        </w:rPr>
        <w:t>2、 合同一式</w:t>
      </w:r>
      <w:r>
        <w:rPr>
          <w:rFonts w:hint="eastAsia" w:ascii="宋体" w:hAnsi="宋体" w:cs="宋体"/>
          <w:u w:val="single"/>
        </w:rPr>
        <w:t xml:space="preserve"> </w:t>
      </w:r>
      <w:r>
        <w:rPr>
          <w:rFonts w:hint="eastAsia" w:ascii="宋体" w:hAnsi="宋体" w:cs="宋体"/>
          <w:u w:val="single"/>
          <w:lang w:val="en-US" w:eastAsia="zh-CN"/>
        </w:rPr>
        <w:t>贰</w:t>
      </w:r>
      <w:r>
        <w:rPr>
          <w:rFonts w:hint="eastAsia" w:ascii="宋体" w:hAnsi="宋体" w:cs="宋体"/>
          <w:u w:val="single"/>
        </w:rPr>
        <w:t xml:space="preserve"> </w:t>
      </w:r>
      <w:r>
        <w:rPr>
          <w:rFonts w:hint="eastAsia" w:ascii="宋体" w:hAnsi="宋体" w:cs="宋体"/>
        </w:rPr>
        <w:t>份。甲、乙双方各执</w:t>
      </w:r>
      <w:r>
        <w:rPr>
          <w:rFonts w:hint="eastAsia" w:ascii="宋体" w:hAnsi="宋体" w:cs="宋体"/>
          <w:u w:val="single"/>
        </w:rPr>
        <w:t xml:space="preserve"> </w:t>
      </w:r>
      <w:r>
        <w:rPr>
          <w:rFonts w:hint="eastAsia" w:ascii="宋体" w:hAnsi="宋体" w:cs="宋体"/>
          <w:u w:val="single"/>
          <w:lang w:val="en-US" w:eastAsia="zh-CN"/>
        </w:rPr>
        <w:t>壹</w:t>
      </w:r>
      <w:r>
        <w:rPr>
          <w:rFonts w:hint="eastAsia" w:ascii="宋体" w:hAnsi="宋体" w:cs="宋体"/>
          <w:u w:val="single"/>
        </w:rPr>
        <w:t xml:space="preserve"> </w:t>
      </w:r>
      <w:r>
        <w:rPr>
          <w:rFonts w:hint="eastAsia" w:ascii="宋体" w:hAnsi="宋体" w:cs="宋体"/>
        </w:rPr>
        <w:t>份，</w:t>
      </w:r>
      <w:r>
        <w:rPr>
          <w:rFonts w:ascii="宋体" w:hAnsi="宋体" w:cs="宋体"/>
        </w:rPr>
        <w:t>均</w:t>
      </w:r>
      <w:r>
        <w:rPr>
          <w:rFonts w:hint="eastAsia" w:ascii="宋体" w:hAnsi="宋体" w:cs="宋体"/>
        </w:rPr>
        <w:t>具同等效力。</w:t>
      </w:r>
    </w:p>
    <w:p>
      <w:pPr>
        <w:pStyle w:val="2"/>
      </w:pPr>
      <w:r>
        <w:rPr>
          <w:rFonts w:hint="eastAsia"/>
        </w:rPr>
        <w:t>（</w:t>
      </w:r>
      <w:r>
        <w:t>以下无正文）</w:t>
      </w:r>
    </w:p>
    <w:p>
      <w:pPr>
        <w:spacing w:line="360" w:lineRule="auto"/>
        <w:rPr>
          <w:rFonts w:ascii="宋体" w:hAnsi="宋体" w:cs="宋体"/>
        </w:rPr>
      </w:pPr>
    </w:p>
    <w:p>
      <w:pPr>
        <w:pStyle w:val="2"/>
      </w:pPr>
    </w:p>
    <w:p>
      <w:pPr>
        <w:pStyle w:val="2"/>
      </w:pPr>
    </w:p>
    <w:p>
      <w:pPr>
        <w:pStyle w:val="2"/>
      </w:pPr>
    </w:p>
    <w:p>
      <w:pPr>
        <w:pStyle w:val="2"/>
      </w:pPr>
    </w:p>
    <w:p>
      <w:pPr>
        <w:pStyle w:val="2"/>
      </w:pPr>
    </w:p>
    <w:p>
      <w:pPr>
        <w:pStyle w:val="2"/>
      </w:pPr>
    </w:p>
    <w:p>
      <w:pPr>
        <w:pStyle w:val="2"/>
      </w:pPr>
    </w:p>
    <w:p>
      <w:pPr>
        <w:pStyle w:val="2"/>
      </w:pPr>
    </w:p>
    <w:p>
      <w:pPr>
        <w:spacing w:line="360" w:lineRule="auto"/>
        <w:ind w:left="4410" w:leftChars="-200" w:right="-764" w:rightChars="-364" w:hanging="4830" w:hangingChars="2300"/>
        <w:rPr>
          <w:rFonts w:ascii="宋体" w:hAnsi="宋体" w:cs="宋体"/>
        </w:rPr>
      </w:pPr>
      <w:r>
        <w:rPr>
          <w:rFonts w:hint="eastAsia" w:ascii="宋体" w:hAnsi="宋体" w:cs="宋体"/>
        </w:rPr>
        <w:t>甲方（盖章）：</w:t>
      </w:r>
      <w:r>
        <w:rPr>
          <w:rFonts w:hint="eastAsia" w:ascii="宋体" w:hAnsi="宋体" w:cs="宋体"/>
          <w:lang w:val="en-US" w:eastAsia="zh-CN"/>
        </w:rPr>
        <w:t xml:space="preserve">                            </w:t>
      </w:r>
      <w:r>
        <w:rPr>
          <w:rFonts w:hint="eastAsia" w:ascii="宋体" w:hAnsi="宋体" w:cs="宋体"/>
        </w:rPr>
        <w:t xml:space="preserve">   乙方（盖章）：深圳市圆周率智能信息科技有限公司</w:t>
      </w:r>
    </w:p>
    <w:p>
      <w:pPr>
        <w:spacing w:line="360" w:lineRule="auto"/>
        <w:ind w:left="4422" w:leftChars="-200" w:hanging="4842" w:hangingChars="2306"/>
        <w:rPr>
          <w:rFonts w:ascii="宋体" w:hAnsi="宋体" w:cs="宋体"/>
        </w:rPr>
      </w:pPr>
      <w:r>
        <w:rPr>
          <w:rFonts w:hint="eastAsia" w:ascii="宋体" w:hAnsi="宋体" w:cs="宋体"/>
        </w:rPr>
        <w:t>地址 ：</w:t>
      </w:r>
      <w:r>
        <w:rPr>
          <w:rFonts w:hint="eastAsia" w:ascii="宋体" w:hAnsi="宋体" w:cs="宋体"/>
          <w:lang w:val="en-US" w:eastAsia="zh-CN"/>
        </w:rPr>
        <w:t xml:space="preserve">                                  </w:t>
      </w:r>
      <w:r>
        <w:rPr>
          <w:rFonts w:hint="eastAsia" w:ascii="宋体" w:hAnsi="宋体" w:cs="宋体"/>
        </w:rPr>
        <w:t xml:space="preserve">   地址 ：</w:t>
      </w:r>
      <w:r>
        <w:rPr>
          <w:rFonts w:ascii="宋体" w:hAnsi="宋体" w:cs="宋体"/>
        </w:rPr>
        <w:t xml:space="preserve"> </w:t>
      </w:r>
      <w:r>
        <w:rPr>
          <w:rFonts w:hint="eastAsia" w:ascii="宋体" w:hAnsi="宋体" w:cs="宋体"/>
        </w:rPr>
        <w:t>深圳市南山区金骐智谷1011</w:t>
      </w:r>
    </w:p>
    <w:p>
      <w:pPr>
        <w:spacing w:line="360" w:lineRule="auto"/>
        <w:ind w:left="-420" w:leftChars="-200"/>
        <w:rPr>
          <w:rFonts w:ascii="宋体" w:hAnsi="宋体" w:cs="宋体"/>
        </w:rPr>
      </w:pPr>
      <w:r>
        <w:rPr>
          <w:rFonts w:hint="eastAsia" w:ascii="宋体" w:hAnsi="宋体" w:cs="宋体"/>
        </w:rPr>
        <w:t xml:space="preserve">代表：                                       代表： </w:t>
      </w:r>
    </w:p>
    <w:p>
      <w:pPr>
        <w:spacing w:line="360" w:lineRule="auto"/>
        <w:ind w:left="-420" w:leftChars="-200"/>
        <w:rPr>
          <w:rFonts w:ascii="宋体" w:hAnsi="宋体" w:cs="宋体"/>
        </w:rPr>
      </w:pPr>
      <w:r>
        <w:rPr>
          <w:rFonts w:hint="eastAsia" w:ascii="宋体" w:hAnsi="宋体" w:cs="宋体"/>
        </w:rPr>
        <w:t xml:space="preserve">签订日期：  年     月    日                  签订日期：     年     月     日    </w:t>
      </w:r>
    </w:p>
    <w:p>
      <w:pPr>
        <w:spacing w:line="360" w:lineRule="auto"/>
        <w:ind w:left="-420" w:leftChars="-200" w:right="-1191" w:rightChars="-567"/>
        <w:rPr>
          <w:rFonts w:ascii="宋体" w:hAnsi="宋体" w:cs="宋体"/>
        </w:rPr>
      </w:pPr>
      <w:r>
        <w:rPr>
          <w:rFonts w:hint="eastAsia" w:ascii="宋体" w:hAnsi="宋体" w:cs="宋体"/>
        </w:rPr>
        <w:t>开户名称：</w:t>
      </w:r>
      <w:r>
        <w:rPr>
          <w:rFonts w:hint="eastAsia" w:ascii="宋体" w:hAnsi="宋体" w:cs="宋体"/>
          <w:lang w:val="en-US" w:eastAsia="zh-CN"/>
        </w:rPr>
        <w:t xml:space="preserve">                             </w:t>
      </w:r>
      <w:r>
        <w:rPr>
          <w:rFonts w:hint="eastAsia" w:ascii="宋体" w:hAnsi="宋体" w:cs="宋体"/>
        </w:rPr>
        <w:t xml:space="preserve">      开户名称：深圳市圆周率智能信息科技有限公司</w:t>
      </w:r>
    </w:p>
    <w:p>
      <w:pPr>
        <w:spacing w:line="360" w:lineRule="auto"/>
        <w:ind w:left="-420" w:leftChars="-200"/>
        <w:rPr>
          <w:rFonts w:ascii="宋体" w:hAnsi="宋体" w:cs="宋体"/>
        </w:rPr>
      </w:pPr>
      <w:r>
        <w:rPr>
          <w:rFonts w:hint="eastAsia" w:ascii="宋体" w:hAnsi="宋体" w:cs="宋体"/>
        </w:rPr>
        <w:t>银行账号：</w:t>
      </w:r>
      <w:r>
        <w:rPr>
          <w:rFonts w:hint="eastAsia" w:ascii="宋体" w:hAnsi="宋体" w:cs="宋体"/>
          <w:lang w:val="en-US" w:eastAsia="zh-CN"/>
        </w:rPr>
        <w:t xml:space="preserve">                   </w:t>
      </w:r>
      <w:r>
        <w:rPr>
          <w:rFonts w:hint="eastAsia" w:ascii="宋体" w:hAnsi="宋体" w:cs="宋体"/>
        </w:rPr>
        <w:t xml:space="preserve">                银行账号：</w:t>
      </w:r>
      <w:r>
        <w:rPr>
          <w:rFonts w:ascii="宋体" w:hAnsi="宋体" w:cs="宋体"/>
        </w:rPr>
        <w:t>44250100018900000946</w:t>
      </w:r>
    </w:p>
    <w:p>
      <w:pPr>
        <w:spacing w:line="360" w:lineRule="auto"/>
        <w:ind w:left="4410" w:leftChars="-200" w:right="-1758" w:rightChars="-837" w:hanging="4830" w:hangingChars="2300"/>
        <w:rPr>
          <w:rFonts w:ascii="宋体" w:hAnsi="宋体" w:cs="宋体"/>
        </w:rPr>
      </w:pPr>
      <w:r>
        <w:rPr>
          <w:rFonts w:hint="eastAsia" w:ascii="宋体" w:hAnsi="宋体" w:cs="宋体"/>
        </w:rPr>
        <w:t>开 户 行：</w:t>
      </w:r>
      <w:r>
        <w:rPr>
          <w:rFonts w:hint="eastAsia" w:ascii="宋体" w:hAnsi="宋体" w:cs="宋体"/>
          <w:lang w:val="en-US" w:eastAsia="zh-CN"/>
        </w:rPr>
        <w:t xml:space="preserve">                        </w:t>
      </w:r>
      <w:r>
        <w:rPr>
          <w:rFonts w:hint="eastAsia" w:ascii="宋体" w:hAnsi="宋体" w:cs="宋体"/>
        </w:rPr>
        <w:t xml:space="preserve">           开 户 行：中国建设银行股份有限公司深圳葵涌支行</w:t>
      </w:r>
    </w:p>
    <w:p>
      <w:pPr>
        <w:pStyle w:val="2"/>
        <w:ind w:firstLine="0" w:firstLineChars="0"/>
      </w:pPr>
    </w:p>
    <w:p>
      <w:pPr>
        <w:widowControl/>
        <w:jc w:val="left"/>
      </w:pPr>
      <w:r>
        <w:br w:type="page"/>
      </w:r>
    </w:p>
    <w:p>
      <w:pPr>
        <w:pStyle w:val="2"/>
        <w:ind w:firstLine="0" w:firstLineChars="0"/>
        <w:rPr>
          <w:rFonts w:ascii="黑体" w:hAnsi="黑体" w:eastAsia="黑体"/>
          <w:b/>
          <w:bCs/>
          <w:sz w:val="24"/>
          <w:szCs w:val="32"/>
        </w:rPr>
      </w:pPr>
    </w:p>
    <w:p>
      <w:pPr>
        <w:pStyle w:val="2"/>
        <w:ind w:firstLine="0" w:firstLineChars="0"/>
        <w:rPr>
          <w:rFonts w:hint="eastAsia" w:ascii="黑体" w:hAnsi="黑体" w:eastAsia="黑体"/>
          <w:b/>
          <w:bCs/>
          <w:sz w:val="24"/>
          <w:szCs w:val="32"/>
          <w:lang w:eastAsia="zh-CN"/>
        </w:rPr>
      </w:pPr>
      <w:r>
        <w:rPr>
          <w:rFonts w:hint="eastAsia" w:ascii="黑体" w:hAnsi="黑体" w:eastAsia="黑体"/>
          <w:b/>
          <w:bCs/>
          <w:sz w:val="24"/>
          <w:szCs w:val="32"/>
        </w:rPr>
        <w:t>合同附件——</w:t>
      </w:r>
      <w:r>
        <w:rPr>
          <w:rFonts w:hint="eastAsia" w:ascii="黑体" w:hAnsi="黑体" w:eastAsia="黑体"/>
          <w:b/>
          <w:bCs/>
          <w:sz w:val="24"/>
          <w:szCs w:val="32"/>
          <w:lang w:val="en-US" w:eastAsia="zh-CN"/>
        </w:rPr>
        <w:t>云端数据对接接口</w:t>
      </w:r>
    </w:p>
    <w:p>
      <w:pPr>
        <w:pStyle w:val="2"/>
        <w:ind w:firstLine="0" w:firstLineChars="0"/>
        <w:rPr>
          <w:b/>
          <w:bCs/>
        </w:rPr>
      </w:pPr>
    </w:p>
    <w:p>
      <w:pPr>
        <w:pStyle w:val="2"/>
        <w:spacing w:line="360" w:lineRule="auto"/>
        <w:ind w:firstLine="482"/>
        <w:rPr>
          <w:rFonts w:asciiTheme="minorEastAsia" w:hAnsiTheme="minorEastAsia" w:eastAsiaTheme="minorEastAsia"/>
          <w:b/>
          <w:bCs/>
          <w:sz w:val="24"/>
          <w:szCs w:val="32"/>
        </w:rPr>
      </w:pPr>
      <w:r>
        <w:rPr>
          <w:rFonts w:hint="eastAsia" w:asciiTheme="minorEastAsia" w:hAnsiTheme="minorEastAsia" w:eastAsiaTheme="minorEastAsia"/>
          <w:b/>
          <w:bCs/>
          <w:sz w:val="24"/>
          <w:szCs w:val="32"/>
        </w:rPr>
        <w:t>一、交付件说明</w:t>
      </w:r>
    </w:p>
    <w:p>
      <w:pPr>
        <w:pStyle w:val="2"/>
        <w:spacing w:line="360" w:lineRule="auto"/>
        <w:ind w:firstLineChars="0"/>
        <w:rPr>
          <w:rFonts w:hint="default" w:asciiTheme="minorEastAsia" w:hAnsiTheme="minorEastAsia" w:eastAsiaTheme="minorEastAsia"/>
          <w:sz w:val="24"/>
          <w:szCs w:val="32"/>
          <w:lang w:val="en-US" w:eastAsia="zh-CN"/>
        </w:rPr>
      </w:pPr>
      <w:r>
        <w:rPr>
          <w:rFonts w:hint="eastAsia" w:asciiTheme="minorEastAsia" w:hAnsiTheme="minorEastAsia" w:eastAsiaTheme="minorEastAsia"/>
          <w:sz w:val="24"/>
          <w:szCs w:val="32"/>
        </w:rPr>
        <w:t>乙方需要交付定制修改后</w:t>
      </w:r>
      <w:r>
        <w:rPr>
          <w:rFonts w:hint="eastAsia" w:asciiTheme="minorEastAsia" w:hAnsiTheme="minorEastAsia" w:eastAsiaTheme="minorEastAsia"/>
          <w:sz w:val="24"/>
          <w:szCs w:val="32"/>
          <w:lang w:val="en-US" w:eastAsia="zh-CN"/>
        </w:rPr>
        <w:t>云端数据接口，并配合甲方开发人员完成接口对接调试，确保功能稳定可靠，数据准确性满足甲方需求。</w:t>
      </w:r>
    </w:p>
    <w:p>
      <w:pPr>
        <w:pStyle w:val="2"/>
        <w:spacing w:line="360" w:lineRule="auto"/>
        <w:ind w:firstLine="482"/>
        <w:rPr>
          <w:rFonts w:asciiTheme="minorEastAsia" w:hAnsiTheme="minorEastAsia" w:eastAsiaTheme="minorEastAsia"/>
          <w:b/>
          <w:bCs/>
          <w:sz w:val="24"/>
          <w:szCs w:val="32"/>
        </w:rPr>
      </w:pPr>
      <w:r>
        <w:rPr>
          <w:rFonts w:hint="eastAsia" w:asciiTheme="minorEastAsia" w:hAnsiTheme="minorEastAsia" w:eastAsiaTheme="minorEastAsia"/>
          <w:b/>
          <w:bCs/>
          <w:sz w:val="24"/>
          <w:szCs w:val="32"/>
        </w:rPr>
        <w:t>二、系统概述</w:t>
      </w:r>
    </w:p>
    <w:p>
      <w:pPr>
        <w:pStyle w:val="2"/>
        <w:spacing w:line="360" w:lineRule="auto"/>
        <w:ind w:firstLineChars="0"/>
        <w:rPr>
          <w:rFonts w:hint="default" w:eastAsia="宋体"/>
          <w:sz w:val="24"/>
          <w:lang w:val="en-US" w:eastAsia="zh-CN"/>
        </w:rPr>
      </w:pPr>
      <w:r>
        <w:rPr>
          <w:rFonts w:hint="eastAsia"/>
          <w:sz w:val="24"/>
          <w:lang w:val="en-US" w:eastAsia="zh-CN"/>
        </w:rPr>
        <w:t>通过</w:t>
      </w:r>
      <w:r>
        <w:rPr>
          <w:rFonts w:hint="eastAsia" w:ascii="宋体" w:hAnsi="宋体" w:cs="宋体"/>
          <w:color w:val="000000"/>
          <w:kern w:val="0"/>
          <w:szCs w:val="21"/>
          <w:lang w:val="en-US" w:eastAsia="zh-CN"/>
        </w:rPr>
        <w:t>REALI6 EX(CAT1)产品对使用者进行健康数据的监测，并通过CAT1数据通讯方式将数据上传到乙方的云端系统，云端系统通过为甲方定制的专用接口，按照甲方的需求将相关数据分发到甲方的应用平台。</w:t>
      </w:r>
    </w:p>
    <w:p>
      <w:pPr>
        <w:pStyle w:val="2"/>
        <w:spacing w:line="360" w:lineRule="auto"/>
        <w:ind w:firstLine="482"/>
        <w:rPr>
          <w:rFonts w:asciiTheme="minorEastAsia" w:hAnsiTheme="minorEastAsia" w:eastAsiaTheme="minorEastAsia"/>
          <w:b/>
          <w:bCs/>
          <w:sz w:val="24"/>
          <w:szCs w:val="32"/>
        </w:rPr>
      </w:pPr>
      <w:r>
        <w:rPr>
          <w:rFonts w:hint="eastAsia" w:asciiTheme="minorEastAsia" w:hAnsiTheme="minorEastAsia" w:eastAsiaTheme="minorEastAsia"/>
          <w:b/>
          <w:bCs/>
          <w:sz w:val="24"/>
          <w:szCs w:val="32"/>
        </w:rPr>
        <w:t>三、功能性需求</w:t>
      </w:r>
    </w:p>
    <w:tbl>
      <w:tblPr>
        <w:tblStyle w:val="11"/>
        <w:tblW w:w="9351" w:type="dxa"/>
        <w:jc w:val="center"/>
        <w:tblLayout w:type="autofit"/>
        <w:tblCellMar>
          <w:top w:w="0" w:type="dxa"/>
          <w:left w:w="108" w:type="dxa"/>
          <w:bottom w:w="0" w:type="dxa"/>
          <w:right w:w="108" w:type="dxa"/>
        </w:tblCellMar>
      </w:tblPr>
      <w:tblGrid>
        <w:gridCol w:w="721"/>
        <w:gridCol w:w="1080"/>
        <w:gridCol w:w="1738"/>
        <w:gridCol w:w="4282"/>
        <w:gridCol w:w="1530"/>
      </w:tblGrid>
      <w:tr>
        <w:tblPrEx>
          <w:tblCellMar>
            <w:top w:w="0" w:type="dxa"/>
            <w:left w:w="108" w:type="dxa"/>
            <w:bottom w:w="0" w:type="dxa"/>
            <w:right w:w="108" w:type="dxa"/>
          </w:tblCellMar>
        </w:tblPrEx>
        <w:trPr>
          <w:trHeight w:val="285" w:hRule="atLeast"/>
          <w:jc w:val="center"/>
        </w:trPr>
        <w:tc>
          <w:tcPr>
            <w:tcW w:w="721"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序号</w:t>
            </w:r>
          </w:p>
        </w:tc>
        <w:tc>
          <w:tcPr>
            <w:tcW w:w="1080" w:type="dxa"/>
            <w:tcBorders>
              <w:top w:val="single" w:color="auto" w:sz="4" w:space="0"/>
              <w:left w:val="nil"/>
              <w:bottom w:val="single" w:color="auto" w:sz="4" w:space="0"/>
              <w:right w:val="single" w:color="auto" w:sz="4" w:space="0"/>
            </w:tcBorders>
            <w:shd w:val="clear" w:color="000000" w:fill="C0C0C0"/>
            <w:vAlign w:val="center"/>
          </w:tcPr>
          <w:p>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功能项</w:t>
            </w:r>
          </w:p>
        </w:tc>
        <w:tc>
          <w:tcPr>
            <w:tcW w:w="1738" w:type="dxa"/>
            <w:tcBorders>
              <w:top w:val="single" w:color="auto" w:sz="4" w:space="0"/>
              <w:left w:val="nil"/>
              <w:bottom w:val="single" w:color="auto" w:sz="4" w:space="0"/>
              <w:right w:val="single" w:color="auto" w:sz="4" w:space="0"/>
            </w:tcBorders>
            <w:shd w:val="clear" w:color="000000" w:fill="C0C0C0"/>
            <w:vAlign w:val="center"/>
          </w:tcPr>
          <w:p>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应用功能</w:t>
            </w:r>
          </w:p>
        </w:tc>
        <w:tc>
          <w:tcPr>
            <w:tcW w:w="4282" w:type="dxa"/>
            <w:tcBorders>
              <w:top w:val="single" w:color="auto" w:sz="4" w:space="0"/>
              <w:left w:val="nil"/>
              <w:bottom w:val="single" w:color="auto" w:sz="4" w:space="0"/>
              <w:right w:val="single" w:color="auto" w:sz="4" w:space="0"/>
            </w:tcBorders>
            <w:shd w:val="clear" w:color="000000" w:fill="C0C0C0"/>
            <w:vAlign w:val="center"/>
          </w:tcPr>
          <w:p>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功能描述</w:t>
            </w:r>
          </w:p>
        </w:tc>
        <w:tc>
          <w:tcPr>
            <w:tcW w:w="1530" w:type="dxa"/>
            <w:tcBorders>
              <w:top w:val="single" w:color="auto" w:sz="4" w:space="0"/>
              <w:left w:val="nil"/>
              <w:bottom w:val="single" w:color="auto" w:sz="4" w:space="0"/>
              <w:right w:val="single" w:color="auto" w:sz="4" w:space="0"/>
            </w:tcBorders>
            <w:shd w:val="clear" w:color="000000" w:fill="C0C0C0"/>
            <w:vAlign w:val="center"/>
          </w:tcPr>
          <w:p>
            <w:pPr>
              <w:widowControl/>
              <w:jc w:val="center"/>
              <w:rPr>
                <w:rFonts w:ascii="黑体" w:hAnsi="黑体" w:eastAsia="黑体" w:cs="宋体"/>
                <w:color w:val="000000"/>
                <w:kern w:val="0"/>
                <w:szCs w:val="21"/>
              </w:rPr>
            </w:pPr>
            <w:r>
              <w:rPr>
                <w:rFonts w:hint="eastAsia" w:ascii="黑体" w:hAnsi="黑体" w:eastAsia="黑体" w:cs="宋体"/>
                <w:color w:val="000000"/>
                <w:kern w:val="0"/>
                <w:szCs w:val="21"/>
              </w:rPr>
              <w:t>需求级别</w:t>
            </w:r>
          </w:p>
        </w:tc>
      </w:tr>
      <w:tr>
        <w:tblPrEx>
          <w:tblCellMar>
            <w:top w:w="0" w:type="dxa"/>
            <w:left w:w="108" w:type="dxa"/>
            <w:bottom w:w="0" w:type="dxa"/>
            <w:right w:w="108" w:type="dxa"/>
          </w:tblCellMar>
        </w:tblPrEx>
        <w:trPr>
          <w:trHeight w:val="510"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鉴权</w:t>
            </w: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lang w:val="en-US" w:eastAsia="zh-CN"/>
              </w:rPr>
              <w:t>鉴权</w:t>
            </w:r>
          </w:p>
        </w:tc>
        <w:tc>
          <w:tcPr>
            <w:tcW w:w="4282" w:type="dxa"/>
            <w:tcBorders>
              <w:top w:val="nil"/>
              <w:left w:val="nil"/>
              <w:bottom w:val="single" w:color="auto" w:sz="4" w:space="0"/>
              <w:right w:val="single" w:color="auto" w:sz="4" w:space="0"/>
            </w:tcBorders>
            <w:shd w:val="clear" w:color="auto" w:fill="auto"/>
            <w:vAlign w:val="center"/>
          </w:tcPr>
          <w:p>
            <w:pPr>
              <w:widowControl/>
              <w:numPr>
                <w:ilvl w:val="0"/>
                <w:numId w:val="4"/>
              </w:numPr>
            </w:pPr>
            <w:r>
              <w:t>签名 方式 目前先采用简单方式MD5 数据提供方提供商户id 作为salt</w:t>
            </w:r>
          </w:p>
          <w:p>
            <w:pPr>
              <w:pStyle w:val="2"/>
              <w:numPr>
                <w:numId w:val="0"/>
              </w:numPr>
              <w:rPr>
                <w:rFonts w:hint="default" w:eastAsia="宋体"/>
                <w:lang w:val="en-US" w:eastAsia="zh-CN"/>
              </w:rPr>
            </w:pPr>
            <w:r>
              <w:rPr>
                <w:rFonts w:hint="eastAsia"/>
                <w:lang w:val="en-US" w:eastAsia="zh-CN"/>
              </w:rPr>
              <w:t>2.</w:t>
            </w:r>
            <w:r>
              <w:rPr>
                <w:rFonts w:ascii="Segoe UI" w:hAnsi="Segoe UI" w:eastAsia="Segoe UI" w:cs="Segoe UI"/>
                <w:i w:val="0"/>
                <w:iCs w:val="0"/>
                <w:caps w:val="0"/>
                <w:spacing w:val="0"/>
                <w:sz w:val="21"/>
                <w:szCs w:val="21"/>
                <w:shd w:val="clear" w:fill="FFFFFF"/>
              </w:rPr>
              <w:t>按照auth2 协议规范 授权 获取令牌 进行请求源数据</w:t>
            </w: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r>
        <w:tblPrEx>
          <w:tblCellMar>
            <w:top w:w="0" w:type="dxa"/>
            <w:left w:w="108" w:type="dxa"/>
            <w:bottom w:w="0" w:type="dxa"/>
            <w:right w:w="108" w:type="dxa"/>
          </w:tblCellMar>
        </w:tblPrEx>
        <w:trPr>
          <w:trHeight w:val="660"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F-2</w:t>
            </w:r>
          </w:p>
        </w:tc>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eastAsia="zh-CN"/>
              </w:rPr>
              <w:t>推送数据历史记录</w:t>
            </w: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eastAsia="zh-CN"/>
              </w:rPr>
              <w:t>实时数据推送历史查询</w:t>
            </w:r>
          </w:p>
        </w:tc>
        <w:tc>
          <w:tcPr>
            <w:tcW w:w="4282"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eastAsia="zh-CN"/>
              </w:rPr>
              <w:t>推送心率、血氧、</w:t>
            </w:r>
            <w:r>
              <w:rPr>
                <w:rFonts w:hint="eastAsia" w:ascii="宋体" w:hAnsi="宋体" w:cs="宋体"/>
                <w:color w:val="000000"/>
                <w:kern w:val="0"/>
                <w:szCs w:val="21"/>
                <w:lang w:val="en-US" w:eastAsia="zh-CN"/>
              </w:rPr>
              <w:t>GPS数据</w:t>
            </w: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r>
        <w:tblPrEx>
          <w:tblCellMar>
            <w:top w:w="0" w:type="dxa"/>
            <w:left w:w="108" w:type="dxa"/>
            <w:bottom w:w="0" w:type="dxa"/>
            <w:right w:w="108" w:type="dxa"/>
          </w:tblCellMar>
        </w:tblPrEx>
        <w:trPr>
          <w:trHeight w:val="765"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F-3</w:t>
            </w:r>
          </w:p>
        </w:tc>
        <w:tc>
          <w:tcPr>
            <w:tcW w:w="1080"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lang w:eastAsia="zh-CN"/>
              </w:rPr>
              <w:t>推送数据历史记录</w:t>
            </w: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eastAsia="zh-CN"/>
              </w:rPr>
              <w:t>报警信息推送历史查询</w:t>
            </w:r>
          </w:p>
        </w:tc>
        <w:tc>
          <w:tcPr>
            <w:tcW w:w="4282"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eastAsia="zh-CN"/>
              </w:rPr>
              <w:t>推送客户端</w:t>
            </w:r>
            <w:r>
              <w:rPr>
                <w:rFonts w:hint="eastAsia" w:ascii="宋体" w:hAnsi="宋体" w:cs="宋体"/>
                <w:color w:val="000000"/>
                <w:kern w:val="0"/>
                <w:szCs w:val="21"/>
                <w:lang w:val="en-US" w:eastAsia="zh-CN"/>
              </w:rPr>
              <w:t>ID，报警消息类型、报警信息</w:t>
            </w: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r>
        <w:tblPrEx>
          <w:tblCellMar>
            <w:top w:w="0" w:type="dxa"/>
            <w:left w:w="108" w:type="dxa"/>
            <w:bottom w:w="0" w:type="dxa"/>
            <w:right w:w="108" w:type="dxa"/>
          </w:tblCellMar>
        </w:tblPrEx>
        <w:trPr>
          <w:trHeight w:val="765"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F-4</w:t>
            </w:r>
          </w:p>
        </w:tc>
        <w:tc>
          <w:tcPr>
            <w:tcW w:w="1080"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lang w:eastAsia="zh-CN"/>
              </w:rPr>
              <w:t>推送数据历史记录</w:t>
            </w: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eastAsia="zh-CN"/>
              </w:rPr>
              <w:t>设备状态推送历史查询</w:t>
            </w:r>
          </w:p>
        </w:tc>
        <w:tc>
          <w:tcPr>
            <w:tcW w:w="4282"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lang w:eastAsia="zh-CN"/>
              </w:rPr>
              <w:t>推送客户端</w:t>
            </w:r>
            <w:r>
              <w:rPr>
                <w:rFonts w:hint="eastAsia" w:ascii="宋体" w:hAnsi="宋体" w:cs="宋体"/>
                <w:color w:val="000000"/>
                <w:kern w:val="0"/>
                <w:szCs w:val="21"/>
                <w:lang w:val="en-US" w:eastAsia="zh-CN"/>
              </w:rPr>
              <w:t>ID，设备状态、时间</w:t>
            </w: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r>
        <w:tblPrEx>
          <w:tblCellMar>
            <w:top w:w="0" w:type="dxa"/>
            <w:left w:w="108" w:type="dxa"/>
            <w:bottom w:w="0" w:type="dxa"/>
            <w:right w:w="108" w:type="dxa"/>
          </w:tblCellMar>
        </w:tblPrEx>
        <w:trPr>
          <w:trHeight w:val="576"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F-5</w:t>
            </w:r>
          </w:p>
        </w:tc>
        <w:tc>
          <w:tcPr>
            <w:tcW w:w="1080" w:type="dxa"/>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eastAsia="zh-CN"/>
              </w:rPr>
              <w:t>实时数据推送</w:t>
            </w: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eastAsia="zh-CN"/>
              </w:rPr>
              <w:t>实时数据接口</w:t>
            </w:r>
          </w:p>
        </w:tc>
        <w:tc>
          <w:tcPr>
            <w:tcW w:w="4282" w:type="dxa"/>
            <w:tcBorders>
              <w:top w:val="nil"/>
              <w:left w:val="nil"/>
              <w:bottom w:val="single" w:color="auto" w:sz="4" w:space="0"/>
              <w:right w:val="single" w:color="auto" w:sz="4" w:space="0"/>
            </w:tcBorders>
            <w:shd w:val="clear" w:color="auto" w:fill="auto"/>
            <w:vAlign w:val="center"/>
          </w:tcPr>
          <w:p>
            <w:pPr>
              <w:widowControl/>
              <w:numPr>
                <w:ilvl w:val="0"/>
                <w:numId w:val="5"/>
              </w:num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设备状态：设备id,设备状态、时间；</w:t>
            </w:r>
          </w:p>
          <w:p>
            <w:pPr>
              <w:widowControl/>
              <w:numPr>
                <w:ilvl w:val="0"/>
                <w:numId w:val="5"/>
              </w:numP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实时数据：心率、血氧、定位、时间；</w:t>
            </w:r>
          </w:p>
          <w:p>
            <w:pPr>
              <w:widowControl/>
              <w:numPr>
                <w:ilvl w:val="0"/>
                <w:numId w:val="5"/>
              </w:numPr>
              <w:rPr>
                <w:rFonts w:hint="default" w:ascii="宋体" w:hAnsi="宋体" w:eastAsia="宋体" w:cs="宋体"/>
                <w:color w:val="000000"/>
                <w:kern w:val="0"/>
                <w:szCs w:val="21"/>
                <w:lang w:val="en-US" w:eastAsia="zh-CN"/>
              </w:rPr>
            </w:pPr>
            <w:bookmarkStart w:id="0" w:name="_GoBack"/>
            <w:bookmarkEnd w:id="0"/>
            <w:r>
              <w:rPr>
                <w:rFonts w:hint="eastAsia" w:ascii="宋体" w:hAnsi="宋体" w:cs="宋体"/>
                <w:color w:val="000000"/>
                <w:kern w:val="0"/>
                <w:szCs w:val="21"/>
                <w:lang w:val="en-US" w:eastAsia="zh-CN"/>
              </w:rPr>
              <w:t>报警信息：设备id、报警消息类型，消息内容</w:t>
            </w: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r>
        <w:tblPrEx>
          <w:tblCellMar>
            <w:top w:w="0" w:type="dxa"/>
            <w:left w:w="108" w:type="dxa"/>
            <w:bottom w:w="0" w:type="dxa"/>
            <w:right w:w="108" w:type="dxa"/>
          </w:tblCellMar>
        </w:tblPrEx>
        <w:trPr>
          <w:trHeight w:val="624"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F-6</w:t>
            </w:r>
          </w:p>
        </w:tc>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p>
        </w:tc>
        <w:tc>
          <w:tcPr>
            <w:tcW w:w="4282"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Cs w:val="21"/>
              </w:rPr>
            </w:pP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r>
        <w:tblPrEx>
          <w:tblCellMar>
            <w:top w:w="0" w:type="dxa"/>
            <w:left w:w="108" w:type="dxa"/>
            <w:bottom w:w="0" w:type="dxa"/>
            <w:right w:w="108" w:type="dxa"/>
          </w:tblCellMar>
        </w:tblPrEx>
        <w:trPr>
          <w:trHeight w:val="510" w:hRule="atLeast"/>
          <w:jc w:val="center"/>
        </w:trPr>
        <w:tc>
          <w:tcPr>
            <w:tcW w:w="7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F-7</w:t>
            </w:r>
          </w:p>
        </w:tc>
        <w:tc>
          <w:tcPr>
            <w:tcW w:w="1080" w:type="dxa"/>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73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p>
        </w:tc>
        <w:tc>
          <w:tcPr>
            <w:tcW w:w="4282"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000000"/>
                <w:kern w:val="0"/>
                <w:szCs w:val="21"/>
              </w:rPr>
            </w:pPr>
          </w:p>
        </w:tc>
        <w:tc>
          <w:tcPr>
            <w:tcW w:w="15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■高□中□低</w:t>
            </w:r>
          </w:p>
        </w:tc>
      </w:tr>
    </w:tbl>
    <w:p>
      <w:pPr>
        <w:pStyle w:val="2"/>
        <w:ind w:firstLine="480"/>
        <w:rPr>
          <w:sz w:val="24"/>
          <w:szCs w:val="32"/>
        </w:rPr>
      </w:pPr>
    </w:p>
    <w:p>
      <w:pPr>
        <w:pStyle w:val="2"/>
        <w:ind w:firstLine="480"/>
        <w:rPr>
          <w:sz w:val="24"/>
          <w:szCs w:val="32"/>
        </w:rPr>
      </w:pPr>
      <w:r>
        <w:rPr>
          <w:rFonts w:hint="eastAsia"/>
          <w:sz w:val="24"/>
          <w:szCs w:val="32"/>
        </w:rPr>
        <w:t>（</w:t>
      </w:r>
      <w:r>
        <w:rPr>
          <w:sz w:val="24"/>
          <w:szCs w:val="32"/>
        </w:rPr>
        <w:t>以下无正文）</w:t>
      </w:r>
    </w:p>
    <w:p>
      <w:pPr>
        <w:pStyle w:val="2"/>
        <w:spacing w:line="360" w:lineRule="auto"/>
        <w:ind w:firstLine="0" w:firstLineChars="0"/>
        <w:rPr>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10022FF" w:usb1="C000E47F" w:usb2="00000029" w:usb3="00000000" w:csb0="200001DF" w:csb1="2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4F00E"/>
    <w:multiLevelType w:val="singleLevel"/>
    <w:tmpl w:val="9904F00E"/>
    <w:lvl w:ilvl="0" w:tentative="0">
      <w:start w:val="1"/>
      <w:numFmt w:val="decimal"/>
      <w:lvlText w:val="%1."/>
      <w:lvlJc w:val="left"/>
      <w:pPr>
        <w:tabs>
          <w:tab w:val="left" w:pos="312"/>
        </w:tabs>
      </w:pPr>
    </w:lvl>
  </w:abstractNum>
  <w:abstractNum w:abstractNumId="1">
    <w:nsid w:val="CE45BEA3"/>
    <w:multiLevelType w:val="singleLevel"/>
    <w:tmpl w:val="CE45BEA3"/>
    <w:lvl w:ilvl="0" w:tentative="0">
      <w:start w:val="1"/>
      <w:numFmt w:val="decimal"/>
      <w:suff w:val="space"/>
      <w:lvlText w:val="%1."/>
      <w:lvlJc w:val="left"/>
    </w:lvl>
  </w:abstractNum>
  <w:abstractNum w:abstractNumId="2">
    <w:nsid w:val="E570DD10"/>
    <w:multiLevelType w:val="singleLevel"/>
    <w:tmpl w:val="E570DD10"/>
    <w:lvl w:ilvl="0" w:tentative="0">
      <w:start w:val="1"/>
      <w:numFmt w:val="chineseCounting"/>
      <w:suff w:val="space"/>
      <w:lvlText w:val="%1、"/>
      <w:lvlJc w:val="left"/>
      <w:rPr>
        <w:rFonts w:hint="eastAsia"/>
      </w:rPr>
    </w:lvl>
  </w:abstractNum>
  <w:abstractNum w:abstractNumId="3">
    <w:nsid w:val="00000004"/>
    <w:multiLevelType w:val="multilevel"/>
    <w:tmpl w:val="00000004"/>
    <w:lvl w:ilvl="0" w:tentative="0">
      <w:start w:val="1"/>
      <w:numFmt w:val="decimal"/>
      <w:suff w:val="space"/>
      <w:lvlText w:val="%1、"/>
      <w:lvlJc w:val="left"/>
      <w:pPr>
        <w:ind w:left="879" w:hanging="454"/>
      </w:pPr>
      <w:rPr>
        <w:rFonts w:hint="eastAsia"/>
      </w:rPr>
    </w:lvl>
    <w:lvl w:ilvl="1" w:tentative="0">
      <w:start w:val="1"/>
      <w:numFmt w:val="lowerLetter"/>
      <w:lvlText w:val="%2)"/>
      <w:lvlJc w:val="left"/>
      <w:pPr>
        <w:tabs>
          <w:tab w:val="left" w:pos="1152"/>
        </w:tabs>
        <w:ind w:left="1152" w:hanging="420"/>
      </w:pPr>
    </w:lvl>
    <w:lvl w:ilvl="2" w:tentative="0">
      <w:start w:val="1"/>
      <w:numFmt w:val="lowerRoman"/>
      <w:lvlText w:val="%3."/>
      <w:lvlJc w:val="right"/>
      <w:pPr>
        <w:tabs>
          <w:tab w:val="left" w:pos="1572"/>
        </w:tabs>
        <w:ind w:left="1572" w:hanging="420"/>
      </w:pPr>
    </w:lvl>
    <w:lvl w:ilvl="3" w:tentative="0">
      <w:start w:val="1"/>
      <w:numFmt w:val="decimal"/>
      <w:lvlText w:val="%4."/>
      <w:lvlJc w:val="left"/>
      <w:pPr>
        <w:tabs>
          <w:tab w:val="left" w:pos="1992"/>
        </w:tabs>
        <w:ind w:left="1992" w:hanging="420"/>
      </w:pPr>
    </w:lvl>
    <w:lvl w:ilvl="4" w:tentative="0">
      <w:start w:val="1"/>
      <w:numFmt w:val="lowerLetter"/>
      <w:lvlText w:val="%5)"/>
      <w:lvlJc w:val="left"/>
      <w:pPr>
        <w:tabs>
          <w:tab w:val="left" w:pos="2412"/>
        </w:tabs>
        <w:ind w:left="2412" w:hanging="420"/>
      </w:pPr>
    </w:lvl>
    <w:lvl w:ilvl="5" w:tentative="0">
      <w:start w:val="1"/>
      <w:numFmt w:val="lowerRoman"/>
      <w:lvlText w:val="%6."/>
      <w:lvlJc w:val="right"/>
      <w:pPr>
        <w:tabs>
          <w:tab w:val="left" w:pos="2832"/>
        </w:tabs>
        <w:ind w:left="2832" w:hanging="420"/>
      </w:pPr>
    </w:lvl>
    <w:lvl w:ilvl="6" w:tentative="0">
      <w:start w:val="1"/>
      <w:numFmt w:val="decimal"/>
      <w:lvlText w:val="%7."/>
      <w:lvlJc w:val="left"/>
      <w:pPr>
        <w:tabs>
          <w:tab w:val="left" w:pos="3252"/>
        </w:tabs>
        <w:ind w:left="3252" w:hanging="420"/>
      </w:pPr>
    </w:lvl>
    <w:lvl w:ilvl="7" w:tentative="0">
      <w:start w:val="1"/>
      <w:numFmt w:val="lowerLetter"/>
      <w:lvlText w:val="%8)"/>
      <w:lvlJc w:val="left"/>
      <w:pPr>
        <w:tabs>
          <w:tab w:val="left" w:pos="3672"/>
        </w:tabs>
        <w:ind w:left="3672" w:hanging="420"/>
      </w:pPr>
    </w:lvl>
    <w:lvl w:ilvl="8" w:tentative="0">
      <w:start w:val="1"/>
      <w:numFmt w:val="lowerRoman"/>
      <w:lvlText w:val="%9."/>
      <w:lvlJc w:val="right"/>
      <w:pPr>
        <w:tabs>
          <w:tab w:val="left" w:pos="4092"/>
        </w:tabs>
        <w:ind w:left="4092" w:hanging="420"/>
      </w:pPr>
    </w:lvl>
  </w:abstractNum>
  <w:abstractNum w:abstractNumId="4">
    <w:nsid w:val="00000022"/>
    <w:multiLevelType w:val="multilevel"/>
    <w:tmpl w:val="00000022"/>
    <w:lvl w:ilvl="0" w:tentative="0">
      <w:start w:val="1"/>
      <w:numFmt w:val="decimal"/>
      <w:suff w:val="space"/>
      <w:lvlText w:val="%1、"/>
      <w:lvlJc w:val="left"/>
      <w:pPr>
        <w:ind w:left="567" w:hanging="454"/>
      </w:pPr>
      <w:rPr>
        <w:rFonts w:hint="eastAsia"/>
      </w:rPr>
    </w:lvl>
    <w:lvl w:ilvl="1" w:tentative="0">
      <w:start w:val="1"/>
      <w:numFmt w:val="decimal"/>
      <w:lvlText w:val="（%2）"/>
      <w:lvlJc w:val="left"/>
      <w:pPr>
        <w:tabs>
          <w:tab w:val="left" w:pos="0"/>
        </w:tabs>
        <w:ind w:left="1134" w:hanging="714"/>
      </w:pPr>
      <w:rPr>
        <w:rFonts w:hint="eastAsia" w:ascii="宋体" w:hAnsi="宋体" w:eastAsia="宋体"/>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VjNTY0OTYxMjMzOGNiMmIyMjliNmIzZGZjYzQ5NGQifQ=="/>
  </w:docVars>
  <w:rsids>
    <w:rsidRoot w:val="00936196"/>
    <w:rsid w:val="00010E49"/>
    <w:rsid w:val="00082A37"/>
    <w:rsid w:val="000D3941"/>
    <w:rsid w:val="000F079C"/>
    <w:rsid w:val="001508A7"/>
    <w:rsid w:val="00166D91"/>
    <w:rsid w:val="00172DC4"/>
    <w:rsid w:val="00194779"/>
    <w:rsid w:val="001A6AE4"/>
    <w:rsid w:val="001B21E1"/>
    <w:rsid w:val="001D7F43"/>
    <w:rsid w:val="001F1224"/>
    <w:rsid w:val="001F7A89"/>
    <w:rsid w:val="00231E25"/>
    <w:rsid w:val="002706C6"/>
    <w:rsid w:val="002A40EA"/>
    <w:rsid w:val="002A7574"/>
    <w:rsid w:val="002B1CD0"/>
    <w:rsid w:val="002C30AB"/>
    <w:rsid w:val="002F4CE5"/>
    <w:rsid w:val="00336CFD"/>
    <w:rsid w:val="0035261A"/>
    <w:rsid w:val="003551ED"/>
    <w:rsid w:val="00374A52"/>
    <w:rsid w:val="0037594D"/>
    <w:rsid w:val="00391077"/>
    <w:rsid w:val="003A329A"/>
    <w:rsid w:val="003B60ED"/>
    <w:rsid w:val="003C5E74"/>
    <w:rsid w:val="003F5A9D"/>
    <w:rsid w:val="00432B07"/>
    <w:rsid w:val="00434967"/>
    <w:rsid w:val="004917F6"/>
    <w:rsid w:val="00492EF2"/>
    <w:rsid w:val="0050473E"/>
    <w:rsid w:val="00511B40"/>
    <w:rsid w:val="00533E18"/>
    <w:rsid w:val="0054136D"/>
    <w:rsid w:val="00544613"/>
    <w:rsid w:val="00584F20"/>
    <w:rsid w:val="005A175C"/>
    <w:rsid w:val="005B7958"/>
    <w:rsid w:val="00614963"/>
    <w:rsid w:val="00617AD7"/>
    <w:rsid w:val="00637A9B"/>
    <w:rsid w:val="00654782"/>
    <w:rsid w:val="0066252D"/>
    <w:rsid w:val="006B7959"/>
    <w:rsid w:val="007026F1"/>
    <w:rsid w:val="007324C0"/>
    <w:rsid w:val="007704E6"/>
    <w:rsid w:val="007A57F7"/>
    <w:rsid w:val="007B1A25"/>
    <w:rsid w:val="007E3268"/>
    <w:rsid w:val="00800E9B"/>
    <w:rsid w:val="00816640"/>
    <w:rsid w:val="00863683"/>
    <w:rsid w:val="00883A42"/>
    <w:rsid w:val="00884E41"/>
    <w:rsid w:val="00887176"/>
    <w:rsid w:val="00894A37"/>
    <w:rsid w:val="008B047A"/>
    <w:rsid w:val="008C187A"/>
    <w:rsid w:val="008E27DA"/>
    <w:rsid w:val="008F7329"/>
    <w:rsid w:val="009137FA"/>
    <w:rsid w:val="00926702"/>
    <w:rsid w:val="00936196"/>
    <w:rsid w:val="009467BF"/>
    <w:rsid w:val="009524A7"/>
    <w:rsid w:val="00964CDE"/>
    <w:rsid w:val="009A3C45"/>
    <w:rsid w:val="009D2F4C"/>
    <w:rsid w:val="009D7C8A"/>
    <w:rsid w:val="009E0658"/>
    <w:rsid w:val="009F4ACC"/>
    <w:rsid w:val="00A107A6"/>
    <w:rsid w:val="00A2477A"/>
    <w:rsid w:val="00A247B7"/>
    <w:rsid w:val="00A44BF0"/>
    <w:rsid w:val="00A4560E"/>
    <w:rsid w:val="00A63DC4"/>
    <w:rsid w:val="00A759FC"/>
    <w:rsid w:val="00A86122"/>
    <w:rsid w:val="00AB7140"/>
    <w:rsid w:val="00AC1613"/>
    <w:rsid w:val="00AD58DE"/>
    <w:rsid w:val="00AF58A6"/>
    <w:rsid w:val="00B00D76"/>
    <w:rsid w:val="00B60024"/>
    <w:rsid w:val="00B77786"/>
    <w:rsid w:val="00BC0D72"/>
    <w:rsid w:val="00BC2571"/>
    <w:rsid w:val="00C26DBB"/>
    <w:rsid w:val="00C345DD"/>
    <w:rsid w:val="00C87002"/>
    <w:rsid w:val="00C9254D"/>
    <w:rsid w:val="00CB2217"/>
    <w:rsid w:val="00CB5FB4"/>
    <w:rsid w:val="00CC4D6C"/>
    <w:rsid w:val="00CD1C8E"/>
    <w:rsid w:val="00D01E50"/>
    <w:rsid w:val="00D444C2"/>
    <w:rsid w:val="00D53763"/>
    <w:rsid w:val="00D57658"/>
    <w:rsid w:val="00D6581A"/>
    <w:rsid w:val="00D912C8"/>
    <w:rsid w:val="00DA1CB4"/>
    <w:rsid w:val="00DF4431"/>
    <w:rsid w:val="00E02E1F"/>
    <w:rsid w:val="00E154AA"/>
    <w:rsid w:val="00E95394"/>
    <w:rsid w:val="00EA2554"/>
    <w:rsid w:val="00EB675D"/>
    <w:rsid w:val="00F06693"/>
    <w:rsid w:val="00F33391"/>
    <w:rsid w:val="00F410CB"/>
    <w:rsid w:val="00F53DF3"/>
    <w:rsid w:val="00F731C2"/>
    <w:rsid w:val="00F9367F"/>
    <w:rsid w:val="00FE476C"/>
    <w:rsid w:val="090817FD"/>
    <w:rsid w:val="0A422F79"/>
    <w:rsid w:val="11CB205D"/>
    <w:rsid w:val="17DC459D"/>
    <w:rsid w:val="1EDB4555"/>
    <w:rsid w:val="29D36565"/>
    <w:rsid w:val="2BCF4F12"/>
    <w:rsid w:val="2DC1732A"/>
    <w:rsid w:val="33AC58EB"/>
    <w:rsid w:val="39D70D19"/>
    <w:rsid w:val="40714A07"/>
    <w:rsid w:val="4326629C"/>
    <w:rsid w:val="483E6094"/>
    <w:rsid w:val="4BDA07C1"/>
    <w:rsid w:val="54966712"/>
    <w:rsid w:val="5AA63D51"/>
    <w:rsid w:val="5C100249"/>
    <w:rsid w:val="5D8C77A0"/>
    <w:rsid w:val="60CB2F43"/>
    <w:rsid w:val="61815AC7"/>
    <w:rsid w:val="64596EBA"/>
    <w:rsid w:val="6460175B"/>
    <w:rsid w:val="64E772B1"/>
    <w:rsid w:val="678E00BB"/>
    <w:rsid w:val="6C97719B"/>
    <w:rsid w:val="7C41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4">
    <w:name w:val="annotation text"/>
    <w:basedOn w:val="1"/>
    <w:link w:val="20"/>
    <w:qFormat/>
    <w:uiPriority w:val="0"/>
    <w:pPr>
      <w:jc w:val="left"/>
    </w:pPr>
  </w:style>
  <w:style w:type="paragraph" w:styleId="5">
    <w:name w:val="Body Text"/>
    <w:basedOn w:val="1"/>
    <w:link w:val="22"/>
    <w:qFormat/>
    <w:uiPriority w:val="1"/>
    <w:pPr>
      <w:autoSpaceDE w:val="0"/>
      <w:autoSpaceDN w:val="0"/>
      <w:jc w:val="left"/>
    </w:pPr>
    <w:rPr>
      <w:rFonts w:ascii="宋体" w:hAnsi="宋体" w:cs="宋体"/>
      <w:kern w:val="0"/>
      <w:szCs w:val="21"/>
      <w:lang w:val="zh-CN" w:bidi="zh-CN"/>
    </w:rPr>
  </w:style>
  <w:style w:type="paragraph" w:styleId="6">
    <w:name w:val="Plain Text"/>
    <w:basedOn w:val="1"/>
    <w:qFormat/>
    <w:uiPriority w:val="0"/>
    <w:rPr>
      <w:rFonts w:ascii="宋体" w:hAnsi="Courier New"/>
      <w:szCs w:val="20"/>
    </w:rPr>
  </w:style>
  <w:style w:type="paragraph" w:styleId="7">
    <w:name w:val="Balloon Text"/>
    <w:basedOn w:val="1"/>
    <w:link w:val="19"/>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4"/>
    <w:next w:val="4"/>
    <w:link w:val="21"/>
    <w:uiPriority w:val="0"/>
    <w:rPr>
      <w:b/>
      <w:bCs/>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uiPriority w:val="0"/>
    <w:rPr>
      <w:sz w:val="21"/>
      <w:szCs w:val="21"/>
    </w:rPr>
  </w:style>
  <w:style w:type="paragraph" w:customStyle="1" w:styleId="15">
    <w:name w:val="A正文四号"/>
    <w:basedOn w:val="1"/>
    <w:qFormat/>
    <w:uiPriority w:val="0"/>
    <w:pPr>
      <w:spacing w:line="360" w:lineRule="auto"/>
      <w:ind w:firstLine="200" w:firstLineChars="200"/>
    </w:pPr>
    <w:rPr>
      <w:rFonts w:ascii="等线" w:hAnsi="等线" w:eastAsia="等线"/>
      <w:sz w:val="28"/>
      <w:szCs w:val="28"/>
    </w:rPr>
  </w:style>
  <w:style w:type="table" w:customStyle="1" w:styleId="16">
    <w:name w:val="标书网格型表格正文1"/>
    <w:basedOn w:val="11"/>
    <w:qFormat/>
    <w:uiPriority w:val="0"/>
    <w:rPr>
      <w:sz w:val="24"/>
      <w:szCs w:val="24"/>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字符"/>
    <w:basedOn w:val="13"/>
    <w:link w:val="9"/>
    <w:uiPriority w:val="0"/>
    <w:rPr>
      <w:rFonts w:ascii="Times New Roman" w:hAnsi="Times New Roman" w:eastAsia="宋体" w:cs="Times New Roman"/>
      <w:kern w:val="2"/>
      <w:sz w:val="18"/>
      <w:szCs w:val="18"/>
    </w:rPr>
  </w:style>
  <w:style w:type="character" w:customStyle="1" w:styleId="18">
    <w:name w:val="页脚 字符"/>
    <w:basedOn w:val="13"/>
    <w:link w:val="8"/>
    <w:qFormat/>
    <w:uiPriority w:val="0"/>
    <w:rPr>
      <w:rFonts w:ascii="Times New Roman" w:hAnsi="Times New Roman" w:eastAsia="宋体" w:cs="Times New Roman"/>
      <w:kern w:val="2"/>
      <w:sz w:val="18"/>
      <w:szCs w:val="18"/>
    </w:rPr>
  </w:style>
  <w:style w:type="character" w:customStyle="1" w:styleId="19">
    <w:name w:val="批注框文本 字符"/>
    <w:basedOn w:val="13"/>
    <w:link w:val="7"/>
    <w:qFormat/>
    <w:uiPriority w:val="0"/>
    <w:rPr>
      <w:rFonts w:ascii="Times New Roman" w:hAnsi="Times New Roman" w:eastAsia="宋体" w:cs="Times New Roman"/>
      <w:kern w:val="2"/>
      <w:sz w:val="18"/>
      <w:szCs w:val="18"/>
    </w:rPr>
  </w:style>
  <w:style w:type="character" w:customStyle="1" w:styleId="20">
    <w:name w:val="批注文字 字符"/>
    <w:basedOn w:val="13"/>
    <w:link w:val="4"/>
    <w:uiPriority w:val="0"/>
    <w:rPr>
      <w:rFonts w:ascii="Times New Roman" w:hAnsi="Times New Roman" w:eastAsia="宋体" w:cs="Times New Roman"/>
      <w:kern w:val="2"/>
      <w:sz w:val="21"/>
      <w:szCs w:val="24"/>
    </w:rPr>
  </w:style>
  <w:style w:type="character" w:customStyle="1" w:styleId="21">
    <w:name w:val="批注主题 字符"/>
    <w:basedOn w:val="20"/>
    <w:link w:val="10"/>
    <w:uiPriority w:val="0"/>
    <w:rPr>
      <w:rFonts w:ascii="Times New Roman" w:hAnsi="Times New Roman" w:eastAsia="宋体" w:cs="Times New Roman"/>
      <w:b/>
      <w:bCs/>
      <w:kern w:val="2"/>
      <w:sz w:val="21"/>
      <w:szCs w:val="24"/>
    </w:rPr>
  </w:style>
  <w:style w:type="character" w:customStyle="1" w:styleId="22">
    <w:name w:val="正文文本 字符"/>
    <w:basedOn w:val="13"/>
    <w:link w:val="5"/>
    <w:uiPriority w:val="1"/>
    <w:rPr>
      <w:rFonts w:ascii="宋体" w:hAnsi="宋体" w:eastAsia="宋体" w:cs="宋体"/>
      <w:sz w:val="21"/>
      <w:szCs w:val="21"/>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829</Words>
  <Characters>4727</Characters>
  <Lines>39</Lines>
  <Paragraphs>11</Paragraphs>
  <TotalTime>5</TotalTime>
  <ScaleCrop>false</ScaleCrop>
  <LinksUpToDate>false</LinksUpToDate>
  <CharactersWithSpaces>5545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2021-01-14T09:28:00Z</dcterms:created>
  <dc:creator>hmx</dc:creator>
  <cp:lastModifiedBy>柳zhen</cp:lastModifiedBy>
  <cp:lastPrinted>2021-01-07T02:40:00Z</cp:lastPrinted>
  <dcterms:modified xsi:type="dcterms:W3CDTF">2022-08-05T07:23:36Z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BE6998C9F1D64A1A8025B3278ED4EB5A</vt:lpwstr>
  </property>
</Properties>
</file>