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92F" w:rsidRDefault="00F6192F">
      <w:pPr>
        <w:spacing w:afterLines="100" w:after="312"/>
        <w:jc w:val="center"/>
        <w:rPr>
          <w:rFonts w:ascii="方正小标宋简体" w:eastAsia="方正小标宋简体" w:hAnsi="黑体"/>
          <w:bCs/>
          <w:sz w:val="36"/>
          <w:szCs w:val="36"/>
        </w:rPr>
      </w:pPr>
    </w:p>
    <w:p w:rsidR="00F6192F" w:rsidRDefault="00B016F4">
      <w:pPr>
        <w:spacing w:afterLines="100" w:after="312"/>
        <w:jc w:val="center"/>
        <w:rPr>
          <w:rFonts w:ascii="方正小标宋简体" w:eastAsia="方正小标宋简体" w:hAnsi="黑体"/>
          <w:sz w:val="36"/>
          <w:szCs w:val="36"/>
        </w:rPr>
      </w:pPr>
      <w:r>
        <w:rPr>
          <w:rFonts w:ascii="方正小标宋简体" w:eastAsia="方正小标宋简体" w:hAnsi="黑体" w:hint="eastAsia"/>
          <w:bCs/>
          <w:sz w:val="36"/>
          <w:szCs w:val="36"/>
        </w:rPr>
        <w:t>202</w:t>
      </w:r>
      <w:r>
        <w:rPr>
          <w:rFonts w:ascii="方正小标宋简体" w:eastAsia="方正小标宋简体" w:hAnsi="黑体"/>
          <w:bCs/>
          <w:sz w:val="36"/>
          <w:szCs w:val="36"/>
        </w:rPr>
        <w:t>2</w:t>
      </w:r>
      <w:r>
        <w:rPr>
          <w:rFonts w:ascii="方正小标宋简体" w:eastAsia="方正小标宋简体" w:hAnsi="黑体" w:hint="eastAsia"/>
          <w:bCs/>
          <w:sz w:val="36"/>
          <w:szCs w:val="36"/>
        </w:rPr>
        <w:t>年能源行业标准计划立项指南</w:t>
      </w:r>
    </w:p>
    <w:p w:rsidR="00F6192F" w:rsidRDefault="00B016F4">
      <w:pPr>
        <w:ind w:firstLine="600"/>
        <w:rPr>
          <w:rFonts w:ascii="仿宋_GB2312" w:eastAsia="仿宋_GB2312"/>
          <w:sz w:val="32"/>
          <w:szCs w:val="32"/>
        </w:rPr>
      </w:pPr>
      <w:r>
        <w:rPr>
          <w:rFonts w:ascii="仿宋_GB2312" w:eastAsia="仿宋_GB2312" w:hint="eastAsia"/>
          <w:sz w:val="32"/>
          <w:szCs w:val="32"/>
        </w:rPr>
        <w:t>为指导能源标准化技术组织及有关单位做好202</w:t>
      </w:r>
      <w:r>
        <w:rPr>
          <w:rFonts w:ascii="仿宋_GB2312" w:eastAsia="仿宋_GB2312"/>
          <w:sz w:val="32"/>
          <w:szCs w:val="32"/>
        </w:rPr>
        <w:t>2</w:t>
      </w:r>
      <w:r>
        <w:rPr>
          <w:rFonts w:ascii="仿宋_GB2312" w:eastAsia="仿宋_GB2312" w:hint="eastAsia"/>
          <w:sz w:val="32"/>
          <w:szCs w:val="32"/>
        </w:rPr>
        <w:t>年能源行业标准计划（</w:t>
      </w:r>
      <w:proofErr w:type="gramStart"/>
      <w:r>
        <w:rPr>
          <w:rFonts w:ascii="仿宋_GB2312" w:eastAsia="仿宋_GB2312" w:hint="eastAsia"/>
          <w:sz w:val="32"/>
          <w:szCs w:val="32"/>
        </w:rPr>
        <w:t>含制定</w:t>
      </w:r>
      <w:proofErr w:type="gramEnd"/>
      <w:r>
        <w:rPr>
          <w:rFonts w:ascii="仿宋_GB2312" w:eastAsia="仿宋_GB2312" w:hint="eastAsia"/>
          <w:sz w:val="32"/>
          <w:szCs w:val="32"/>
        </w:rPr>
        <w:t>和修订）立项工作，建设支撑引领能源高质量发展的标准体系，按照持续深化能源领域标准化工作改革的要求，根据《标准化法》《能源标准化管理办法》（国能发科技〔2019〕38号）和《关于加快能源领域新型标准体系建设的指导意见》（国能发科技〔2020〕54号）等，结合能源行业实际，制定本指南。</w:t>
      </w:r>
    </w:p>
    <w:p w:rsidR="00F6192F" w:rsidRDefault="00B016F4">
      <w:pPr>
        <w:ind w:firstLine="600"/>
        <w:rPr>
          <w:rFonts w:ascii="黑体" w:eastAsia="黑体" w:hAnsi="黑体"/>
          <w:bCs/>
          <w:sz w:val="32"/>
          <w:szCs w:val="32"/>
        </w:rPr>
      </w:pPr>
      <w:r>
        <w:rPr>
          <w:rFonts w:ascii="黑体" w:eastAsia="黑体" w:hAnsi="黑体" w:hint="eastAsia"/>
          <w:bCs/>
          <w:sz w:val="32"/>
          <w:szCs w:val="32"/>
        </w:rPr>
        <w:t>一、总体要求</w:t>
      </w:r>
      <w:bookmarkStart w:id="0" w:name="_GoBack"/>
      <w:bookmarkEnd w:id="0"/>
    </w:p>
    <w:p w:rsidR="00F6192F" w:rsidRDefault="00B016F4">
      <w:pPr>
        <w:ind w:firstLine="600"/>
        <w:rPr>
          <w:rFonts w:ascii="仿宋_GB2312" w:eastAsia="仿宋_GB2312" w:hAnsi="华文仿宋"/>
          <w:sz w:val="32"/>
          <w:szCs w:val="32"/>
        </w:rPr>
      </w:pPr>
      <w:r>
        <w:rPr>
          <w:rFonts w:ascii="楷体_GB2312" w:eastAsia="楷体_GB2312" w:hAnsi="华文仿宋" w:hint="eastAsia"/>
          <w:b/>
          <w:sz w:val="32"/>
          <w:szCs w:val="32"/>
        </w:rPr>
        <w:t>坚持需求导向</w:t>
      </w:r>
      <w:r>
        <w:rPr>
          <w:rFonts w:ascii="仿宋_GB2312" w:eastAsia="仿宋_GB2312" w:hAnsi="华文仿宋" w:hint="eastAsia"/>
          <w:sz w:val="32"/>
          <w:szCs w:val="32"/>
        </w:rPr>
        <w:t>。紧密围绕落实“四个革命、一个合作”能源安全新战略，构建清洁低碳、安全高效能源体系，支撑</w:t>
      </w:r>
      <w:proofErr w:type="gramStart"/>
      <w:r>
        <w:rPr>
          <w:rFonts w:ascii="仿宋_GB2312" w:eastAsia="仿宋_GB2312" w:hAnsi="华文仿宋" w:hint="eastAsia"/>
          <w:sz w:val="32"/>
          <w:szCs w:val="32"/>
        </w:rPr>
        <w:t>能源碳达峰</w:t>
      </w:r>
      <w:proofErr w:type="gramEnd"/>
      <w:r>
        <w:rPr>
          <w:rFonts w:ascii="仿宋_GB2312" w:eastAsia="仿宋_GB2312" w:hAnsi="华文仿宋" w:hint="eastAsia"/>
          <w:sz w:val="32"/>
          <w:szCs w:val="32"/>
        </w:rPr>
        <w:t>、碳中和目标任务，根据能源行业发展需要，突出重点领域和关键技术要求，提出能源行业标准计划。</w:t>
      </w:r>
    </w:p>
    <w:p w:rsidR="00F6192F" w:rsidRDefault="00B016F4">
      <w:pPr>
        <w:ind w:firstLine="600"/>
        <w:rPr>
          <w:rFonts w:ascii="仿宋_GB2312" w:eastAsia="仿宋_GB2312" w:hAnsi="华文仿宋"/>
          <w:sz w:val="32"/>
          <w:szCs w:val="32"/>
        </w:rPr>
      </w:pPr>
      <w:r>
        <w:rPr>
          <w:rFonts w:ascii="楷体_GB2312" w:eastAsia="楷体_GB2312" w:hAnsi="华文仿宋" w:hint="eastAsia"/>
          <w:b/>
          <w:sz w:val="32"/>
          <w:szCs w:val="32"/>
        </w:rPr>
        <w:t>强化体系引领</w:t>
      </w:r>
      <w:r>
        <w:rPr>
          <w:rFonts w:ascii="仿宋_GB2312" w:eastAsia="仿宋_GB2312" w:hAnsi="华文仿宋" w:hint="eastAsia"/>
          <w:sz w:val="32"/>
          <w:szCs w:val="32"/>
        </w:rPr>
        <w:t>。</w:t>
      </w:r>
      <w:r>
        <w:rPr>
          <w:rFonts w:ascii="仿宋_GB2312" w:eastAsia="仿宋_GB2312" w:hint="eastAsia"/>
          <w:sz w:val="32"/>
          <w:szCs w:val="32"/>
        </w:rPr>
        <w:t>能源行业标准计划的提出要</w:t>
      </w:r>
      <w:r>
        <w:rPr>
          <w:rFonts w:ascii="仿宋_GB2312" w:eastAsia="仿宋_GB2312" w:hAnsi="华文仿宋" w:hint="eastAsia"/>
          <w:sz w:val="32"/>
          <w:szCs w:val="32"/>
        </w:rPr>
        <w:t>以本领域的标准体系为指导，坚持急用先行、先进适用、协调统一的原则，优先</w:t>
      </w:r>
      <w:r>
        <w:rPr>
          <w:rFonts w:ascii="仿宋_GB2312" w:eastAsia="仿宋_GB2312" w:hint="eastAsia"/>
          <w:sz w:val="32"/>
          <w:szCs w:val="32"/>
        </w:rPr>
        <w:t>健全能源新兴领域的标准，着力提升能源传统领域的标准。</w:t>
      </w:r>
    </w:p>
    <w:p w:rsidR="00F6192F" w:rsidRDefault="00B016F4" w:rsidP="00EB5C82">
      <w:pPr>
        <w:ind w:firstLine="600"/>
        <w:rPr>
          <w:rFonts w:ascii="仿宋_GB2312" w:eastAsia="仿宋_GB2312" w:hAnsi="华文仿宋"/>
          <w:sz w:val="32"/>
          <w:szCs w:val="32"/>
        </w:rPr>
        <w:sectPr w:rsidR="00F6192F" w:rsidSect="00D233BC">
          <w:footerReference w:type="default" r:id="rId8"/>
          <w:pgSz w:w="11906" w:h="16838"/>
          <w:pgMar w:top="1985" w:right="1616" w:bottom="1814" w:left="1616" w:header="851" w:footer="992" w:gutter="0"/>
          <w:pgNumType w:start="1"/>
          <w:cols w:space="425"/>
          <w:docGrid w:type="lines" w:linePitch="312"/>
        </w:sectPr>
      </w:pPr>
      <w:r>
        <w:rPr>
          <w:rFonts w:ascii="楷体_GB2312" w:eastAsia="楷体_GB2312" w:hAnsi="华文仿宋" w:hint="eastAsia"/>
          <w:b/>
          <w:sz w:val="32"/>
          <w:szCs w:val="32"/>
        </w:rPr>
        <w:t>突出公益属性</w:t>
      </w:r>
      <w:r>
        <w:rPr>
          <w:rFonts w:ascii="仿宋_GB2312" w:eastAsia="仿宋_GB2312" w:hAnsi="华文仿宋" w:hint="eastAsia"/>
          <w:sz w:val="32"/>
          <w:szCs w:val="32"/>
        </w:rPr>
        <w:t>。深入贯彻国家标准化工作改革精神，突出能源行业标准的公益性，对没有国家标准而又需要在能源行业范围内统一的，涉及重要产品、工程技术、服务和行业</w:t>
      </w:r>
      <w:r w:rsidR="00EB5C82">
        <w:rPr>
          <w:rFonts w:ascii="仿宋_GB2312" w:eastAsia="仿宋_GB2312" w:hAnsi="华文仿宋" w:hint="eastAsia"/>
          <w:sz w:val="32"/>
          <w:szCs w:val="32"/>
        </w:rPr>
        <w:t>的技术</w:t>
      </w:r>
    </w:p>
    <w:p w:rsidR="00F6192F" w:rsidRDefault="00B016F4">
      <w:pPr>
        <w:rPr>
          <w:rFonts w:ascii="仿宋_GB2312" w:eastAsia="仿宋_GB2312" w:hAnsi="华文仿宋"/>
          <w:sz w:val="32"/>
          <w:szCs w:val="32"/>
        </w:rPr>
      </w:pPr>
      <w:r>
        <w:rPr>
          <w:rFonts w:ascii="仿宋_GB2312" w:eastAsia="仿宋_GB2312" w:hAnsi="华文仿宋" w:hint="eastAsia"/>
          <w:sz w:val="32"/>
          <w:szCs w:val="32"/>
        </w:rPr>
        <w:lastRenderedPageBreak/>
        <w:t>要求提出能源行业标准计划。属于竞争性的、一般性的技术要求，原则上不能作为能源行业标准制定计划。在智慧能源、可再生能源等领域率先建设新型标准体系。</w:t>
      </w:r>
    </w:p>
    <w:p w:rsidR="00F6192F" w:rsidRDefault="00B016F4">
      <w:pPr>
        <w:ind w:firstLineChars="200" w:firstLine="643"/>
        <w:rPr>
          <w:rFonts w:ascii="仿宋_GB2312" w:eastAsia="仿宋_GB2312"/>
          <w:sz w:val="32"/>
          <w:szCs w:val="32"/>
        </w:rPr>
      </w:pPr>
      <w:r>
        <w:rPr>
          <w:rFonts w:ascii="楷体_GB2312" w:eastAsia="楷体_GB2312" w:hAnsi="华文仿宋" w:hint="eastAsia"/>
          <w:b/>
          <w:sz w:val="32"/>
          <w:szCs w:val="32"/>
        </w:rPr>
        <w:t>提升标准质量</w:t>
      </w:r>
      <w:r>
        <w:rPr>
          <w:rFonts w:ascii="仿宋_GB2312" w:eastAsia="仿宋_GB2312" w:hAnsi="华文仿宋" w:hint="eastAsia"/>
          <w:sz w:val="32"/>
          <w:szCs w:val="32"/>
        </w:rPr>
        <w:t>。能源行业标准计划要坚持协商一致的原则，具有较好的技术基础和工作基础，计划草案较为成熟，通过能源行业标准化技术委员会或专家组经能源行业标准化管理机构汇总审核后申报。</w:t>
      </w:r>
    </w:p>
    <w:p w:rsidR="00F6192F" w:rsidRDefault="00B016F4">
      <w:pPr>
        <w:ind w:firstLineChars="200" w:firstLine="640"/>
        <w:rPr>
          <w:rFonts w:ascii="仿宋_GB2312" w:eastAsia="仿宋_GB2312"/>
          <w:sz w:val="32"/>
          <w:szCs w:val="32"/>
        </w:rPr>
      </w:pPr>
      <w:r>
        <w:rPr>
          <w:rFonts w:ascii="黑体" w:eastAsia="黑体" w:hAnsi="黑体" w:hint="eastAsia"/>
          <w:bCs/>
          <w:sz w:val="32"/>
          <w:szCs w:val="32"/>
        </w:rPr>
        <w:t>二、立项重点</w:t>
      </w:r>
    </w:p>
    <w:p w:rsidR="00F6192F" w:rsidRDefault="00B016F4">
      <w:pPr>
        <w:ind w:firstLineChars="200" w:firstLine="643"/>
        <w:rPr>
          <w:rFonts w:ascii="楷体_GB2312" w:eastAsia="楷体_GB2312"/>
          <w:b/>
          <w:sz w:val="32"/>
          <w:szCs w:val="32"/>
        </w:rPr>
      </w:pPr>
      <w:r>
        <w:rPr>
          <w:rFonts w:ascii="楷体_GB2312" w:eastAsia="楷体_GB2312" w:hint="eastAsia"/>
          <w:b/>
          <w:sz w:val="32"/>
          <w:szCs w:val="32"/>
        </w:rPr>
        <w:t>（一）行业标准计划</w:t>
      </w:r>
    </w:p>
    <w:p w:rsidR="00F6192F" w:rsidRDefault="00B016F4">
      <w:pPr>
        <w:ind w:firstLineChars="200" w:firstLine="640"/>
        <w:rPr>
          <w:rFonts w:ascii="仿宋_GB2312" w:eastAsia="仿宋_GB2312"/>
          <w:sz w:val="32"/>
          <w:szCs w:val="32"/>
        </w:rPr>
      </w:pPr>
      <w:r>
        <w:rPr>
          <w:rFonts w:ascii="仿宋_GB2312" w:eastAsia="仿宋_GB2312" w:hint="eastAsia"/>
          <w:sz w:val="32"/>
          <w:szCs w:val="32"/>
        </w:rPr>
        <w:t>与相关国家标准的实施相配套的行业标准计划；涉及能源领域节能、节水、资源综合利用、环境和生态保护、绿色发展的行业标准计划；支撑能源</w:t>
      </w:r>
      <w:proofErr w:type="gramStart"/>
      <w:r>
        <w:rPr>
          <w:rFonts w:ascii="仿宋_GB2312" w:eastAsia="仿宋_GB2312" w:hint="eastAsia"/>
          <w:sz w:val="32"/>
          <w:szCs w:val="32"/>
        </w:rPr>
        <w:t>领域碳达峰</w:t>
      </w:r>
      <w:proofErr w:type="gramEnd"/>
      <w:r>
        <w:rPr>
          <w:rFonts w:ascii="仿宋_GB2312" w:eastAsia="仿宋_GB2312" w:hint="eastAsia"/>
          <w:sz w:val="32"/>
          <w:szCs w:val="32"/>
        </w:rPr>
        <w:t>、碳中和目标的行业标准计划；显著提升能源行业整体技术水平和产品、服务质量的行业标准计划；对标国外、国际先进标准，有利于提升中国标准国际公信力、影响力的行业标准计划（各专业领域重点方向见附件）。</w:t>
      </w:r>
    </w:p>
    <w:p w:rsidR="00F6192F" w:rsidRDefault="00B016F4">
      <w:pPr>
        <w:ind w:firstLineChars="200" w:firstLine="643"/>
        <w:rPr>
          <w:rFonts w:ascii="楷体_GB2312" w:eastAsia="楷体_GB2312"/>
          <w:b/>
          <w:sz w:val="32"/>
          <w:szCs w:val="32"/>
        </w:rPr>
      </w:pPr>
      <w:r>
        <w:rPr>
          <w:rFonts w:ascii="楷体_GB2312" w:eastAsia="楷体_GB2312" w:hint="eastAsia"/>
          <w:b/>
          <w:sz w:val="32"/>
          <w:szCs w:val="32"/>
        </w:rPr>
        <w:t>（二）行业标准外文版翻译计划</w:t>
      </w:r>
    </w:p>
    <w:p w:rsidR="00F6192F" w:rsidRDefault="00B016F4">
      <w:pPr>
        <w:ind w:firstLineChars="200" w:firstLine="640"/>
        <w:rPr>
          <w:rFonts w:ascii="仿宋_GB2312" w:eastAsia="仿宋_GB2312"/>
          <w:sz w:val="32"/>
          <w:szCs w:val="32"/>
        </w:rPr>
      </w:pPr>
      <w:r>
        <w:rPr>
          <w:rFonts w:ascii="仿宋_GB2312" w:eastAsia="仿宋_GB2312" w:hint="eastAsia"/>
          <w:sz w:val="32"/>
          <w:szCs w:val="32"/>
        </w:rPr>
        <w:t>在加强能源领域对外贸易、服务、承包工程所需的成套标准外文版体系研究的基础上，鼓励申报行业标准外文版翻译计划。鼓励标准外文版翻译计划与标准计划同步立项、同步制定、同步发布。</w:t>
      </w:r>
    </w:p>
    <w:p w:rsidR="00F6192F" w:rsidRDefault="00B016F4">
      <w:pPr>
        <w:ind w:firstLineChars="200" w:firstLine="640"/>
        <w:rPr>
          <w:rFonts w:ascii="黑体" w:eastAsia="黑体" w:hAnsi="黑体"/>
          <w:bCs/>
          <w:sz w:val="32"/>
          <w:szCs w:val="32"/>
        </w:rPr>
      </w:pPr>
      <w:r>
        <w:rPr>
          <w:rFonts w:ascii="黑体" w:eastAsia="黑体" w:hAnsi="黑体" w:hint="eastAsia"/>
          <w:bCs/>
          <w:sz w:val="32"/>
          <w:szCs w:val="32"/>
        </w:rPr>
        <w:t>三、申报要求</w:t>
      </w:r>
    </w:p>
    <w:p w:rsidR="00F6192F" w:rsidRDefault="00B016F4">
      <w:pPr>
        <w:ind w:firstLineChars="200" w:firstLine="640"/>
        <w:rPr>
          <w:rFonts w:ascii="仿宋_GB2312" w:eastAsia="仿宋_GB2312"/>
          <w:sz w:val="32"/>
          <w:szCs w:val="32"/>
        </w:rPr>
      </w:pPr>
      <w:r>
        <w:rPr>
          <w:rFonts w:ascii="仿宋_GB2312" w:eastAsia="仿宋_GB2312" w:hint="eastAsia"/>
          <w:sz w:val="32"/>
          <w:szCs w:val="32"/>
        </w:rPr>
        <w:lastRenderedPageBreak/>
        <w:t>（一）应按照现有标准管理分工机制和专业领域，经过充分调研、技术论证和初步筛选后确定申报计划。</w:t>
      </w:r>
    </w:p>
    <w:p w:rsidR="00F6192F" w:rsidRDefault="00B016F4">
      <w:pPr>
        <w:ind w:firstLineChars="200" w:firstLine="640"/>
        <w:rPr>
          <w:rFonts w:ascii="仿宋_GB2312" w:eastAsia="仿宋_GB2312"/>
          <w:sz w:val="32"/>
          <w:szCs w:val="32"/>
        </w:rPr>
      </w:pPr>
      <w:r>
        <w:rPr>
          <w:rFonts w:ascii="仿宋_GB2312" w:eastAsia="仿宋_GB2312" w:hint="eastAsia"/>
          <w:sz w:val="32"/>
          <w:szCs w:val="32"/>
        </w:rPr>
        <w:t>（二）申报计划应保证与现有标准体系协调一致。</w:t>
      </w:r>
    </w:p>
    <w:p w:rsidR="00F6192F" w:rsidRDefault="00B016F4">
      <w:pPr>
        <w:ind w:firstLineChars="200" w:firstLine="640"/>
        <w:rPr>
          <w:rFonts w:ascii="仿宋_GB2312" w:eastAsia="仿宋_GB2312"/>
          <w:sz w:val="32"/>
          <w:szCs w:val="32"/>
        </w:rPr>
      </w:pPr>
      <w:r>
        <w:rPr>
          <w:rFonts w:ascii="仿宋_GB2312" w:eastAsia="仿宋_GB2312" w:hint="eastAsia"/>
          <w:sz w:val="32"/>
          <w:szCs w:val="32"/>
        </w:rPr>
        <w:t>（三）存在技术交叉的领域，申报单位应在计划上报前与技术相关方充分沟通协商，避免交叉重复立项。</w:t>
      </w:r>
    </w:p>
    <w:p w:rsidR="00F6192F" w:rsidRDefault="00B016F4">
      <w:pPr>
        <w:ind w:firstLineChars="200" w:firstLine="640"/>
        <w:rPr>
          <w:rFonts w:ascii="仿宋_GB2312" w:eastAsia="仿宋_GB2312"/>
          <w:sz w:val="32"/>
          <w:szCs w:val="32"/>
        </w:rPr>
      </w:pPr>
      <w:r>
        <w:rPr>
          <w:rFonts w:ascii="仿宋_GB2312" w:eastAsia="仿宋_GB2312" w:hint="eastAsia"/>
          <w:sz w:val="32"/>
          <w:szCs w:val="32"/>
        </w:rPr>
        <w:t>（四）主要起草单位应做好标准编制前期准备工作，确保两年内完成报批。</w:t>
      </w:r>
    </w:p>
    <w:p w:rsidR="00F6192F" w:rsidRDefault="00B016F4">
      <w:pPr>
        <w:ind w:firstLineChars="200" w:firstLine="640"/>
        <w:rPr>
          <w:rFonts w:ascii="仿宋_GB2312" w:eastAsia="仿宋_GB2312"/>
          <w:sz w:val="32"/>
          <w:szCs w:val="32"/>
        </w:rPr>
      </w:pPr>
      <w:r>
        <w:rPr>
          <w:rFonts w:ascii="仿宋_GB2312" w:eastAsia="仿宋_GB2312" w:hint="eastAsia"/>
          <w:sz w:val="32"/>
          <w:szCs w:val="32"/>
        </w:rPr>
        <w:t>（五）行业标准外文版翻译计划应与相关国际标准进行比对研究，技术要求不低于国际标准。</w:t>
      </w:r>
    </w:p>
    <w:p w:rsidR="00F6192F" w:rsidRDefault="00B016F4">
      <w:pPr>
        <w:ind w:firstLineChars="200" w:firstLine="640"/>
        <w:rPr>
          <w:rFonts w:ascii="黑体" w:eastAsia="黑体" w:hAnsi="黑体"/>
          <w:bCs/>
          <w:sz w:val="32"/>
          <w:szCs w:val="32"/>
        </w:rPr>
      </w:pPr>
      <w:r>
        <w:rPr>
          <w:rFonts w:ascii="黑体" w:eastAsia="黑体" w:hAnsi="黑体" w:hint="eastAsia"/>
          <w:bCs/>
          <w:sz w:val="32"/>
          <w:szCs w:val="32"/>
        </w:rPr>
        <w:t>四、申报材料</w:t>
      </w:r>
    </w:p>
    <w:p w:rsidR="00F6192F" w:rsidRDefault="00B016F4">
      <w:pPr>
        <w:spacing w:line="560" w:lineRule="exact"/>
        <w:ind w:firstLine="645"/>
        <w:rPr>
          <w:rFonts w:ascii="楷体_GB2312" w:eastAsia="楷体_GB2312" w:hAnsi="楷体"/>
          <w:b/>
          <w:sz w:val="32"/>
          <w:szCs w:val="32"/>
        </w:rPr>
      </w:pPr>
      <w:r>
        <w:rPr>
          <w:rFonts w:ascii="楷体_GB2312" w:eastAsia="楷体_GB2312" w:hAnsi="楷体" w:hint="eastAsia"/>
          <w:b/>
          <w:sz w:val="32"/>
          <w:szCs w:val="32"/>
        </w:rPr>
        <w:t>（一）行业标准计划</w:t>
      </w:r>
    </w:p>
    <w:p w:rsidR="00F6192F" w:rsidRDefault="00B016F4">
      <w:pPr>
        <w:ind w:firstLineChars="200" w:firstLine="640"/>
        <w:rPr>
          <w:rFonts w:ascii="仿宋_GB2312" w:eastAsia="仿宋_GB2312"/>
          <w:sz w:val="32"/>
          <w:szCs w:val="32"/>
        </w:rPr>
      </w:pPr>
      <w:r>
        <w:rPr>
          <w:rFonts w:ascii="仿宋_GB2312" w:eastAsia="仿宋_GB2312" w:hint="eastAsia"/>
          <w:sz w:val="32"/>
          <w:szCs w:val="32"/>
        </w:rPr>
        <w:t>申报材料应包括：行业标准项目计划汇总表、行业标准项目任务书、标准草案稿、审查会会议纪要及专家签字表。</w:t>
      </w:r>
    </w:p>
    <w:p w:rsidR="00F6192F" w:rsidRDefault="00B016F4">
      <w:pPr>
        <w:ind w:firstLineChars="200" w:firstLine="640"/>
        <w:rPr>
          <w:rFonts w:ascii="仿宋_GB2312" w:eastAsia="仿宋_GB2312"/>
          <w:sz w:val="32"/>
          <w:szCs w:val="32"/>
        </w:rPr>
      </w:pPr>
      <w:r>
        <w:rPr>
          <w:rFonts w:ascii="仿宋_GB2312" w:eastAsia="仿宋_GB2312" w:hint="eastAsia"/>
          <w:sz w:val="32"/>
          <w:szCs w:val="32"/>
        </w:rPr>
        <w:t>1.项目计划汇总表应填写完整、准确。“适用范围和主要技术内容”将作为后续征求意见的主要依据。</w:t>
      </w:r>
    </w:p>
    <w:p w:rsidR="00F6192F" w:rsidRDefault="00B016F4">
      <w:pPr>
        <w:ind w:firstLineChars="200" w:firstLine="640"/>
        <w:rPr>
          <w:rFonts w:ascii="仿宋_GB2312" w:eastAsia="仿宋_GB2312"/>
          <w:sz w:val="32"/>
          <w:szCs w:val="32"/>
        </w:rPr>
      </w:pPr>
      <w:r>
        <w:rPr>
          <w:rFonts w:ascii="仿宋_GB2312" w:eastAsia="仿宋_GB2312" w:hint="eastAsia"/>
          <w:sz w:val="32"/>
          <w:szCs w:val="32"/>
        </w:rPr>
        <w:t>2．项目建议书应填写完整、详实。“目的和理由”中请注明标准计划项目对行业工作的支撑作用。</w:t>
      </w:r>
    </w:p>
    <w:p w:rsidR="00F6192F" w:rsidRDefault="00B016F4">
      <w:pPr>
        <w:ind w:firstLineChars="200" w:firstLine="640"/>
        <w:rPr>
          <w:rFonts w:ascii="仿宋_GB2312" w:eastAsia="仿宋_GB2312"/>
          <w:sz w:val="32"/>
          <w:szCs w:val="32"/>
        </w:rPr>
      </w:pPr>
      <w:r>
        <w:rPr>
          <w:rFonts w:ascii="仿宋_GB2312" w:eastAsia="仿宋_GB2312" w:hint="eastAsia"/>
          <w:sz w:val="32"/>
          <w:szCs w:val="32"/>
        </w:rPr>
        <w:t>3．标准草案应明确提出主要章节及各章节所规定主要技术内容，内容基本覆盖“适用范围和主要技术内容”涉及的各要点。修订项目应重点说明拟修订的主要内容和理由。</w:t>
      </w:r>
    </w:p>
    <w:p w:rsidR="00F6192F" w:rsidRDefault="00B016F4">
      <w:pPr>
        <w:spacing w:line="560" w:lineRule="exact"/>
        <w:ind w:firstLine="645"/>
        <w:rPr>
          <w:rFonts w:ascii="楷体_GB2312" w:eastAsia="楷体_GB2312" w:hAnsi="楷体"/>
          <w:b/>
          <w:sz w:val="32"/>
          <w:szCs w:val="32"/>
        </w:rPr>
      </w:pPr>
      <w:r>
        <w:rPr>
          <w:rFonts w:ascii="楷体_GB2312" w:eastAsia="楷体_GB2312" w:hAnsi="楷体" w:hint="eastAsia"/>
          <w:b/>
          <w:sz w:val="32"/>
          <w:szCs w:val="32"/>
        </w:rPr>
        <w:t>（二）外文</w:t>
      </w:r>
      <w:proofErr w:type="gramStart"/>
      <w:r>
        <w:rPr>
          <w:rFonts w:ascii="楷体_GB2312" w:eastAsia="楷体_GB2312" w:hAnsi="楷体" w:hint="eastAsia"/>
          <w:b/>
          <w:sz w:val="32"/>
          <w:szCs w:val="32"/>
        </w:rPr>
        <w:t>版标准</w:t>
      </w:r>
      <w:proofErr w:type="gramEnd"/>
      <w:r>
        <w:rPr>
          <w:rFonts w:ascii="楷体_GB2312" w:eastAsia="楷体_GB2312" w:hAnsi="楷体" w:hint="eastAsia"/>
          <w:b/>
          <w:sz w:val="32"/>
          <w:szCs w:val="32"/>
        </w:rPr>
        <w:t>计划</w:t>
      </w:r>
    </w:p>
    <w:p w:rsidR="00F6192F" w:rsidRDefault="00B016F4">
      <w:pPr>
        <w:spacing w:line="560" w:lineRule="exact"/>
        <w:ind w:firstLineChars="200" w:firstLine="640"/>
        <w:rPr>
          <w:rFonts w:ascii="仿宋_GB2312" w:eastAsia="仿宋_GB2312"/>
          <w:sz w:val="32"/>
          <w:szCs w:val="32"/>
        </w:rPr>
      </w:pPr>
      <w:r>
        <w:rPr>
          <w:rFonts w:ascii="仿宋_GB2312" w:eastAsia="仿宋_GB2312" w:hint="eastAsia"/>
          <w:sz w:val="32"/>
          <w:szCs w:val="32"/>
        </w:rPr>
        <w:t>申报材料包括行业标准英文版计划汇总表及行业标准</w:t>
      </w:r>
      <w:r>
        <w:rPr>
          <w:rFonts w:ascii="仿宋_GB2312" w:eastAsia="仿宋_GB2312" w:hint="eastAsia"/>
          <w:sz w:val="32"/>
          <w:szCs w:val="32"/>
        </w:rPr>
        <w:lastRenderedPageBreak/>
        <w:t>项目任务书。</w:t>
      </w:r>
    </w:p>
    <w:p w:rsidR="00F6192F" w:rsidRDefault="00B016F4">
      <w:pPr>
        <w:ind w:firstLineChars="200" w:firstLine="640"/>
        <w:rPr>
          <w:rFonts w:ascii="黑体" w:eastAsia="黑体" w:hAnsi="黑体"/>
          <w:bCs/>
          <w:sz w:val="32"/>
          <w:szCs w:val="32"/>
        </w:rPr>
      </w:pPr>
      <w:r>
        <w:rPr>
          <w:rFonts w:ascii="黑体" w:eastAsia="黑体" w:hAnsi="黑体" w:hint="eastAsia"/>
          <w:bCs/>
          <w:sz w:val="32"/>
          <w:szCs w:val="32"/>
        </w:rPr>
        <w:t>五、报送方式</w:t>
      </w:r>
    </w:p>
    <w:p w:rsidR="00F6192F" w:rsidRDefault="00B016F4">
      <w:pPr>
        <w:spacing w:line="560" w:lineRule="exact"/>
        <w:ind w:firstLineChars="200" w:firstLine="640"/>
        <w:rPr>
          <w:rFonts w:ascii="仿宋_GB2312" w:eastAsia="仿宋_GB2312"/>
          <w:sz w:val="32"/>
          <w:szCs w:val="32"/>
        </w:rPr>
      </w:pPr>
      <w:r>
        <w:rPr>
          <w:rFonts w:ascii="仿宋_GB2312" w:eastAsia="仿宋_GB2312" w:hint="eastAsia"/>
          <w:sz w:val="32"/>
          <w:szCs w:val="32"/>
        </w:rPr>
        <w:t>行业标准项目采用统一申报，分类评估、统一下达的方式。请各能源行业标准化技术委员会通过“能源标准化信息平台”提交申报材料，各能源标准化管理机构汇总审核后于202</w:t>
      </w:r>
      <w:r>
        <w:rPr>
          <w:rFonts w:ascii="仿宋_GB2312" w:eastAsia="仿宋_GB2312"/>
          <w:sz w:val="32"/>
          <w:szCs w:val="32"/>
        </w:rPr>
        <w:t>2</w:t>
      </w:r>
      <w:r>
        <w:rPr>
          <w:rFonts w:ascii="仿宋_GB2312" w:eastAsia="仿宋_GB2312" w:hint="eastAsia"/>
          <w:sz w:val="32"/>
          <w:szCs w:val="32"/>
        </w:rPr>
        <w:t>年2月15日前提交至国家能源局能源节约和科技装备司（汇总表、项目任务书和标准草案稿发至邮箱）。</w:t>
      </w:r>
    </w:p>
    <w:p w:rsidR="00F6192F" w:rsidRDefault="00B016F4">
      <w:pPr>
        <w:spacing w:line="560" w:lineRule="exact"/>
        <w:ind w:firstLine="645"/>
        <w:rPr>
          <w:rFonts w:ascii="仿宋_GB2312" w:eastAsia="仿宋_GB2312"/>
          <w:sz w:val="32"/>
          <w:szCs w:val="32"/>
        </w:rPr>
      </w:pPr>
      <w:r>
        <w:rPr>
          <w:rFonts w:ascii="仿宋_GB2312" w:eastAsia="仿宋_GB2312" w:hint="eastAsia"/>
          <w:sz w:val="32"/>
          <w:szCs w:val="32"/>
        </w:rPr>
        <w:t>联系人及电话：黄勇  010-</w:t>
      </w:r>
      <w:r>
        <w:rPr>
          <w:rFonts w:ascii="仿宋_GB2312" w:eastAsia="仿宋_GB2312"/>
          <w:sz w:val="32"/>
          <w:szCs w:val="32"/>
        </w:rPr>
        <w:t>81929216</w:t>
      </w:r>
    </w:p>
    <w:p w:rsidR="00F6192F" w:rsidRDefault="00B016F4">
      <w:pPr>
        <w:spacing w:line="560" w:lineRule="exact"/>
        <w:ind w:firstLine="645"/>
        <w:rPr>
          <w:rFonts w:ascii="仿宋_GB2312" w:eastAsia="仿宋_GB2312"/>
          <w:sz w:val="32"/>
          <w:szCs w:val="32"/>
        </w:rPr>
      </w:pPr>
      <w:r>
        <w:rPr>
          <w:rFonts w:ascii="仿宋_GB2312" w:eastAsia="仿宋_GB2312" w:hint="eastAsia"/>
          <w:sz w:val="32"/>
          <w:szCs w:val="32"/>
        </w:rPr>
        <w:t>邮箱：nb_standard@126.com</w:t>
      </w:r>
    </w:p>
    <w:p w:rsidR="00F6192F" w:rsidRDefault="00B016F4">
      <w:pPr>
        <w:ind w:firstLineChars="200" w:firstLine="640"/>
        <w:rPr>
          <w:rFonts w:ascii="黑体" w:eastAsia="黑体" w:hAnsi="黑体"/>
          <w:bCs/>
          <w:sz w:val="32"/>
          <w:szCs w:val="32"/>
        </w:rPr>
      </w:pPr>
      <w:r>
        <w:rPr>
          <w:rFonts w:ascii="黑体" w:eastAsia="黑体" w:hAnsi="黑体" w:hint="eastAsia"/>
          <w:bCs/>
          <w:sz w:val="32"/>
          <w:szCs w:val="32"/>
        </w:rPr>
        <w:t>六、项目管理</w:t>
      </w:r>
    </w:p>
    <w:p w:rsidR="00F6192F" w:rsidRDefault="00B016F4">
      <w:pPr>
        <w:ind w:firstLineChars="221" w:firstLine="707"/>
        <w:rPr>
          <w:rFonts w:ascii="仿宋_GB2312" w:eastAsia="仿宋_GB2312"/>
          <w:sz w:val="32"/>
          <w:szCs w:val="32"/>
        </w:rPr>
      </w:pPr>
      <w:r>
        <w:rPr>
          <w:rFonts w:ascii="仿宋_GB2312" w:eastAsia="仿宋_GB2312" w:hint="eastAsia"/>
          <w:sz w:val="32"/>
          <w:szCs w:val="32"/>
        </w:rPr>
        <w:t>（一）在</w:t>
      </w:r>
      <w:proofErr w:type="gramStart"/>
      <w:r>
        <w:rPr>
          <w:rFonts w:ascii="仿宋_GB2312" w:eastAsia="仿宋_GB2312" w:hint="eastAsia"/>
          <w:sz w:val="32"/>
          <w:szCs w:val="32"/>
        </w:rPr>
        <w:t>研</w:t>
      </w:r>
      <w:proofErr w:type="gramEnd"/>
      <w:r>
        <w:rPr>
          <w:rFonts w:ascii="仿宋_GB2312" w:eastAsia="仿宋_GB2312" w:hint="eastAsia"/>
          <w:sz w:val="32"/>
          <w:szCs w:val="32"/>
        </w:rPr>
        <w:t>项目数量过多的标委会应主动减少新项目申报，尽快完成已下达计划。</w:t>
      </w:r>
    </w:p>
    <w:p w:rsidR="00F6192F" w:rsidRDefault="00B016F4">
      <w:pPr>
        <w:ind w:firstLineChars="200" w:firstLine="640"/>
        <w:rPr>
          <w:rFonts w:ascii="仿宋_GB2312" w:eastAsia="仿宋_GB2312"/>
          <w:sz w:val="32"/>
          <w:szCs w:val="32"/>
        </w:rPr>
      </w:pPr>
      <w:r>
        <w:rPr>
          <w:rFonts w:ascii="仿宋_GB2312" w:eastAsia="仿宋_GB2312" w:hint="eastAsia"/>
          <w:sz w:val="32"/>
          <w:szCs w:val="32"/>
        </w:rPr>
        <w:t>（二）项目下达后，各有关单位要强化标准项目全生命周期管理，做好标准制修订进度、资金使用、公开征求意见等监督检查，切实提升标准质量。</w:t>
      </w:r>
    </w:p>
    <w:p w:rsidR="00F6192F" w:rsidRDefault="00B016F4">
      <w:pPr>
        <w:ind w:firstLineChars="200" w:firstLine="640"/>
        <w:rPr>
          <w:rFonts w:ascii="仿宋_GB2312" w:eastAsia="仿宋_GB2312"/>
          <w:sz w:val="32"/>
          <w:szCs w:val="32"/>
        </w:rPr>
      </w:pPr>
      <w:r>
        <w:rPr>
          <w:rFonts w:ascii="仿宋_GB2312" w:eastAsia="仿宋_GB2312" w:hint="eastAsia"/>
          <w:sz w:val="32"/>
          <w:szCs w:val="32"/>
        </w:rPr>
        <w:t>（三）标准项目下达后，项目名称(范围)、完成时间、归口单位不得随意变更。确需变更的，标委会应报请相应的能源行业标准化管理机构同意后，报国家能源局审核后进行调整。</w:t>
      </w:r>
    </w:p>
    <w:p w:rsidR="00F6192F" w:rsidRDefault="00B016F4">
      <w:pPr>
        <w:ind w:firstLineChars="200" w:firstLine="640"/>
        <w:rPr>
          <w:rFonts w:ascii="仿宋_GB2312" w:eastAsia="仿宋_GB2312"/>
          <w:sz w:val="32"/>
          <w:szCs w:val="32"/>
        </w:rPr>
      </w:pPr>
      <w:r>
        <w:rPr>
          <w:rFonts w:ascii="仿宋_GB2312" w:eastAsia="仿宋_GB2312" w:hint="eastAsia"/>
          <w:sz w:val="32"/>
          <w:szCs w:val="32"/>
        </w:rPr>
        <w:t>（四）能源行业标准正式发布后，相关行业标准化管理机构要按程序在“能源标准化信息平台”上公开标准文本。</w:t>
      </w:r>
    </w:p>
    <w:p w:rsidR="00F6192F" w:rsidRDefault="00F6192F">
      <w:pPr>
        <w:ind w:firstLineChars="200" w:firstLine="640"/>
        <w:rPr>
          <w:rFonts w:ascii="仿宋_GB2312" w:eastAsia="仿宋_GB2312"/>
          <w:sz w:val="32"/>
          <w:szCs w:val="32"/>
        </w:rPr>
      </w:pPr>
    </w:p>
    <w:p w:rsidR="00F6192F" w:rsidRDefault="00B016F4">
      <w:pPr>
        <w:ind w:firstLineChars="200" w:firstLine="640"/>
        <w:rPr>
          <w:rFonts w:ascii="仿宋_GB2312" w:eastAsia="仿宋_GB2312"/>
          <w:sz w:val="32"/>
          <w:szCs w:val="32"/>
        </w:rPr>
      </w:pPr>
      <w:r>
        <w:rPr>
          <w:rFonts w:ascii="仿宋_GB2312" w:eastAsia="仿宋_GB2312" w:hint="eastAsia"/>
          <w:sz w:val="32"/>
          <w:szCs w:val="32"/>
        </w:rPr>
        <w:t>附件：能源行业标准计划立项重点方向</w:t>
      </w:r>
    </w:p>
    <w:p w:rsidR="00F6192F" w:rsidRDefault="00F6192F">
      <w:pPr>
        <w:spacing w:line="600" w:lineRule="exact"/>
        <w:rPr>
          <w:rFonts w:ascii="黑体" w:eastAsia="黑体" w:hAnsi="黑体" w:cs="黑体"/>
          <w:sz w:val="32"/>
          <w:szCs w:val="32"/>
        </w:rPr>
        <w:sectPr w:rsidR="00F6192F" w:rsidSect="00D233BC">
          <w:footerReference w:type="default" r:id="rId9"/>
          <w:pgSz w:w="11906" w:h="16838"/>
          <w:pgMar w:top="1440" w:right="1800" w:bottom="1440" w:left="1800" w:header="851" w:footer="992" w:gutter="0"/>
          <w:pgNumType w:start="2"/>
          <w:cols w:space="425"/>
          <w:docGrid w:type="lines" w:linePitch="312"/>
        </w:sectPr>
      </w:pPr>
    </w:p>
    <w:p w:rsidR="00F6192F" w:rsidRDefault="00B016F4">
      <w:pPr>
        <w:spacing w:line="600" w:lineRule="exact"/>
        <w:rPr>
          <w:rFonts w:ascii="黑体" w:eastAsia="黑体" w:hAnsi="黑体" w:cs="黑体"/>
          <w:sz w:val="32"/>
          <w:szCs w:val="32"/>
        </w:rPr>
      </w:pPr>
      <w:r>
        <w:rPr>
          <w:rFonts w:ascii="黑体" w:eastAsia="黑体" w:hAnsi="黑体" w:cs="黑体" w:hint="eastAsia"/>
          <w:sz w:val="32"/>
          <w:szCs w:val="32"/>
        </w:rPr>
        <w:lastRenderedPageBreak/>
        <w:t>附 件</w:t>
      </w:r>
    </w:p>
    <w:p w:rsidR="00F6192F" w:rsidRDefault="00F6192F">
      <w:pPr>
        <w:spacing w:line="600" w:lineRule="exact"/>
        <w:rPr>
          <w:rFonts w:ascii="黑体" w:eastAsia="黑体" w:hAnsi="黑体" w:cs="黑体"/>
          <w:sz w:val="30"/>
          <w:szCs w:val="30"/>
        </w:rPr>
      </w:pPr>
    </w:p>
    <w:p w:rsidR="00F6192F" w:rsidRDefault="00B016F4">
      <w:pPr>
        <w:spacing w:line="600" w:lineRule="exact"/>
        <w:jc w:val="center"/>
        <w:rPr>
          <w:rFonts w:ascii="方正小标宋_GBK" w:eastAsia="方正小标宋_GBK" w:hAnsi="方正小标宋_GBK" w:cs="方正小标宋_GBK"/>
          <w:b/>
          <w:sz w:val="36"/>
          <w:szCs w:val="36"/>
        </w:rPr>
      </w:pPr>
      <w:r>
        <w:rPr>
          <w:rFonts w:ascii="方正小标宋_GBK" w:eastAsia="方正小标宋_GBK" w:hAnsi="方正小标宋_GBK" w:cs="方正小标宋_GBK" w:hint="eastAsia"/>
          <w:b/>
          <w:sz w:val="36"/>
          <w:szCs w:val="36"/>
        </w:rPr>
        <w:t>能源行业标准计划立项重点方向</w:t>
      </w:r>
    </w:p>
    <w:p w:rsidR="00F6192F" w:rsidRDefault="00F6192F">
      <w:pPr>
        <w:spacing w:line="600" w:lineRule="exact"/>
        <w:rPr>
          <w:rFonts w:ascii="仿宋_GB2312" w:eastAsia="仿宋_GB2312"/>
          <w:sz w:val="32"/>
          <w:szCs w:val="32"/>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2320"/>
        <w:gridCol w:w="5400"/>
      </w:tblGrid>
      <w:tr w:rsidR="00F6192F">
        <w:trPr>
          <w:cantSplit/>
          <w:trHeight w:val="825"/>
          <w:jc w:val="center"/>
        </w:trPr>
        <w:tc>
          <w:tcPr>
            <w:tcW w:w="1280" w:type="dxa"/>
            <w:shd w:val="clear" w:color="auto" w:fill="auto"/>
            <w:vAlign w:val="center"/>
          </w:tcPr>
          <w:p w:rsidR="00F6192F" w:rsidRDefault="00B016F4">
            <w:pPr>
              <w:widowControl/>
              <w:jc w:val="center"/>
              <w:rPr>
                <w:rFonts w:ascii="黑体" w:eastAsia="黑体" w:hAnsi="黑体" w:cs="黑体"/>
                <w:color w:val="000000"/>
                <w:kern w:val="0"/>
                <w:szCs w:val="21"/>
              </w:rPr>
            </w:pPr>
            <w:r>
              <w:rPr>
                <w:rFonts w:ascii="黑体" w:eastAsia="黑体" w:hAnsi="黑体" w:cs="黑体" w:hint="eastAsia"/>
                <w:color w:val="000000"/>
                <w:kern w:val="0"/>
                <w:szCs w:val="21"/>
              </w:rPr>
              <w:t>专业方向</w:t>
            </w:r>
          </w:p>
        </w:tc>
        <w:tc>
          <w:tcPr>
            <w:tcW w:w="2320" w:type="dxa"/>
            <w:shd w:val="clear" w:color="auto" w:fill="auto"/>
            <w:vAlign w:val="center"/>
          </w:tcPr>
          <w:p w:rsidR="00F6192F" w:rsidRDefault="00B016F4">
            <w:pPr>
              <w:widowControl/>
              <w:jc w:val="center"/>
              <w:rPr>
                <w:rFonts w:ascii="黑体" w:eastAsia="黑体" w:hAnsi="黑体" w:cs="黑体"/>
                <w:color w:val="000000"/>
                <w:kern w:val="0"/>
                <w:szCs w:val="21"/>
              </w:rPr>
            </w:pPr>
            <w:r>
              <w:rPr>
                <w:rFonts w:ascii="黑体" w:eastAsia="黑体" w:hAnsi="黑体" w:cs="黑体" w:hint="eastAsia"/>
                <w:color w:val="000000"/>
                <w:kern w:val="0"/>
                <w:szCs w:val="21"/>
              </w:rPr>
              <w:t>领域</w:t>
            </w:r>
          </w:p>
        </w:tc>
        <w:tc>
          <w:tcPr>
            <w:tcW w:w="5400" w:type="dxa"/>
            <w:shd w:val="clear" w:color="auto" w:fill="auto"/>
            <w:vAlign w:val="center"/>
          </w:tcPr>
          <w:p w:rsidR="00F6192F" w:rsidRDefault="00B016F4">
            <w:pPr>
              <w:widowControl/>
              <w:jc w:val="center"/>
              <w:rPr>
                <w:rFonts w:ascii="黑体" w:eastAsia="黑体" w:hAnsi="黑体" w:cs="黑体"/>
                <w:color w:val="000000"/>
                <w:kern w:val="0"/>
                <w:szCs w:val="21"/>
              </w:rPr>
            </w:pPr>
            <w:r>
              <w:rPr>
                <w:rFonts w:ascii="黑体" w:eastAsia="黑体" w:hAnsi="黑体" w:cs="黑体" w:hint="eastAsia"/>
                <w:color w:val="000000"/>
                <w:kern w:val="0"/>
                <w:szCs w:val="21"/>
              </w:rPr>
              <w:t>重点方向</w:t>
            </w:r>
          </w:p>
        </w:tc>
      </w:tr>
      <w:tr w:rsidR="00F6192F">
        <w:trPr>
          <w:cantSplit/>
          <w:trHeight w:val="1103"/>
          <w:jc w:val="center"/>
        </w:trPr>
        <w:tc>
          <w:tcPr>
            <w:tcW w:w="1280" w:type="dxa"/>
            <w:vMerge w:val="restart"/>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电力</w:t>
            </w:r>
          </w:p>
        </w:tc>
        <w:tc>
          <w:tcPr>
            <w:tcW w:w="2320" w:type="dxa"/>
            <w:vMerge w:val="restart"/>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新型电力系统输配电关键技术</w:t>
            </w:r>
          </w:p>
        </w:tc>
        <w:tc>
          <w:tcPr>
            <w:tcW w:w="540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适应高比例可再生能源接入的电网安全稳定运行管理，</w:t>
            </w:r>
          </w:p>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柔性直流输电技术，特高压交直流混联，密集输电通道安全，智能配电设备</w:t>
            </w:r>
          </w:p>
        </w:tc>
      </w:tr>
      <w:tr w:rsidR="00F6192F">
        <w:trPr>
          <w:cantSplit/>
          <w:trHeight w:val="807"/>
          <w:jc w:val="center"/>
        </w:trPr>
        <w:tc>
          <w:tcPr>
            <w:tcW w:w="1280" w:type="dxa"/>
            <w:vMerge/>
            <w:vAlign w:val="center"/>
          </w:tcPr>
          <w:p w:rsidR="00F6192F" w:rsidRDefault="00F6192F">
            <w:pPr>
              <w:widowControl/>
              <w:jc w:val="left"/>
              <w:rPr>
                <w:rFonts w:ascii="仿宋_GB2312" w:eastAsia="仿宋_GB2312" w:hAnsi="仿宋_GB2312" w:cs="仿宋_GB2312"/>
                <w:color w:val="000000"/>
                <w:kern w:val="0"/>
                <w:szCs w:val="21"/>
              </w:rPr>
            </w:pPr>
          </w:p>
        </w:tc>
        <w:tc>
          <w:tcPr>
            <w:tcW w:w="2320" w:type="dxa"/>
            <w:vMerge w:val="restart"/>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电力灵活性资源</w:t>
            </w:r>
            <w:proofErr w:type="gramStart"/>
            <w:r>
              <w:rPr>
                <w:rFonts w:ascii="仿宋_GB2312" w:eastAsia="仿宋_GB2312" w:hAnsi="仿宋_GB2312" w:cs="仿宋_GB2312" w:hint="eastAsia"/>
                <w:color w:val="000000"/>
                <w:kern w:val="0"/>
                <w:szCs w:val="21"/>
              </w:rPr>
              <w:t>和</w:t>
            </w:r>
            <w:proofErr w:type="gramEnd"/>
          </w:p>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节能低碳技术</w:t>
            </w:r>
          </w:p>
        </w:tc>
        <w:tc>
          <w:tcPr>
            <w:tcW w:w="540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火电机组灵活性改造，火电机组运行状态评估与延寿，</w:t>
            </w:r>
          </w:p>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电力碳排放监测核算</w:t>
            </w:r>
            <w:proofErr w:type="gramStart"/>
            <w:r>
              <w:rPr>
                <w:rFonts w:ascii="仿宋_GB2312" w:eastAsia="仿宋_GB2312" w:hAnsi="仿宋_GB2312" w:cs="仿宋_GB2312" w:hint="eastAsia"/>
                <w:color w:val="000000"/>
                <w:kern w:val="0"/>
                <w:szCs w:val="21"/>
              </w:rPr>
              <w:t>及减碳</w:t>
            </w:r>
            <w:proofErr w:type="gramEnd"/>
          </w:p>
        </w:tc>
      </w:tr>
      <w:tr w:rsidR="00F6192F">
        <w:trPr>
          <w:cantSplit/>
          <w:trHeight w:val="760"/>
          <w:jc w:val="center"/>
        </w:trPr>
        <w:tc>
          <w:tcPr>
            <w:tcW w:w="1280" w:type="dxa"/>
            <w:vMerge/>
            <w:vAlign w:val="center"/>
          </w:tcPr>
          <w:p w:rsidR="00F6192F" w:rsidRDefault="00F6192F">
            <w:pPr>
              <w:widowControl/>
              <w:jc w:val="left"/>
              <w:rPr>
                <w:rFonts w:ascii="仿宋_GB2312" w:eastAsia="仿宋_GB2312" w:hAnsi="仿宋_GB2312" w:cs="仿宋_GB2312"/>
                <w:color w:val="000000"/>
                <w:kern w:val="0"/>
                <w:szCs w:val="21"/>
              </w:rPr>
            </w:pPr>
          </w:p>
        </w:tc>
        <w:tc>
          <w:tcPr>
            <w:tcW w:w="232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电力系统建设</w:t>
            </w:r>
          </w:p>
        </w:tc>
        <w:tc>
          <w:tcPr>
            <w:tcW w:w="540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“风光水储”基地规划设计，“源网荷储”设计及应用</w:t>
            </w:r>
          </w:p>
        </w:tc>
      </w:tr>
      <w:tr w:rsidR="00F6192F">
        <w:trPr>
          <w:cantSplit/>
          <w:trHeight w:val="1094"/>
          <w:jc w:val="center"/>
        </w:trPr>
        <w:tc>
          <w:tcPr>
            <w:tcW w:w="1280" w:type="dxa"/>
            <w:vMerge/>
            <w:vAlign w:val="center"/>
          </w:tcPr>
          <w:p w:rsidR="00F6192F" w:rsidRDefault="00F6192F">
            <w:pPr>
              <w:widowControl/>
              <w:jc w:val="left"/>
              <w:rPr>
                <w:rFonts w:ascii="仿宋_GB2312" w:eastAsia="仿宋_GB2312" w:hAnsi="仿宋_GB2312" w:cs="仿宋_GB2312"/>
                <w:color w:val="000000"/>
                <w:kern w:val="0"/>
                <w:szCs w:val="21"/>
              </w:rPr>
            </w:pPr>
          </w:p>
        </w:tc>
        <w:tc>
          <w:tcPr>
            <w:tcW w:w="2320" w:type="dxa"/>
            <w:vMerge w:val="restart"/>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电力新技术、新业态、新模式</w:t>
            </w:r>
          </w:p>
        </w:tc>
        <w:tc>
          <w:tcPr>
            <w:tcW w:w="540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智慧电厂建设与运维，配售电企业服务，虚拟电厂，电力市场运营监管，电力信息系统网络安全，分布式电源上网核算</w:t>
            </w:r>
          </w:p>
        </w:tc>
      </w:tr>
      <w:tr w:rsidR="00F6192F">
        <w:trPr>
          <w:cantSplit/>
          <w:trHeight w:val="807"/>
          <w:jc w:val="center"/>
        </w:trPr>
        <w:tc>
          <w:tcPr>
            <w:tcW w:w="1280" w:type="dxa"/>
            <w:vMerge w:val="restart"/>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煤炭</w:t>
            </w:r>
          </w:p>
        </w:tc>
        <w:tc>
          <w:tcPr>
            <w:tcW w:w="2320" w:type="dxa"/>
            <w:vMerge w:val="restart"/>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煤矿智能化、数字化</w:t>
            </w:r>
          </w:p>
        </w:tc>
        <w:tc>
          <w:tcPr>
            <w:tcW w:w="540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煤矿智能装备，智能化煤矿大数据建设，</w:t>
            </w:r>
          </w:p>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矿用通信信息系统建设和管理</w:t>
            </w:r>
          </w:p>
        </w:tc>
      </w:tr>
      <w:tr w:rsidR="00F6192F">
        <w:trPr>
          <w:cantSplit/>
          <w:trHeight w:val="1427"/>
          <w:jc w:val="center"/>
        </w:trPr>
        <w:tc>
          <w:tcPr>
            <w:tcW w:w="1280" w:type="dxa"/>
            <w:vMerge/>
            <w:vAlign w:val="center"/>
          </w:tcPr>
          <w:p w:rsidR="00F6192F" w:rsidRDefault="00F6192F">
            <w:pPr>
              <w:widowControl/>
              <w:jc w:val="left"/>
              <w:rPr>
                <w:rFonts w:ascii="仿宋_GB2312" w:eastAsia="仿宋_GB2312" w:hAnsi="仿宋_GB2312" w:cs="仿宋_GB2312"/>
                <w:color w:val="000000"/>
                <w:kern w:val="0"/>
                <w:szCs w:val="21"/>
              </w:rPr>
            </w:pPr>
          </w:p>
        </w:tc>
        <w:tc>
          <w:tcPr>
            <w:tcW w:w="2320" w:type="dxa"/>
            <w:vMerge w:val="restart"/>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煤矿生态环保</w:t>
            </w:r>
            <w:proofErr w:type="gramStart"/>
            <w:r>
              <w:rPr>
                <w:rFonts w:ascii="仿宋_GB2312" w:eastAsia="仿宋_GB2312" w:hAnsi="仿宋_GB2312" w:cs="仿宋_GB2312" w:hint="eastAsia"/>
                <w:color w:val="000000"/>
                <w:kern w:val="0"/>
                <w:szCs w:val="21"/>
              </w:rPr>
              <w:t>和</w:t>
            </w:r>
            <w:proofErr w:type="gramEnd"/>
          </w:p>
          <w:p w:rsidR="00F6192F" w:rsidRDefault="00B016F4">
            <w:pPr>
              <w:widowControl/>
              <w:jc w:val="center"/>
              <w:rPr>
                <w:rFonts w:ascii="仿宋_GB2312" w:eastAsia="仿宋_GB2312" w:hAnsi="仿宋_GB2312" w:cs="仿宋_GB2312"/>
                <w:color w:val="000000"/>
                <w:kern w:val="0"/>
                <w:szCs w:val="21"/>
              </w:rPr>
            </w:pPr>
            <w:proofErr w:type="gramStart"/>
            <w:r>
              <w:rPr>
                <w:rFonts w:ascii="仿宋_GB2312" w:eastAsia="仿宋_GB2312" w:hAnsi="仿宋_GB2312" w:cs="仿宋_GB2312" w:hint="eastAsia"/>
                <w:color w:val="000000"/>
                <w:kern w:val="0"/>
                <w:szCs w:val="21"/>
              </w:rPr>
              <w:t>节能减碳</w:t>
            </w:r>
            <w:proofErr w:type="gramEnd"/>
          </w:p>
        </w:tc>
        <w:tc>
          <w:tcPr>
            <w:tcW w:w="540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煤矿区生态修复，煤矿沉陷区综合治理利用，煤化</w:t>
            </w:r>
            <w:proofErr w:type="gramStart"/>
            <w:r>
              <w:rPr>
                <w:rFonts w:ascii="仿宋_GB2312" w:eastAsia="仿宋_GB2312" w:hAnsi="仿宋_GB2312" w:cs="仿宋_GB2312" w:hint="eastAsia"/>
                <w:color w:val="000000"/>
                <w:kern w:val="0"/>
                <w:szCs w:val="21"/>
              </w:rPr>
              <w:t>工领域</w:t>
            </w:r>
            <w:proofErr w:type="gramEnd"/>
            <w:r>
              <w:rPr>
                <w:rFonts w:ascii="仿宋_GB2312" w:eastAsia="仿宋_GB2312" w:hAnsi="仿宋_GB2312" w:cs="仿宋_GB2312" w:hint="eastAsia"/>
                <w:color w:val="000000"/>
                <w:kern w:val="0"/>
                <w:szCs w:val="21"/>
              </w:rPr>
              <w:t>企业碳排放测算，煤矿</w:t>
            </w:r>
            <w:proofErr w:type="gramStart"/>
            <w:r>
              <w:rPr>
                <w:rFonts w:ascii="仿宋_GB2312" w:eastAsia="仿宋_GB2312" w:hAnsi="仿宋_GB2312" w:cs="仿宋_GB2312" w:hint="eastAsia"/>
                <w:color w:val="000000"/>
                <w:kern w:val="0"/>
                <w:szCs w:val="21"/>
              </w:rPr>
              <w:t>区碳汇</w:t>
            </w:r>
            <w:proofErr w:type="gramEnd"/>
            <w:r>
              <w:rPr>
                <w:rFonts w:ascii="仿宋_GB2312" w:eastAsia="仿宋_GB2312" w:hAnsi="仿宋_GB2312" w:cs="仿宋_GB2312" w:hint="eastAsia"/>
                <w:color w:val="000000"/>
                <w:kern w:val="0"/>
                <w:szCs w:val="21"/>
              </w:rPr>
              <w:t>提升、减损、计算，煤炭开采废物治理及利用，煤炭资源节约型开采技术，煤矿节能降耗</w:t>
            </w:r>
          </w:p>
        </w:tc>
      </w:tr>
      <w:tr w:rsidR="00F6192F">
        <w:trPr>
          <w:cantSplit/>
          <w:trHeight w:val="660"/>
          <w:jc w:val="center"/>
        </w:trPr>
        <w:tc>
          <w:tcPr>
            <w:tcW w:w="1280" w:type="dxa"/>
            <w:vMerge/>
            <w:vAlign w:val="center"/>
          </w:tcPr>
          <w:p w:rsidR="00F6192F" w:rsidRDefault="00F6192F">
            <w:pPr>
              <w:widowControl/>
              <w:jc w:val="left"/>
              <w:rPr>
                <w:rFonts w:ascii="仿宋_GB2312" w:eastAsia="仿宋_GB2312" w:hAnsi="仿宋_GB2312" w:cs="仿宋_GB2312"/>
                <w:color w:val="000000"/>
                <w:kern w:val="0"/>
                <w:szCs w:val="21"/>
              </w:rPr>
            </w:pPr>
          </w:p>
        </w:tc>
        <w:tc>
          <w:tcPr>
            <w:tcW w:w="2320" w:type="dxa"/>
            <w:vMerge w:val="restart"/>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煤层气开发利用</w:t>
            </w:r>
          </w:p>
        </w:tc>
        <w:tc>
          <w:tcPr>
            <w:tcW w:w="540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煤层气钻井作业下泵排采，煤储层测试实验，</w:t>
            </w:r>
          </w:p>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地震处理解释，煤层气田信息化建设</w:t>
            </w:r>
          </w:p>
        </w:tc>
      </w:tr>
      <w:tr w:rsidR="00F6192F">
        <w:trPr>
          <w:cantSplit/>
          <w:trHeight w:val="808"/>
          <w:jc w:val="center"/>
        </w:trPr>
        <w:tc>
          <w:tcPr>
            <w:tcW w:w="1280" w:type="dxa"/>
            <w:vMerge/>
            <w:vAlign w:val="center"/>
          </w:tcPr>
          <w:p w:rsidR="00F6192F" w:rsidRDefault="00F6192F">
            <w:pPr>
              <w:widowControl/>
              <w:jc w:val="left"/>
              <w:rPr>
                <w:rFonts w:ascii="仿宋_GB2312" w:eastAsia="仿宋_GB2312" w:hAnsi="仿宋_GB2312" w:cs="仿宋_GB2312"/>
                <w:color w:val="000000"/>
                <w:kern w:val="0"/>
                <w:szCs w:val="21"/>
              </w:rPr>
            </w:pPr>
          </w:p>
        </w:tc>
        <w:tc>
          <w:tcPr>
            <w:tcW w:w="2320" w:type="dxa"/>
            <w:vMerge w:val="restart"/>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煤矿瓦斯治理</w:t>
            </w:r>
          </w:p>
        </w:tc>
        <w:tc>
          <w:tcPr>
            <w:tcW w:w="540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煤矿区瓦斯地面预抽，关闭矿井瓦斯抽采，</w:t>
            </w:r>
          </w:p>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低浓度和超低浓度瓦斯高效利用</w:t>
            </w:r>
          </w:p>
        </w:tc>
      </w:tr>
      <w:tr w:rsidR="00F6192F">
        <w:trPr>
          <w:cantSplit/>
          <w:trHeight w:val="1084"/>
          <w:jc w:val="center"/>
        </w:trPr>
        <w:tc>
          <w:tcPr>
            <w:tcW w:w="1280" w:type="dxa"/>
            <w:vMerge w:val="restart"/>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油气</w:t>
            </w:r>
          </w:p>
        </w:tc>
        <w:tc>
          <w:tcPr>
            <w:tcW w:w="2320" w:type="dxa"/>
            <w:vMerge w:val="restart"/>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油气勘探开发、储运</w:t>
            </w:r>
          </w:p>
        </w:tc>
        <w:tc>
          <w:tcPr>
            <w:tcW w:w="540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深水、深层、非常规油气勘探开发，油气储运及基础能力设施建设、核算、评价标准，油气田设备的绿色化、数字化制造</w:t>
            </w:r>
          </w:p>
        </w:tc>
      </w:tr>
      <w:tr w:rsidR="00F6192F">
        <w:trPr>
          <w:cantSplit/>
          <w:trHeight w:val="1414"/>
          <w:jc w:val="center"/>
        </w:trPr>
        <w:tc>
          <w:tcPr>
            <w:tcW w:w="1280" w:type="dxa"/>
            <w:vMerge/>
            <w:vAlign w:val="center"/>
          </w:tcPr>
          <w:p w:rsidR="00F6192F" w:rsidRDefault="00F6192F">
            <w:pPr>
              <w:widowControl/>
              <w:jc w:val="left"/>
              <w:rPr>
                <w:rFonts w:ascii="仿宋_GB2312" w:eastAsia="仿宋_GB2312" w:hAnsi="仿宋_GB2312" w:cs="仿宋_GB2312"/>
                <w:color w:val="000000"/>
                <w:kern w:val="0"/>
                <w:szCs w:val="21"/>
              </w:rPr>
            </w:pPr>
          </w:p>
        </w:tc>
        <w:tc>
          <w:tcPr>
            <w:tcW w:w="2320" w:type="dxa"/>
            <w:vMerge w:val="restart"/>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油气节能低碳技术</w:t>
            </w:r>
          </w:p>
        </w:tc>
        <w:tc>
          <w:tcPr>
            <w:tcW w:w="540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储运、管道运输等节能低碳生产技术，油气田碳捕捉利用与封存（CCUS），油气田节能降耗、安全生产、资源综合利用技术，炼油、煤制特种燃料项目的绿色低碳</w:t>
            </w:r>
            <w:proofErr w:type="gramStart"/>
            <w:r>
              <w:rPr>
                <w:rFonts w:ascii="仿宋_GB2312" w:eastAsia="仿宋_GB2312" w:hAnsi="仿宋_GB2312" w:cs="仿宋_GB2312" w:hint="eastAsia"/>
                <w:color w:val="000000"/>
                <w:kern w:val="0"/>
                <w:szCs w:val="21"/>
              </w:rPr>
              <w:t>技术改造及碳足迹</w:t>
            </w:r>
            <w:proofErr w:type="gramEnd"/>
            <w:r>
              <w:rPr>
                <w:rFonts w:ascii="仿宋_GB2312" w:eastAsia="仿宋_GB2312" w:hAnsi="仿宋_GB2312" w:cs="仿宋_GB2312" w:hint="eastAsia"/>
                <w:color w:val="000000"/>
                <w:kern w:val="0"/>
                <w:szCs w:val="21"/>
              </w:rPr>
              <w:t>核算</w:t>
            </w:r>
          </w:p>
        </w:tc>
      </w:tr>
      <w:tr w:rsidR="00F6192F">
        <w:trPr>
          <w:cantSplit/>
          <w:trHeight w:val="694"/>
          <w:jc w:val="center"/>
        </w:trPr>
        <w:tc>
          <w:tcPr>
            <w:tcW w:w="1280" w:type="dxa"/>
            <w:shd w:val="clear" w:color="auto" w:fill="auto"/>
            <w:vAlign w:val="center"/>
          </w:tcPr>
          <w:p w:rsidR="00F6192F" w:rsidRDefault="00B016F4">
            <w:pPr>
              <w:widowControl/>
              <w:jc w:val="center"/>
              <w:rPr>
                <w:rFonts w:ascii="黑体" w:eastAsia="黑体" w:hAnsi="黑体" w:cs="黑体"/>
                <w:color w:val="000000"/>
                <w:kern w:val="0"/>
                <w:szCs w:val="21"/>
              </w:rPr>
            </w:pPr>
            <w:r>
              <w:rPr>
                <w:rFonts w:ascii="黑体" w:eastAsia="黑体" w:hAnsi="黑体" w:cs="黑体" w:hint="eastAsia"/>
                <w:color w:val="000000"/>
                <w:kern w:val="0"/>
                <w:szCs w:val="21"/>
              </w:rPr>
              <w:lastRenderedPageBreak/>
              <w:t>专业方向</w:t>
            </w:r>
          </w:p>
        </w:tc>
        <w:tc>
          <w:tcPr>
            <w:tcW w:w="2320" w:type="dxa"/>
            <w:shd w:val="clear" w:color="auto" w:fill="auto"/>
            <w:vAlign w:val="center"/>
          </w:tcPr>
          <w:p w:rsidR="00F6192F" w:rsidRDefault="00B016F4">
            <w:pPr>
              <w:widowControl/>
              <w:jc w:val="center"/>
              <w:rPr>
                <w:rFonts w:ascii="黑体" w:eastAsia="黑体" w:hAnsi="黑体" w:cs="黑体"/>
                <w:color w:val="000000"/>
                <w:kern w:val="0"/>
                <w:szCs w:val="21"/>
              </w:rPr>
            </w:pPr>
            <w:r>
              <w:rPr>
                <w:rFonts w:ascii="黑体" w:eastAsia="黑体" w:hAnsi="黑体" w:cs="黑体" w:hint="eastAsia"/>
                <w:color w:val="000000"/>
                <w:kern w:val="0"/>
                <w:szCs w:val="21"/>
              </w:rPr>
              <w:t>领域</w:t>
            </w:r>
          </w:p>
        </w:tc>
        <w:tc>
          <w:tcPr>
            <w:tcW w:w="5400" w:type="dxa"/>
            <w:shd w:val="clear" w:color="auto" w:fill="auto"/>
            <w:vAlign w:val="center"/>
          </w:tcPr>
          <w:p w:rsidR="00F6192F" w:rsidRDefault="00B016F4">
            <w:pPr>
              <w:widowControl/>
              <w:jc w:val="center"/>
              <w:rPr>
                <w:rFonts w:ascii="黑体" w:eastAsia="黑体" w:hAnsi="黑体" w:cs="黑体"/>
                <w:color w:val="000000"/>
                <w:kern w:val="0"/>
                <w:szCs w:val="21"/>
              </w:rPr>
            </w:pPr>
            <w:r>
              <w:rPr>
                <w:rFonts w:ascii="黑体" w:eastAsia="黑体" w:hAnsi="黑体" w:cs="黑体" w:hint="eastAsia"/>
                <w:color w:val="000000"/>
                <w:kern w:val="0"/>
                <w:szCs w:val="21"/>
              </w:rPr>
              <w:t>重点方向</w:t>
            </w:r>
          </w:p>
        </w:tc>
      </w:tr>
      <w:tr w:rsidR="00F6192F">
        <w:trPr>
          <w:cantSplit/>
          <w:trHeight w:val="1188"/>
          <w:jc w:val="center"/>
        </w:trPr>
        <w:tc>
          <w:tcPr>
            <w:tcW w:w="1280" w:type="dxa"/>
            <w:vMerge w:val="restart"/>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新能源</w:t>
            </w:r>
            <w:proofErr w:type="gramStart"/>
            <w:r>
              <w:rPr>
                <w:rFonts w:ascii="仿宋_GB2312" w:eastAsia="仿宋_GB2312" w:hAnsi="仿宋_GB2312" w:cs="仿宋_GB2312" w:hint="eastAsia"/>
                <w:color w:val="000000"/>
                <w:kern w:val="0"/>
                <w:szCs w:val="21"/>
              </w:rPr>
              <w:t>和</w:t>
            </w:r>
            <w:proofErr w:type="gramEnd"/>
          </w:p>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可再生能源</w:t>
            </w:r>
          </w:p>
        </w:tc>
        <w:tc>
          <w:tcPr>
            <w:tcW w:w="2320" w:type="dxa"/>
            <w:vMerge w:val="restart"/>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新能源和可再生能源</w:t>
            </w:r>
          </w:p>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综合开发与利用</w:t>
            </w:r>
          </w:p>
        </w:tc>
        <w:tc>
          <w:tcPr>
            <w:tcW w:w="540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生态修复类新能源项目设计、运行维护，新能源发电项目的绿色智能设计、节能降碳、安全施工，大规模新能源消纳技术，高比例新能源系统安全</w:t>
            </w:r>
          </w:p>
        </w:tc>
      </w:tr>
      <w:tr w:rsidR="00F6192F">
        <w:trPr>
          <w:cantSplit/>
          <w:trHeight w:val="887"/>
          <w:jc w:val="center"/>
        </w:trPr>
        <w:tc>
          <w:tcPr>
            <w:tcW w:w="1280" w:type="dxa"/>
            <w:vMerge/>
            <w:vAlign w:val="center"/>
          </w:tcPr>
          <w:p w:rsidR="00F6192F" w:rsidRDefault="00F6192F">
            <w:pPr>
              <w:widowControl/>
              <w:jc w:val="left"/>
              <w:rPr>
                <w:rFonts w:ascii="仿宋_GB2312" w:eastAsia="仿宋_GB2312" w:hAnsi="仿宋_GB2312" w:cs="仿宋_GB2312"/>
                <w:color w:val="000000"/>
                <w:kern w:val="0"/>
                <w:szCs w:val="21"/>
              </w:rPr>
            </w:pPr>
          </w:p>
        </w:tc>
        <w:tc>
          <w:tcPr>
            <w:tcW w:w="2320" w:type="dxa"/>
            <w:vMerge w:val="restart"/>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水电（含抽水蓄能）</w:t>
            </w:r>
          </w:p>
        </w:tc>
        <w:tc>
          <w:tcPr>
            <w:tcW w:w="540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水电工程智能化设计与建造，流域梯级水电站</w:t>
            </w:r>
            <w:proofErr w:type="gramStart"/>
            <w:r>
              <w:rPr>
                <w:rFonts w:ascii="仿宋_GB2312" w:eastAsia="仿宋_GB2312" w:hAnsi="仿宋_GB2312" w:cs="仿宋_GB2312" w:hint="eastAsia"/>
                <w:color w:val="000000"/>
                <w:kern w:val="0"/>
                <w:szCs w:val="21"/>
              </w:rPr>
              <w:t>群风险</w:t>
            </w:r>
            <w:proofErr w:type="gramEnd"/>
            <w:r>
              <w:rPr>
                <w:rFonts w:ascii="仿宋_GB2312" w:eastAsia="仿宋_GB2312" w:hAnsi="仿宋_GB2312" w:cs="仿宋_GB2312" w:hint="eastAsia"/>
                <w:color w:val="000000"/>
                <w:kern w:val="0"/>
                <w:szCs w:val="21"/>
              </w:rPr>
              <w:t>防控，抽水蓄能电站数字化</w:t>
            </w:r>
          </w:p>
        </w:tc>
      </w:tr>
      <w:tr w:rsidR="00F6192F">
        <w:trPr>
          <w:cantSplit/>
          <w:trHeight w:val="899"/>
          <w:jc w:val="center"/>
        </w:trPr>
        <w:tc>
          <w:tcPr>
            <w:tcW w:w="1280" w:type="dxa"/>
            <w:vMerge/>
            <w:vAlign w:val="center"/>
          </w:tcPr>
          <w:p w:rsidR="00F6192F" w:rsidRDefault="00F6192F">
            <w:pPr>
              <w:widowControl/>
              <w:jc w:val="left"/>
              <w:rPr>
                <w:rFonts w:ascii="仿宋_GB2312" w:eastAsia="仿宋_GB2312" w:hAnsi="仿宋_GB2312" w:cs="仿宋_GB2312"/>
                <w:color w:val="000000"/>
                <w:kern w:val="0"/>
                <w:szCs w:val="21"/>
              </w:rPr>
            </w:pPr>
          </w:p>
        </w:tc>
        <w:tc>
          <w:tcPr>
            <w:tcW w:w="2320" w:type="dxa"/>
            <w:vMerge w:val="restart"/>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太阳能</w:t>
            </w:r>
          </w:p>
        </w:tc>
        <w:tc>
          <w:tcPr>
            <w:tcW w:w="540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分布式光伏设计、建设和接入，光伏能耗与能效限额，</w:t>
            </w:r>
          </w:p>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太阳能热利用</w:t>
            </w:r>
          </w:p>
        </w:tc>
      </w:tr>
      <w:tr w:rsidR="00F6192F">
        <w:trPr>
          <w:cantSplit/>
          <w:trHeight w:val="862"/>
          <w:jc w:val="center"/>
        </w:trPr>
        <w:tc>
          <w:tcPr>
            <w:tcW w:w="1280" w:type="dxa"/>
            <w:vMerge/>
            <w:vAlign w:val="center"/>
          </w:tcPr>
          <w:p w:rsidR="00F6192F" w:rsidRDefault="00F6192F">
            <w:pPr>
              <w:widowControl/>
              <w:jc w:val="left"/>
              <w:rPr>
                <w:rFonts w:ascii="仿宋_GB2312" w:eastAsia="仿宋_GB2312" w:hAnsi="仿宋_GB2312" w:cs="仿宋_GB2312"/>
                <w:color w:val="000000"/>
                <w:kern w:val="0"/>
                <w:szCs w:val="21"/>
              </w:rPr>
            </w:pPr>
          </w:p>
        </w:tc>
        <w:tc>
          <w:tcPr>
            <w:tcW w:w="2320" w:type="dxa"/>
            <w:vMerge w:val="restart"/>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风电</w:t>
            </w:r>
          </w:p>
        </w:tc>
        <w:tc>
          <w:tcPr>
            <w:tcW w:w="540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风电</w:t>
            </w:r>
            <w:proofErr w:type="gramStart"/>
            <w:r>
              <w:rPr>
                <w:rFonts w:ascii="仿宋_GB2312" w:eastAsia="仿宋_GB2312" w:hAnsi="仿宋_GB2312" w:cs="仿宋_GB2312" w:hint="eastAsia"/>
                <w:color w:val="000000"/>
                <w:kern w:val="0"/>
                <w:szCs w:val="21"/>
              </w:rPr>
              <w:t>节能降碳与</w:t>
            </w:r>
            <w:proofErr w:type="gramEnd"/>
            <w:r>
              <w:rPr>
                <w:rFonts w:ascii="仿宋_GB2312" w:eastAsia="仿宋_GB2312" w:hAnsi="仿宋_GB2312" w:cs="仿宋_GB2312" w:hint="eastAsia"/>
                <w:color w:val="000000"/>
                <w:kern w:val="0"/>
                <w:szCs w:val="21"/>
              </w:rPr>
              <w:t>安全管理，风电场改造升级，</w:t>
            </w:r>
          </w:p>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风电设备退役循环利用，风电机组关键零部件</w:t>
            </w:r>
          </w:p>
        </w:tc>
      </w:tr>
      <w:tr w:rsidR="00F6192F">
        <w:trPr>
          <w:cantSplit/>
          <w:trHeight w:val="742"/>
          <w:jc w:val="center"/>
        </w:trPr>
        <w:tc>
          <w:tcPr>
            <w:tcW w:w="1280" w:type="dxa"/>
            <w:vMerge/>
            <w:vAlign w:val="center"/>
          </w:tcPr>
          <w:p w:rsidR="00F6192F" w:rsidRDefault="00F6192F">
            <w:pPr>
              <w:widowControl/>
              <w:jc w:val="left"/>
              <w:rPr>
                <w:rFonts w:ascii="仿宋_GB2312" w:eastAsia="仿宋_GB2312" w:hAnsi="仿宋_GB2312" w:cs="仿宋_GB2312"/>
                <w:color w:val="000000"/>
                <w:kern w:val="0"/>
                <w:szCs w:val="21"/>
              </w:rPr>
            </w:pPr>
          </w:p>
        </w:tc>
        <w:tc>
          <w:tcPr>
            <w:tcW w:w="232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生物质利用</w:t>
            </w:r>
          </w:p>
        </w:tc>
        <w:tc>
          <w:tcPr>
            <w:tcW w:w="540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生物质与垃圾发电站安全管理与运维检修，生物液体燃料工程设计</w:t>
            </w:r>
          </w:p>
        </w:tc>
      </w:tr>
      <w:tr w:rsidR="00F6192F">
        <w:trPr>
          <w:cantSplit/>
          <w:trHeight w:val="778"/>
          <w:jc w:val="center"/>
        </w:trPr>
        <w:tc>
          <w:tcPr>
            <w:tcW w:w="1280" w:type="dxa"/>
            <w:vMerge w:val="restart"/>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核电</w:t>
            </w:r>
          </w:p>
        </w:tc>
        <w:tc>
          <w:tcPr>
            <w:tcW w:w="232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科技重大专项和国家</w:t>
            </w:r>
          </w:p>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标准化示范成果转化</w:t>
            </w:r>
          </w:p>
        </w:tc>
        <w:tc>
          <w:tcPr>
            <w:tcW w:w="5400" w:type="dxa"/>
            <w:shd w:val="clear" w:color="auto" w:fill="auto"/>
            <w:vAlign w:val="center"/>
          </w:tcPr>
          <w:p w:rsidR="00F6192F" w:rsidRDefault="00B016F4">
            <w:pPr>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“核电重大专项中国先进核电标准体系”研究成果和“华龙一号”国家重大工程标准化示范的成果转化应用</w:t>
            </w:r>
          </w:p>
        </w:tc>
      </w:tr>
      <w:tr w:rsidR="00F6192F">
        <w:trPr>
          <w:cantSplit/>
          <w:trHeight w:val="718"/>
          <w:jc w:val="center"/>
        </w:trPr>
        <w:tc>
          <w:tcPr>
            <w:tcW w:w="1280" w:type="dxa"/>
            <w:vMerge/>
            <w:vAlign w:val="center"/>
          </w:tcPr>
          <w:p w:rsidR="00F6192F" w:rsidRDefault="00F6192F">
            <w:pPr>
              <w:widowControl/>
              <w:jc w:val="left"/>
              <w:rPr>
                <w:rFonts w:ascii="仿宋_GB2312" w:eastAsia="仿宋_GB2312" w:hAnsi="仿宋_GB2312" w:cs="仿宋_GB2312"/>
                <w:color w:val="000000"/>
                <w:kern w:val="0"/>
                <w:szCs w:val="21"/>
              </w:rPr>
            </w:pPr>
          </w:p>
        </w:tc>
        <w:tc>
          <w:tcPr>
            <w:tcW w:w="232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 xml:space="preserve">其他方向     </w:t>
            </w:r>
          </w:p>
        </w:tc>
        <w:tc>
          <w:tcPr>
            <w:tcW w:w="540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核电消防，核能供热，核岛机械设备，</w:t>
            </w:r>
          </w:p>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小型压水堆和高温气冷堆选址设计</w:t>
            </w:r>
          </w:p>
        </w:tc>
      </w:tr>
      <w:tr w:rsidR="00F6192F">
        <w:trPr>
          <w:cantSplit/>
          <w:trHeight w:val="1443"/>
          <w:jc w:val="center"/>
        </w:trPr>
        <w:tc>
          <w:tcPr>
            <w:tcW w:w="1280" w:type="dxa"/>
            <w:vMerge w:val="restart"/>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新型储能、氢能</w:t>
            </w:r>
          </w:p>
        </w:tc>
        <w:tc>
          <w:tcPr>
            <w:tcW w:w="2320" w:type="dxa"/>
            <w:vMerge w:val="restart"/>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新型储能</w:t>
            </w:r>
          </w:p>
        </w:tc>
        <w:tc>
          <w:tcPr>
            <w:tcW w:w="540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新型储能系统建设、运维、安全监督，电化学储能的安全设计、制造与测评，用户侧储能的安装、运行、维护，能源储能配置规模测算，储能电站安全管理、应急处置，</w:t>
            </w:r>
          </w:p>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不同应用场景下的储能系统技术要求及并网性能要求</w:t>
            </w:r>
          </w:p>
        </w:tc>
      </w:tr>
      <w:tr w:rsidR="00F6192F">
        <w:trPr>
          <w:cantSplit/>
          <w:trHeight w:val="1320"/>
          <w:jc w:val="center"/>
        </w:trPr>
        <w:tc>
          <w:tcPr>
            <w:tcW w:w="1280" w:type="dxa"/>
            <w:vMerge/>
            <w:vAlign w:val="center"/>
          </w:tcPr>
          <w:p w:rsidR="00F6192F" w:rsidRDefault="00F6192F">
            <w:pPr>
              <w:widowControl/>
              <w:jc w:val="left"/>
              <w:rPr>
                <w:rFonts w:ascii="仿宋_GB2312" w:eastAsia="仿宋_GB2312" w:hAnsi="仿宋_GB2312" w:cs="仿宋_GB2312"/>
                <w:color w:val="000000"/>
                <w:kern w:val="0"/>
                <w:szCs w:val="21"/>
              </w:rPr>
            </w:pPr>
          </w:p>
        </w:tc>
        <w:tc>
          <w:tcPr>
            <w:tcW w:w="232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氢能关键技术</w:t>
            </w:r>
          </w:p>
        </w:tc>
        <w:tc>
          <w:tcPr>
            <w:tcW w:w="5400" w:type="dxa"/>
            <w:shd w:val="clear" w:color="auto" w:fill="auto"/>
            <w:vAlign w:val="center"/>
          </w:tcPr>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电解质制氢及综合应用，</w:t>
            </w:r>
            <w:proofErr w:type="gramStart"/>
            <w:r>
              <w:rPr>
                <w:rFonts w:ascii="仿宋_GB2312" w:eastAsia="仿宋_GB2312" w:hAnsi="仿宋_GB2312" w:cs="仿宋_GB2312" w:hint="eastAsia"/>
                <w:color w:val="000000"/>
                <w:kern w:val="0"/>
                <w:szCs w:val="21"/>
              </w:rPr>
              <w:t>氢电耦合</w:t>
            </w:r>
            <w:proofErr w:type="gramEnd"/>
            <w:r>
              <w:rPr>
                <w:rFonts w:ascii="仿宋_GB2312" w:eastAsia="仿宋_GB2312" w:hAnsi="仿宋_GB2312" w:cs="仿宋_GB2312" w:hint="eastAsia"/>
                <w:color w:val="000000"/>
                <w:kern w:val="0"/>
                <w:szCs w:val="21"/>
              </w:rPr>
              <w:t>技术，</w:t>
            </w:r>
          </w:p>
          <w:p w:rsidR="00F6192F" w:rsidRDefault="00B016F4">
            <w:pPr>
              <w:widowControl/>
              <w:jc w:val="center"/>
              <w:rPr>
                <w:rFonts w:ascii="仿宋_GB2312" w:eastAsia="仿宋_GB2312" w:hAnsi="仿宋_GB2312" w:cs="仿宋_GB2312"/>
                <w:color w:val="000000"/>
                <w:kern w:val="0"/>
                <w:szCs w:val="21"/>
              </w:rPr>
            </w:pPr>
            <w:r>
              <w:rPr>
                <w:rFonts w:ascii="仿宋_GB2312" w:eastAsia="仿宋_GB2312" w:hAnsi="仿宋_GB2312" w:cs="仿宋_GB2312" w:hint="eastAsia"/>
                <w:color w:val="000000"/>
                <w:kern w:val="0"/>
                <w:szCs w:val="21"/>
              </w:rPr>
              <w:t>氢燃料电池发电站，燃料电池关键零部件</w:t>
            </w:r>
          </w:p>
        </w:tc>
      </w:tr>
    </w:tbl>
    <w:p w:rsidR="00F6192F" w:rsidRDefault="00F6192F">
      <w:pPr>
        <w:rPr>
          <w:rFonts w:ascii="仿宋_GB2312" w:eastAsia="仿宋_GB2312" w:hAnsi="仿宋_GB2312" w:cs="仿宋_GB2312"/>
          <w:sz w:val="32"/>
          <w:szCs w:val="32"/>
        </w:rPr>
      </w:pPr>
    </w:p>
    <w:sectPr w:rsidR="00F6192F" w:rsidSect="00445218">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6F4" w:rsidRDefault="00B016F4">
      <w:r>
        <w:separator/>
      </w:r>
    </w:p>
  </w:endnote>
  <w:endnote w:type="continuationSeparator" w:id="0">
    <w:p w:rsidR="00B016F4" w:rsidRDefault="00B01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DejaVu Sans"/>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华文仿宋">
    <w:altName w:val="汉仪仿宋简"/>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C82" w:rsidRDefault="00EB5C82" w:rsidP="00EB5C82">
    <w:pPr>
      <w:pStyle w:val="a5"/>
      <w:jc w:val="center"/>
      <w:rPr>
        <w:rFonts w:ascii="宋体" w:eastAsia="宋体" w:hAnsi="宋体"/>
        <w:sz w:val="28"/>
        <w:szCs w:val="28"/>
      </w:rPr>
    </w:pPr>
    <w:r>
      <w:rPr>
        <w:noProof/>
        <w:sz w:val="28"/>
      </w:rPr>
      <mc:AlternateContent>
        <mc:Choice Requires="wps">
          <w:drawing>
            <wp:anchor distT="0" distB="0" distL="114300" distR="114300" simplePos="0" relativeHeight="251661312" behindDoc="0" locked="0" layoutInCell="1" allowOverlap="1" wp14:anchorId="049E77F6" wp14:editId="4E6CC8D8">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112540182"/>
                          </w:sdtPr>
                          <w:sdtEndPr>
                            <w:rPr>
                              <w:rFonts w:ascii="宋体" w:eastAsia="宋体" w:hAnsi="宋体"/>
                              <w:sz w:val="28"/>
                              <w:szCs w:val="28"/>
                            </w:rPr>
                          </w:sdtEndPr>
                          <w:sdtContent>
                            <w:p w:rsidR="00EB5C82" w:rsidRDefault="00EB5C82" w:rsidP="00D233BC">
                              <w:pPr>
                                <w:pStyle w:val="a5"/>
                                <w:jc w:val="center"/>
                                <w:rPr>
                                  <w:rFonts w:ascii="宋体" w:eastAsia="宋体" w:hAnsi="宋体" w:hint="eastAsia"/>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D233BC" w:rsidRPr="00D233BC">
                                <w:rPr>
                                  <w:rFonts w:ascii="宋体" w:eastAsia="宋体" w:hAnsi="宋体"/>
                                  <w:noProof/>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sdtContent>
                        </w:sdt>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49E77F6"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sdt>
                    <w:sdtPr>
                      <w:id w:val="2112540182"/>
                    </w:sdtPr>
                    <w:sdtEndPr>
                      <w:rPr>
                        <w:rFonts w:ascii="宋体" w:eastAsia="宋体" w:hAnsi="宋体"/>
                        <w:sz w:val="28"/>
                        <w:szCs w:val="28"/>
                      </w:rPr>
                    </w:sdtEndPr>
                    <w:sdtContent>
                      <w:p w:rsidR="00EB5C82" w:rsidRDefault="00EB5C82" w:rsidP="00D233BC">
                        <w:pPr>
                          <w:pStyle w:val="a5"/>
                          <w:jc w:val="center"/>
                          <w:rPr>
                            <w:rFonts w:ascii="宋体" w:eastAsia="宋体" w:hAnsi="宋体" w:hint="eastAsia"/>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D233BC" w:rsidRPr="00D233BC">
                          <w:rPr>
                            <w:rFonts w:ascii="宋体" w:eastAsia="宋体" w:hAnsi="宋体"/>
                            <w:noProof/>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sdtContent>
                  </w:sdt>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92F" w:rsidRDefault="00D233BC" w:rsidP="00D233BC">
    <w:pPr>
      <w:pStyle w:val="a5"/>
      <w:tabs>
        <w:tab w:val="left" w:pos="6293"/>
      </w:tabs>
      <w:rPr>
        <w:rFonts w:ascii="宋体" w:eastAsia="宋体" w:hAnsi="宋体"/>
        <w:sz w:val="28"/>
        <w:szCs w:val="28"/>
      </w:rPr>
    </w:pPr>
    <w:r>
      <w:rPr>
        <w:rFonts w:ascii="宋体" w:eastAsia="宋体" w:hAnsi="宋体"/>
        <w:sz w:val="28"/>
        <w:szCs w:val="28"/>
      </w:rPr>
      <w:tab/>
    </w:r>
    <w:r w:rsidR="00B016F4">
      <w:rPr>
        <w:noProof/>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603877841"/>
                          </w:sdtPr>
                          <w:sdtEndPr>
                            <w:rPr>
                              <w:rFonts w:ascii="宋体" w:eastAsia="宋体" w:hAnsi="宋体"/>
                              <w:sz w:val="28"/>
                              <w:szCs w:val="28"/>
                            </w:rPr>
                          </w:sdtEndPr>
                          <w:sdtContent>
                            <w:p w:rsidR="00F6192F" w:rsidRDefault="00B016F4">
                              <w:pPr>
                                <w:pStyle w:val="a5"/>
                                <w:jc w:val="cente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802751" w:rsidRPr="00802751">
                                <w:rPr>
                                  <w:rFonts w:ascii="宋体" w:eastAsia="宋体" w:hAnsi="宋体"/>
                                  <w:noProof/>
                                  <w:sz w:val="28"/>
                                  <w:szCs w:val="28"/>
                                  <w:lang w:val="zh-CN"/>
                                </w:rPr>
                                <w:t>3</w:t>
                              </w:r>
                              <w:r>
                                <w:rPr>
                                  <w:rFonts w:ascii="宋体" w:eastAsia="宋体" w:hAnsi="宋体"/>
                                  <w:sz w:val="28"/>
                                  <w:szCs w:val="28"/>
                                </w:rPr>
                                <w:fldChar w:fldCharType="end"/>
                              </w:r>
                              <w:r>
                                <w:rPr>
                                  <w:rFonts w:ascii="宋体" w:eastAsia="宋体" w:hAnsi="宋体" w:hint="eastAsia"/>
                                  <w:sz w:val="28"/>
                                  <w:szCs w:val="28"/>
                                </w:rPr>
                                <w:t xml:space="preserve"> —</w:t>
                              </w:r>
                            </w:p>
                          </w:sdtContent>
                        </w:sdt>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mbsUVkAgAAEQUAAA4AAAAAAAAAAAAAAAAALgIAAGRycy9lMm9Eb2Mu&#10;eG1sUEsBAi0AFAAGAAgAAAAhAHGq0bnXAAAABQEAAA8AAAAAAAAAAAAAAAAAvgQAAGRycy9kb3du&#10;cmV2LnhtbFBLBQYAAAAABAAEAPMAAADCBQAAAAA=&#10;" filled="f" stroked="f" strokeweight=".5pt">
              <v:textbox style="mso-fit-shape-to-text:t" inset="0,0,0,0">
                <w:txbxContent>
                  <w:sdt>
                    <w:sdtPr>
                      <w:id w:val="-1603877841"/>
                    </w:sdtPr>
                    <w:sdtEndPr>
                      <w:rPr>
                        <w:rFonts w:ascii="宋体" w:eastAsia="宋体" w:hAnsi="宋体"/>
                        <w:sz w:val="28"/>
                        <w:szCs w:val="28"/>
                      </w:rPr>
                    </w:sdtEndPr>
                    <w:sdtContent>
                      <w:p w:rsidR="00F6192F" w:rsidRDefault="00B016F4">
                        <w:pPr>
                          <w:pStyle w:val="a5"/>
                          <w:jc w:val="cente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802751" w:rsidRPr="00802751">
                          <w:rPr>
                            <w:rFonts w:ascii="宋体" w:eastAsia="宋体" w:hAnsi="宋体"/>
                            <w:noProof/>
                            <w:sz w:val="28"/>
                            <w:szCs w:val="28"/>
                            <w:lang w:val="zh-CN"/>
                          </w:rPr>
                          <w:t>3</w:t>
                        </w:r>
                        <w:r>
                          <w:rPr>
                            <w:rFonts w:ascii="宋体" w:eastAsia="宋体" w:hAnsi="宋体"/>
                            <w:sz w:val="28"/>
                            <w:szCs w:val="28"/>
                          </w:rPr>
                          <w:fldChar w:fldCharType="end"/>
                        </w:r>
                        <w:r>
                          <w:rPr>
                            <w:rFonts w:ascii="宋体" w:eastAsia="宋体" w:hAnsi="宋体" w:hint="eastAsia"/>
                            <w:sz w:val="28"/>
                            <w:szCs w:val="28"/>
                          </w:rPr>
                          <w:t xml:space="preserve"> —</w:t>
                        </w:r>
                      </w:p>
                    </w:sdtContent>
                  </w:sdt>
                </w:txbxContent>
              </v:textbox>
              <w10:wrap anchorx="margin"/>
            </v:shape>
          </w:pict>
        </mc:Fallback>
      </mc:AlternateContent>
    </w:r>
    <w:r>
      <w:rPr>
        <w:rFonts w:ascii="宋体" w:eastAsia="宋体" w:hAnsi="宋体"/>
        <w:sz w:val="28"/>
        <w:szCs w:val="28"/>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879629"/>
    </w:sdtPr>
    <w:sdtEndPr>
      <w:rPr>
        <w:rFonts w:ascii="宋体" w:eastAsia="宋体" w:hAnsi="宋体"/>
        <w:sz w:val="28"/>
        <w:szCs w:val="28"/>
      </w:rPr>
    </w:sdtEndPr>
    <w:sdtContent>
      <w:p w:rsidR="00445218" w:rsidRDefault="00445218" w:rsidP="00445218">
        <w:pPr>
          <w:pStyle w:val="a5"/>
          <w:jc w:val="cente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D233BC" w:rsidRPr="00D233BC">
          <w:rPr>
            <w:rFonts w:ascii="宋体" w:eastAsia="宋体" w:hAnsi="宋体"/>
            <w:noProof/>
            <w:sz w:val="28"/>
            <w:szCs w:val="28"/>
            <w:lang w:val="zh-CN"/>
          </w:rPr>
          <w:t>6</w:t>
        </w:r>
        <w:r>
          <w:rPr>
            <w:rFonts w:ascii="宋体" w:eastAsia="宋体" w:hAnsi="宋体"/>
            <w:sz w:val="28"/>
            <w:szCs w:val="28"/>
          </w:rPr>
          <w:fldChar w:fldCharType="end"/>
        </w:r>
        <w:r>
          <w:rPr>
            <w:rFonts w:ascii="宋体" w:eastAsia="宋体" w:hAnsi="宋体" w:hint="eastAsia"/>
            <w:sz w:val="28"/>
            <w:szCs w:val="28"/>
          </w:rPr>
          <w:t xml:space="preserve"> —</w:t>
        </w:r>
      </w:p>
    </w:sdtContent>
  </w:sdt>
  <w:p w:rsidR="00F6192F" w:rsidRDefault="00F6192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6F4" w:rsidRDefault="00B016F4">
      <w:r>
        <w:separator/>
      </w:r>
    </w:p>
  </w:footnote>
  <w:footnote w:type="continuationSeparator" w:id="0">
    <w:p w:rsidR="00B016F4" w:rsidRDefault="00B016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08B"/>
    <w:rsid w:val="975F9481"/>
    <w:rsid w:val="AD771A8A"/>
    <w:rsid w:val="AFFC0FE4"/>
    <w:rsid w:val="CFFE7714"/>
    <w:rsid w:val="DDCB5587"/>
    <w:rsid w:val="DEDB04C5"/>
    <w:rsid w:val="DEE4CF86"/>
    <w:rsid w:val="EBD6B746"/>
    <w:rsid w:val="EBF7B794"/>
    <w:rsid w:val="EDFF1C85"/>
    <w:rsid w:val="F83DB463"/>
    <w:rsid w:val="FB4C737C"/>
    <w:rsid w:val="FBEF31C3"/>
    <w:rsid w:val="FD9B9276"/>
    <w:rsid w:val="FF3FBECC"/>
    <w:rsid w:val="000073EB"/>
    <w:rsid w:val="00011096"/>
    <w:rsid w:val="00046972"/>
    <w:rsid w:val="000511B1"/>
    <w:rsid w:val="00092207"/>
    <w:rsid w:val="000B6FE0"/>
    <w:rsid w:val="000C66E8"/>
    <w:rsid w:val="000D4CA9"/>
    <w:rsid w:val="000F089E"/>
    <w:rsid w:val="00106D2A"/>
    <w:rsid w:val="001204F3"/>
    <w:rsid w:val="00174CC5"/>
    <w:rsid w:val="001913FA"/>
    <w:rsid w:val="001961CC"/>
    <w:rsid w:val="001A2C37"/>
    <w:rsid w:val="001A4A5B"/>
    <w:rsid w:val="001A6E1D"/>
    <w:rsid w:val="001C6658"/>
    <w:rsid w:val="001D45D4"/>
    <w:rsid w:val="001D4E2E"/>
    <w:rsid w:val="001E6E40"/>
    <w:rsid w:val="001F7B28"/>
    <w:rsid w:val="00200F0E"/>
    <w:rsid w:val="002124E5"/>
    <w:rsid w:val="002162B9"/>
    <w:rsid w:val="00216378"/>
    <w:rsid w:val="002323C9"/>
    <w:rsid w:val="00244854"/>
    <w:rsid w:val="00267445"/>
    <w:rsid w:val="00291EA4"/>
    <w:rsid w:val="002963C8"/>
    <w:rsid w:val="002A7B53"/>
    <w:rsid w:val="002B31D8"/>
    <w:rsid w:val="002B6F7F"/>
    <w:rsid w:val="0033667A"/>
    <w:rsid w:val="0035543A"/>
    <w:rsid w:val="00372869"/>
    <w:rsid w:val="00376FF6"/>
    <w:rsid w:val="00394763"/>
    <w:rsid w:val="003A50BF"/>
    <w:rsid w:val="003D2108"/>
    <w:rsid w:val="00445218"/>
    <w:rsid w:val="00460733"/>
    <w:rsid w:val="00472EB5"/>
    <w:rsid w:val="00480F61"/>
    <w:rsid w:val="00492B12"/>
    <w:rsid w:val="004A3FDD"/>
    <w:rsid w:val="004B55A2"/>
    <w:rsid w:val="004D5654"/>
    <w:rsid w:val="004E3169"/>
    <w:rsid w:val="004E3C74"/>
    <w:rsid w:val="004F268A"/>
    <w:rsid w:val="0050724B"/>
    <w:rsid w:val="00550463"/>
    <w:rsid w:val="00560F0F"/>
    <w:rsid w:val="005903E4"/>
    <w:rsid w:val="00596FBA"/>
    <w:rsid w:val="005A0A30"/>
    <w:rsid w:val="005A2F35"/>
    <w:rsid w:val="005A643E"/>
    <w:rsid w:val="005D3F4F"/>
    <w:rsid w:val="005E075B"/>
    <w:rsid w:val="00612D90"/>
    <w:rsid w:val="00636456"/>
    <w:rsid w:val="00647FD7"/>
    <w:rsid w:val="00652BE9"/>
    <w:rsid w:val="006E6412"/>
    <w:rsid w:val="006F092A"/>
    <w:rsid w:val="006F58D6"/>
    <w:rsid w:val="00713956"/>
    <w:rsid w:val="007258AD"/>
    <w:rsid w:val="00746F59"/>
    <w:rsid w:val="00750AA5"/>
    <w:rsid w:val="0075138E"/>
    <w:rsid w:val="00772265"/>
    <w:rsid w:val="007730B7"/>
    <w:rsid w:val="00773FFB"/>
    <w:rsid w:val="007C3FCD"/>
    <w:rsid w:val="007D52A0"/>
    <w:rsid w:val="007D7534"/>
    <w:rsid w:val="007E24F1"/>
    <w:rsid w:val="00802751"/>
    <w:rsid w:val="008148BF"/>
    <w:rsid w:val="0082126D"/>
    <w:rsid w:val="00833F83"/>
    <w:rsid w:val="0083648F"/>
    <w:rsid w:val="008450CE"/>
    <w:rsid w:val="008735D8"/>
    <w:rsid w:val="00877788"/>
    <w:rsid w:val="00881CFD"/>
    <w:rsid w:val="00885219"/>
    <w:rsid w:val="008863C7"/>
    <w:rsid w:val="00895292"/>
    <w:rsid w:val="008F5F54"/>
    <w:rsid w:val="00906A9C"/>
    <w:rsid w:val="00932041"/>
    <w:rsid w:val="00936E1D"/>
    <w:rsid w:val="00966543"/>
    <w:rsid w:val="009725D1"/>
    <w:rsid w:val="0098651D"/>
    <w:rsid w:val="00997C1A"/>
    <w:rsid w:val="009A20C2"/>
    <w:rsid w:val="009B0B0C"/>
    <w:rsid w:val="009C2CC6"/>
    <w:rsid w:val="009C529B"/>
    <w:rsid w:val="009C6F28"/>
    <w:rsid w:val="00A1042E"/>
    <w:rsid w:val="00A108B2"/>
    <w:rsid w:val="00A11393"/>
    <w:rsid w:val="00A14AD6"/>
    <w:rsid w:val="00A152A9"/>
    <w:rsid w:val="00A30A3B"/>
    <w:rsid w:val="00A65DEB"/>
    <w:rsid w:val="00A71130"/>
    <w:rsid w:val="00A8008B"/>
    <w:rsid w:val="00A95170"/>
    <w:rsid w:val="00AA6B1D"/>
    <w:rsid w:val="00AC186F"/>
    <w:rsid w:val="00AD5067"/>
    <w:rsid w:val="00AE02E8"/>
    <w:rsid w:val="00AF4869"/>
    <w:rsid w:val="00B016F4"/>
    <w:rsid w:val="00B07832"/>
    <w:rsid w:val="00B10A76"/>
    <w:rsid w:val="00B119F2"/>
    <w:rsid w:val="00B2647C"/>
    <w:rsid w:val="00B30746"/>
    <w:rsid w:val="00B3232F"/>
    <w:rsid w:val="00B717C6"/>
    <w:rsid w:val="00B72375"/>
    <w:rsid w:val="00B72609"/>
    <w:rsid w:val="00B84133"/>
    <w:rsid w:val="00B845B2"/>
    <w:rsid w:val="00B97E01"/>
    <w:rsid w:val="00BD2F21"/>
    <w:rsid w:val="00C609CE"/>
    <w:rsid w:val="00C75B80"/>
    <w:rsid w:val="00CD24B6"/>
    <w:rsid w:val="00CD3649"/>
    <w:rsid w:val="00CD4628"/>
    <w:rsid w:val="00CE2D71"/>
    <w:rsid w:val="00D12C0D"/>
    <w:rsid w:val="00D2126A"/>
    <w:rsid w:val="00D2167E"/>
    <w:rsid w:val="00D233BC"/>
    <w:rsid w:val="00D50A46"/>
    <w:rsid w:val="00D522D0"/>
    <w:rsid w:val="00D5685E"/>
    <w:rsid w:val="00D6097B"/>
    <w:rsid w:val="00D66B52"/>
    <w:rsid w:val="00D81EBC"/>
    <w:rsid w:val="00D83E80"/>
    <w:rsid w:val="00DD1C55"/>
    <w:rsid w:val="00DD1E30"/>
    <w:rsid w:val="00DE31FB"/>
    <w:rsid w:val="00DF177B"/>
    <w:rsid w:val="00E006B5"/>
    <w:rsid w:val="00E04624"/>
    <w:rsid w:val="00E21B94"/>
    <w:rsid w:val="00E31074"/>
    <w:rsid w:val="00E342E2"/>
    <w:rsid w:val="00E52D6B"/>
    <w:rsid w:val="00E71142"/>
    <w:rsid w:val="00E85C69"/>
    <w:rsid w:val="00EB5C82"/>
    <w:rsid w:val="00EC379F"/>
    <w:rsid w:val="00EC651A"/>
    <w:rsid w:val="00EC6932"/>
    <w:rsid w:val="00ED2338"/>
    <w:rsid w:val="00EF519B"/>
    <w:rsid w:val="00F03361"/>
    <w:rsid w:val="00F05CAC"/>
    <w:rsid w:val="00F10B27"/>
    <w:rsid w:val="00F50202"/>
    <w:rsid w:val="00F6192F"/>
    <w:rsid w:val="00F64E15"/>
    <w:rsid w:val="00F65FAF"/>
    <w:rsid w:val="00F67C1C"/>
    <w:rsid w:val="00F8345A"/>
    <w:rsid w:val="00F875F5"/>
    <w:rsid w:val="00F937F0"/>
    <w:rsid w:val="00F94B16"/>
    <w:rsid w:val="00FA4143"/>
    <w:rsid w:val="00FA5F87"/>
    <w:rsid w:val="00FB106D"/>
    <w:rsid w:val="00FC3225"/>
    <w:rsid w:val="00FD4739"/>
    <w:rsid w:val="3BBD36A8"/>
    <w:rsid w:val="3FBF3A4E"/>
    <w:rsid w:val="4FF22C27"/>
    <w:rsid w:val="66DF7F16"/>
    <w:rsid w:val="6B5F607B"/>
    <w:rsid w:val="70F6E0FA"/>
    <w:rsid w:val="74FF000A"/>
    <w:rsid w:val="7AF6A20E"/>
    <w:rsid w:val="7BF9B0DB"/>
    <w:rsid w:val="7D7FAAEB"/>
    <w:rsid w:val="7ED7638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DA8D98"/>
  <w15:docId w15:val="{7E6018FB-870B-4159-99A3-76BCBF59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5C8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9">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C94341-26C2-478C-9366-F71A83F15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456</Words>
  <Characters>2603</Characters>
  <Application>Microsoft Office Word</Application>
  <DocSecurity>0</DocSecurity>
  <Lines>21</Lines>
  <Paragraphs>6</Paragraphs>
  <ScaleCrop>false</ScaleCrop>
  <Company>Microsoft</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creator>xihari</dc:creator>
  <cp:lastModifiedBy>标准室</cp:lastModifiedBy>
  <cp:revision>10</cp:revision>
  <cp:lastPrinted>2022-01-18T14:33:00Z</cp:lastPrinted>
  <dcterms:created xsi:type="dcterms:W3CDTF">2021-12-19T20:44:00Z</dcterms:created>
  <dcterms:modified xsi:type="dcterms:W3CDTF">2022-01-18T08:40:00Z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2052-11.8.2.9695</vt:lpwstr>
  </property>
</Properties>
</file>