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微软雅黑" w:hAnsi="微软雅黑" w:eastAsia="微软雅黑" w:cs="微软雅黑"/>
          <w:sz w:val="28"/>
          <w:szCs w:val="36"/>
          <w:lang w:eastAsia="zh-CN"/>
        </w:rPr>
      </w:pPr>
      <w:r>
        <w:rPr>
          <w:rFonts w:hint="eastAsia" w:ascii="微软雅黑" w:hAnsi="微软雅黑" w:eastAsia="微软雅黑" w:cs="微软雅黑"/>
          <w:sz w:val="28"/>
          <w:szCs w:val="36"/>
        </w:rPr>
        <w:t>城市绿色低碳能源体系建设解决方案</w:t>
      </w:r>
      <w:r>
        <w:rPr>
          <w:rFonts w:hint="eastAsia" w:ascii="微软雅黑" w:hAnsi="微软雅黑" w:eastAsia="微软雅黑" w:cs="微软雅黑"/>
          <w:sz w:val="28"/>
          <w:szCs w:val="36"/>
          <w:lang w:eastAsia="zh-CN"/>
        </w:rPr>
        <w:t>（</w:t>
      </w:r>
      <w:r>
        <w:rPr>
          <w:rFonts w:hint="eastAsia" w:ascii="微软雅黑" w:hAnsi="微软雅黑" w:eastAsia="微软雅黑" w:cs="微软雅黑"/>
          <w:sz w:val="28"/>
          <w:szCs w:val="36"/>
          <w:lang w:val="en-US" w:eastAsia="zh-CN"/>
        </w:rPr>
        <w:t>风能展</w:t>
      </w:r>
      <w:r>
        <w:rPr>
          <w:rFonts w:hint="eastAsia" w:ascii="微软雅黑" w:hAnsi="微软雅黑" w:eastAsia="微软雅黑" w:cs="微软雅黑"/>
          <w:sz w:val="28"/>
          <w:szCs w:val="36"/>
          <w:lang w:eastAsia="zh-CN"/>
        </w:rPr>
        <w:t>）</w:t>
      </w:r>
    </w:p>
    <w:p>
      <w:pPr>
        <w:bidi w:val="0"/>
        <w:rPr>
          <w:rFonts w:hint="eastAsia"/>
        </w:rPr>
      </w:pPr>
    </w:p>
    <w:p>
      <w:pPr>
        <w:pStyle w:val="2"/>
        <w:bidi w:val="0"/>
        <w:ind w:left="432" w:leftChars="0" w:hanging="432" w:firstLineChars="0"/>
        <w:rPr>
          <w:rFonts w:hint="default"/>
          <w:lang w:val="en-US" w:eastAsia="zh-CN"/>
        </w:rPr>
      </w:pPr>
      <w:r>
        <w:rPr>
          <w:rFonts w:hint="eastAsia"/>
          <w:lang w:val="en-US" w:eastAsia="zh-CN"/>
        </w:rPr>
        <w:t>策划逻辑</w:t>
      </w:r>
    </w:p>
    <w:p>
      <w:pPr>
        <w:bidi w:val="0"/>
        <w:ind w:firstLine="420" w:firstLineChars="0"/>
        <w:rPr>
          <w:rFonts w:hint="eastAsia"/>
          <w:b/>
          <w:bCs/>
          <w:lang w:val="en-US" w:eastAsia="zh-CN"/>
        </w:rPr>
      </w:pPr>
      <w:r>
        <w:rPr>
          <w:rFonts w:hint="eastAsia"/>
          <w:b/>
          <w:bCs/>
          <w:lang w:val="en-US" w:eastAsia="zh-CN"/>
        </w:rPr>
        <w:t>以构建“城市绿色低碳能源体系”为主题，从“城市能源监管”和“绿色能源建设及消费体系”三个方向提出明阳的解决方案。</w:t>
      </w:r>
    </w:p>
    <w:p>
      <w:pPr>
        <w:bidi w:val="0"/>
        <w:ind w:firstLine="420" w:firstLineChars="0"/>
        <w:rPr>
          <w:rFonts w:hint="eastAsia"/>
          <w:lang w:val="en-US" w:eastAsia="zh-CN"/>
        </w:rPr>
      </w:pPr>
      <w:r>
        <w:rPr>
          <w:rFonts w:hint="eastAsia"/>
          <w:b/>
          <w:bCs/>
          <w:lang w:val="en-US" w:eastAsia="zh-CN"/>
        </w:rPr>
        <w:t>其中在“城市能源监管”方向重点提出以“城市能源大脑”为概念的城市级能源管理平台，重点涵盖城市能源大数据平台、智慧能源公共服务平台和双碳创新服务管理平台。</w:t>
      </w:r>
      <w:r>
        <w:rPr>
          <w:rFonts w:hint="eastAsia"/>
          <w:lang w:val="en-US" w:eastAsia="zh-CN"/>
        </w:rPr>
        <w:t>其中大数据平台重点是感知、分析区域能源脉络，构建从一次能源、二次能源、消费结构到碳排放结构的监控体系；公共服务平台旨在为区域内企业的能源感知、节能减排、智能化管理提供标准的、低成本的能源数字化解决方案，也促进企业能源结构优化和节能减排；双碳创新服务</w:t>
      </w:r>
      <w:bookmarkStart w:id="0" w:name="_GoBack"/>
      <w:bookmarkEnd w:id="0"/>
      <w:r>
        <w:rPr>
          <w:rFonts w:hint="eastAsia"/>
          <w:lang w:val="en-US" w:eastAsia="zh-CN"/>
        </w:rPr>
        <w:t>管理平台旨在为区域能源服务企业和用能企业搭建合作平台，让能源服务企业更好的找到合适的用能企业，让用能企业更好的找到合适的能源优化服务和企业。</w:t>
      </w:r>
    </w:p>
    <w:p>
      <w:pPr>
        <w:bidi w:val="0"/>
        <w:ind w:firstLine="420" w:firstLineChars="0"/>
        <w:rPr>
          <w:rFonts w:hint="eastAsia"/>
          <w:b/>
          <w:bCs/>
          <w:lang w:val="en-US" w:eastAsia="zh-CN"/>
        </w:rPr>
      </w:pPr>
      <w:r>
        <w:rPr>
          <w:rFonts w:hint="eastAsia"/>
          <w:lang w:val="en-US" w:eastAsia="zh-CN"/>
        </w:rPr>
        <w:t>其中在</w:t>
      </w:r>
      <w:r>
        <w:rPr>
          <w:rFonts w:hint="eastAsia"/>
          <w:b/>
          <w:bCs/>
          <w:lang w:val="en-US" w:eastAsia="zh-CN"/>
        </w:rPr>
        <w:t>“绿色能源建设”方向重点围绕“绿色能源、绿色工业、绿色建筑、绿色交通”，提出明阳的各种解决方案。</w:t>
      </w:r>
    </w:p>
    <w:p>
      <w:pPr>
        <w:bidi w:val="0"/>
        <w:ind w:firstLine="420" w:firstLineChars="0"/>
        <w:rPr>
          <w:rFonts w:hint="eastAsia"/>
          <w:b/>
          <w:bCs/>
          <w:lang w:val="en-US" w:eastAsia="zh-CN"/>
        </w:rPr>
      </w:pPr>
      <w:r>
        <w:rPr>
          <w:rFonts w:hint="eastAsia"/>
          <w:b/>
          <w:bCs/>
          <w:lang w:val="en-US" w:eastAsia="zh-CN"/>
        </w:rPr>
        <w:t>绿色能源</w:t>
      </w:r>
      <w:r>
        <w:rPr>
          <w:rFonts w:hint="eastAsia"/>
          <w:b w:val="0"/>
          <w:bCs w:val="0"/>
          <w:lang w:val="en-US" w:eastAsia="zh-CN"/>
        </w:rPr>
        <w:t>——陆风、海风、数字风场</w:t>
      </w:r>
    </w:p>
    <w:p>
      <w:pPr>
        <w:bidi w:val="0"/>
        <w:ind w:firstLine="420" w:firstLineChars="0"/>
        <w:rPr>
          <w:rFonts w:hint="eastAsia"/>
          <w:b/>
          <w:bCs/>
          <w:lang w:val="en-US" w:eastAsia="zh-CN"/>
        </w:rPr>
      </w:pPr>
      <w:r>
        <w:rPr>
          <w:rFonts w:hint="eastAsia"/>
          <w:b/>
          <w:bCs/>
          <w:lang w:val="en-US" w:eastAsia="zh-CN"/>
        </w:rPr>
        <w:t>绿色工业</w:t>
      </w:r>
      <w:r>
        <w:rPr>
          <w:rFonts w:hint="eastAsia"/>
          <w:b w:val="0"/>
          <w:bCs w:val="0"/>
          <w:lang w:val="en-US" w:eastAsia="zh-CN"/>
        </w:rPr>
        <w:t>——绿电、绿氢、多能微网</w:t>
      </w:r>
    </w:p>
    <w:p>
      <w:pPr>
        <w:bidi w:val="0"/>
        <w:ind w:firstLine="420" w:firstLineChars="0"/>
        <w:rPr>
          <w:rFonts w:hint="eastAsia"/>
          <w:b/>
          <w:bCs/>
          <w:lang w:val="en-US" w:eastAsia="zh-CN"/>
        </w:rPr>
      </w:pPr>
      <w:r>
        <w:rPr>
          <w:rFonts w:hint="eastAsia"/>
          <w:b/>
          <w:bCs/>
          <w:lang w:val="en-US" w:eastAsia="zh-CN"/>
        </w:rPr>
        <w:t>绿色建筑</w:t>
      </w:r>
      <w:r>
        <w:rPr>
          <w:rFonts w:hint="eastAsia"/>
          <w:b w:val="0"/>
          <w:bCs w:val="0"/>
          <w:lang w:val="en-US" w:eastAsia="zh-CN"/>
        </w:rPr>
        <w:t>——BIPV、清洁供热、建筑微网</w:t>
      </w:r>
    </w:p>
    <w:p>
      <w:pPr>
        <w:bidi w:val="0"/>
        <w:ind w:firstLine="420" w:firstLineChars="0"/>
        <w:rPr>
          <w:rFonts w:hint="default"/>
          <w:b w:val="0"/>
          <w:bCs w:val="0"/>
          <w:lang w:val="en-US" w:eastAsia="zh-CN"/>
        </w:rPr>
      </w:pPr>
      <w:r>
        <w:rPr>
          <w:rFonts w:hint="eastAsia"/>
          <w:b/>
          <w:bCs/>
          <w:lang w:val="en-US" w:eastAsia="zh-CN"/>
        </w:rPr>
        <w:t>绿色交通</w:t>
      </w:r>
      <w:r>
        <w:rPr>
          <w:rFonts w:hint="eastAsia"/>
          <w:b w:val="0"/>
          <w:bCs w:val="0"/>
          <w:lang w:val="en-US" w:eastAsia="zh-CN"/>
        </w:rPr>
        <w:t>——光储充一体化、风光储氢充一体化、海上能源岛（氢能船舶）</w:t>
      </w:r>
    </w:p>
    <w:p>
      <w:pPr>
        <w:bidi w:val="0"/>
        <w:rPr>
          <w:rFonts w:hint="eastAsia" w:eastAsiaTheme="minorEastAsia"/>
          <w:lang w:val="en-US" w:eastAsia="zh-CN"/>
        </w:rPr>
      </w:pPr>
    </w:p>
    <w:p>
      <w:pPr>
        <w:bidi w:val="0"/>
        <w:ind w:firstLine="420" w:firstLineChars="0"/>
        <w:rPr>
          <w:rFonts w:hint="eastAsia"/>
          <w:lang w:val="en-US" w:eastAsia="zh-CN"/>
        </w:rPr>
      </w:pPr>
      <w:r>
        <w:rPr>
          <w:rFonts w:hint="eastAsia"/>
          <w:lang w:val="en-US" w:eastAsia="zh-CN"/>
        </w:rPr>
        <w:t>目标效果：</w:t>
      </w:r>
    </w:p>
    <w:p>
      <w:pPr>
        <w:numPr>
          <w:ilvl w:val="0"/>
          <w:numId w:val="2"/>
        </w:numPr>
        <w:bidi w:val="0"/>
        <w:ind w:firstLine="420" w:firstLineChars="0"/>
        <w:rPr>
          <w:rFonts w:hint="eastAsia"/>
          <w:lang w:val="en-US" w:eastAsia="zh-CN"/>
        </w:rPr>
      </w:pPr>
      <w:r>
        <w:rPr>
          <w:rFonts w:hint="eastAsia"/>
          <w:lang w:val="en-US" w:eastAsia="zh-CN"/>
        </w:rPr>
        <w:t>方案展示标的是城市级，这是将双碳目标作为考核指标进行落地的核心机构，市级能源监管单位由从粗放管理到精细管理的需求。</w:t>
      </w:r>
    </w:p>
    <w:p>
      <w:pPr>
        <w:numPr>
          <w:ilvl w:val="0"/>
          <w:numId w:val="2"/>
        </w:numPr>
        <w:bidi w:val="0"/>
        <w:ind w:firstLine="420" w:firstLineChars="0"/>
        <w:rPr>
          <w:rFonts w:hint="default"/>
          <w:lang w:val="en-US" w:eastAsia="zh-CN"/>
        </w:rPr>
      </w:pPr>
      <w:r>
        <w:rPr>
          <w:rFonts w:hint="eastAsia"/>
          <w:lang w:val="en-US" w:eastAsia="zh-CN"/>
        </w:rPr>
        <w:t>方案提出的绿色能源是配合集团核心业务展示进行强化映像。</w:t>
      </w:r>
    </w:p>
    <w:p>
      <w:pPr>
        <w:numPr>
          <w:ilvl w:val="0"/>
          <w:numId w:val="2"/>
        </w:numPr>
        <w:bidi w:val="0"/>
        <w:ind w:firstLine="420" w:firstLineChars="0"/>
        <w:rPr>
          <w:rFonts w:hint="default"/>
          <w:lang w:val="en-US" w:eastAsia="zh-CN"/>
        </w:rPr>
      </w:pPr>
      <w:r>
        <w:rPr>
          <w:rFonts w:hint="eastAsia"/>
          <w:lang w:val="en-US" w:eastAsia="zh-CN"/>
        </w:rPr>
        <w:t>方案提出的工业、建筑、交通领域的解决方案，是风、光、储、氢等能源在各个领域当前研究的方向和远景，为推进领域合作广泛寻找机会。</w:t>
      </w:r>
    </w:p>
    <w:p>
      <w:pPr>
        <w:bidi w:val="0"/>
        <w:ind w:firstLine="420" w:firstLineChars="0"/>
        <w:rPr>
          <w:rFonts w:hint="eastAsia"/>
          <w:lang w:val="en-US" w:eastAsia="zh-CN"/>
        </w:rPr>
      </w:pPr>
    </w:p>
    <w:p>
      <w:pPr>
        <w:bidi w:val="0"/>
        <w:ind w:firstLine="420" w:firstLineChars="0"/>
        <w:rPr>
          <w:rFonts w:hint="eastAsia"/>
          <w:lang w:val="en-US" w:eastAsia="zh-CN"/>
        </w:rPr>
      </w:pPr>
    </w:p>
    <w:p>
      <w:pPr>
        <w:pStyle w:val="2"/>
        <w:bidi w:val="0"/>
        <w:ind w:left="432" w:leftChars="0" w:hanging="432" w:firstLineChars="0"/>
        <w:rPr>
          <w:rFonts w:hint="eastAsia"/>
          <w:lang w:val="en-US" w:eastAsia="zh-CN"/>
        </w:rPr>
      </w:pPr>
      <w:r>
        <w:rPr>
          <w:rFonts w:hint="eastAsia"/>
          <w:lang w:val="en-US" w:eastAsia="zh-CN"/>
        </w:rPr>
        <w:t>展示架构</w:t>
      </w:r>
    </w:p>
    <w:tbl>
      <w:tblPr>
        <w:tblStyle w:val="13"/>
        <w:tblpPr w:leftFromText="180" w:rightFromText="180" w:vertAnchor="text" w:horzAnchor="page" w:tblpXSpec="center" w:tblpY="802"/>
        <w:tblOverlap w:val="never"/>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
        <w:gridCol w:w="2417"/>
        <w:gridCol w:w="1773"/>
        <w:gridCol w:w="2013"/>
        <w:gridCol w:w="1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Align w:val="center"/>
          </w:tcPr>
          <w:p>
            <w:pPr>
              <w:bidi w:val="0"/>
              <w:jc w:val="center"/>
              <w:rPr>
                <w:rFonts w:hint="default"/>
                <w:vertAlign w:val="baseline"/>
                <w:lang w:val="en-US" w:eastAsia="zh-CN"/>
              </w:rPr>
            </w:pPr>
            <w:r>
              <w:rPr>
                <w:rFonts w:hint="eastAsia"/>
                <w:vertAlign w:val="baseline"/>
                <w:lang w:val="en-US" w:eastAsia="zh-CN"/>
              </w:rPr>
              <w:t>序号</w:t>
            </w:r>
          </w:p>
        </w:tc>
        <w:tc>
          <w:tcPr>
            <w:tcW w:w="1418" w:type="pct"/>
            <w:vAlign w:val="center"/>
          </w:tcPr>
          <w:p>
            <w:pPr>
              <w:bidi w:val="0"/>
              <w:jc w:val="center"/>
              <w:rPr>
                <w:rFonts w:hint="default"/>
                <w:vertAlign w:val="baseline"/>
                <w:lang w:val="en-US" w:eastAsia="zh-CN"/>
              </w:rPr>
            </w:pPr>
            <w:r>
              <w:rPr>
                <w:rFonts w:hint="eastAsia"/>
                <w:vertAlign w:val="baseline"/>
                <w:lang w:val="en-US" w:eastAsia="zh-CN"/>
              </w:rPr>
              <w:t>链接点（图形化地点）</w:t>
            </w:r>
          </w:p>
        </w:tc>
        <w:tc>
          <w:tcPr>
            <w:tcW w:w="1040" w:type="pct"/>
            <w:vAlign w:val="center"/>
          </w:tcPr>
          <w:p>
            <w:pPr>
              <w:bidi w:val="0"/>
              <w:jc w:val="center"/>
              <w:rPr>
                <w:rFonts w:hint="default"/>
                <w:vertAlign w:val="baseline"/>
                <w:lang w:val="en-US" w:eastAsia="zh-CN"/>
              </w:rPr>
            </w:pPr>
            <w:r>
              <w:rPr>
                <w:rFonts w:hint="eastAsia"/>
                <w:vertAlign w:val="baseline"/>
                <w:lang w:val="en-US" w:eastAsia="zh-CN"/>
              </w:rPr>
              <w:t>一级方案</w:t>
            </w:r>
          </w:p>
        </w:tc>
        <w:tc>
          <w:tcPr>
            <w:tcW w:w="1181" w:type="pct"/>
            <w:vAlign w:val="center"/>
          </w:tcPr>
          <w:p>
            <w:pPr>
              <w:bidi w:val="0"/>
              <w:jc w:val="center"/>
              <w:rPr>
                <w:rFonts w:hint="default"/>
                <w:vertAlign w:val="baseline"/>
                <w:lang w:val="en-US" w:eastAsia="zh-CN"/>
              </w:rPr>
            </w:pPr>
            <w:r>
              <w:rPr>
                <w:rFonts w:hint="eastAsia"/>
                <w:vertAlign w:val="baseline"/>
                <w:lang w:val="en-US" w:eastAsia="zh-CN"/>
              </w:rPr>
              <w:t>二级方案</w:t>
            </w:r>
          </w:p>
        </w:tc>
        <w:tc>
          <w:tcPr>
            <w:tcW w:w="1069" w:type="pct"/>
            <w:vAlign w:val="center"/>
          </w:tcPr>
          <w:p>
            <w:pPr>
              <w:bidi w:val="0"/>
              <w:jc w:val="cente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Align w:val="center"/>
          </w:tcPr>
          <w:p>
            <w:pPr>
              <w:bidi w:val="0"/>
              <w:jc w:val="center"/>
              <w:rPr>
                <w:rFonts w:hint="default"/>
                <w:vertAlign w:val="baseline"/>
                <w:lang w:val="en-US" w:eastAsia="zh-CN"/>
              </w:rPr>
            </w:pPr>
            <w:r>
              <w:rPr>
                <w:rFonts w:hint="eastAsia"/>
                <w:vertAlign w:val="baseline"/>
                <w:lang w:val="en-US" w:eastAsia="zh-CN"/>
              </w:rPr>
              <w:t>1</w:t>
            </w:r>
          </w:p>
        </w:tc>
        <w:tc>
          <w:tcPr>
            <w:tcW w:w="1418" w:type="pct"/>
            <w:vAlign w:val="center"/>
          </w:tcPr>
          <w:p>
            <w:pPr>
              <w:bidi w:val="0"/>
              <w:jc w:val="center"/>
              <w:rPr>
                <w:rFonts w:hint="default"/>
                <w:vertAlign w:val="baseline"/>
                <w:lang w:val="en-US" w:eastAsia="zh-CN"/>
              </w:rPr>
            </w:pPr>
            <w:r>
              <w:rPr>
                <w:rFonts w:hint="eastAsia"/>
                <w:vertAlign w:val="baseline"/>
                <w:lang w:val="en-US" w:eastAsia="zh-CN"/>
              </w:rPr>
              <w:t>城市能源监管中心</w:t>
            </w:r>
          </w:p>
        </w:tc>
        <w:tc>
          <w:tcPr>
            <w:tcW w:w="1040" w:type="pct"/>
            <w:vAlign w:val="center"/>
          </w:tcPr>
          <w:p>
            <w:pPr>
              <w:bidi w:val="0"/>
              <w:jc w:val="center"/>
              <w:rPr>
                <w:rFonts w:hint="default"/>
                <w:vertAlign w:val="baseline"/>
                <w:lang w:val="en-US" w:eastAsia="zh-CN"/>
              </w:rPr>
            </w:pPr>
            <w:r>
              <w:rPr>
                <w:rFonts w:hint="eastAsia"/>
                <w:vertAlign w:val="baseline"/>
                <w:lang w:val="en-US" w:eastAsia="zh-CN"/>
              </w:rPr>
              <w:t>城市能源大脑</w:t>
            </w:r>
          </w:p>
        </w:tc>
        <w:tc>
          <w:tcPr>
            <w:tcW w:w="1181" w:type="pct"/>
            <w:vAlign w:val="center"/>
          </w:tcPr>
          <w:p>
            <w:pPr>
              <w:bidi w:val="0"/>
              <w:jc w:val="center"/>
              <w:rPr>
                <w:rFonts w:hint="eastAsia"/>
                <w:vertAlign w:val="baseline"/>
                <w:lang w:val="en-US" w:eastAsia="zh-CN"/>
              </w:rPr>
            </w:pPr>
            <w:r>
              <w:rPr>
                <w:rFonts w:hint="eastAsia"/>
                <w:vertAlign w:val="baseline"/>
                <w:lang w:val="en-US" w:eastAsia="zh-CN"/>
              </w:rPr>
              <w:t>能源大数据平台</w:t>
            </w:r>
          </w:p>
          <w:p>
            <w:pPr>
              <w:bidi w:val="0"/>
              <w:jc w:val="center"/>
              <w:rPr>
                <w:rFonts w:hint="eastAsia"/>
                <w:vertAlign w:val="baseline"/>
                <w:lang w:val="en-US" w:eastAsia="zh-CN"/>
              </w:rPr>
            </w:pPr>
            <w:r>
              <w:rPr>
                <w:rFonts w:hint="eastAsia"/>
                <w:vertAlign w:val="baseline"/>
                <w:lang w:val="en-US" w:eastAsia="zh-CN"/>
              </w:rPr>
              <w:t>公共服务平台</w:t>
            </w:r>
          </w:p>
          <w:p>
            <w:pPr>
              <w:bidi w:val="0"/>
              <w:jc w:val="center"/>
              <w:rPr>
                <w:rFonts w:hint="default"/>
                <w:vertAlign w:val="baseline"/>
                <w:lang w:val="en-US" w:eastAsia="zh-CN"/>
              </w:rPr>
            </w:pPr>
            <w:r>
              <w:rPr>
                <w:rFonts w:hint="eastAsia"/>
                <w:vertAlign w:val="baseline"/>
                <w:lang w:val="en-US" w:eastAsia="zh-CN"/>
              </w:rPr>
              <w:t>创新服务平台</w:t>
            </w: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Merge w:val="restart"/>
            <w:vAlign w:val="center"/>
          </w:tcPr>
          <w:p>
            <w:pPr>
              <w:bidi w:val="0"/>
              <w:jc w:val="center"/>
              <w:rPr>
                <w:rFonts w:hint="default"/>
                <w:vertAlign w:val="baseline"/>
                <w:lang w:val="en-US" w:eastAsia="zh-CN"/>
              </w:rPr>
            </w:pPr>
            <w:r>
              <w:rPr>
                <w:rFonts w:hint="eastAsia"/>
                <w:vertAlign w:val="baseline"/>
                <w:lang w:val="en-US" w:eastAsia="zh-CN"/>
              </w:rPr>
              <w:t>2</w:t>
            </w:r>
          </w:p>
        </w:tc>
        <w:tc>
          <w:tcPr>
            <w:tcW w:w="1418" w:type="pct"/>
            <w:vMerge w:val="restart"/>
            <w:vAlign w:val="center"/>
          </w:tcPr>
          <w:p>
            <w:pPr>
              <w:bidi w:val="0"/>
              <w:jc w:val="center"/>
              <w:rPr>
                <w:rFonts w:hint="default"/>
                <w:vertAlign w:val="baseline"/>
                <w:lang w:val="en-US" w:eastAsia="zh-CN"/>
              </w:rPr>
            </w:pPr>
            <w:r>
              <w:rPr>
                <w:rFonts w:hint="eastAsia"/>
                <w:vertAlign w:val="baseline"/>
                <w:lang w:val="en-US" w:eastAsia="zh-CN"/>
              </w:rPr>
              <w:t>陆上风电场</w:t>
            </w:r>
          </w:p>
        </w:tc>
        <w:tc>
          <w:tcPr>
            <w:tcW w:w="1040" w:type="pct"/>
            <w:vAlign w:val="center"/>
          </w:tcPr>
          <w:p>
            <w:pPr>
              <w:bidi w:val="0"/>
              <w:jc w:val="center"/>
              <w:rPr>
                <w:rFonts w:hint="default"/>
                <w:vertAlign w:val="baseline"/>
                <w:lang w:val="en-US" w:eastAsia="zh-CN"/>
              </w:rPr>
            </w:pPr>
            <w:r>
              <w:rPr>
                <w:rFonts w:hint="eastAsia"/>
                <w:vertAlign w:val="baseline"/>
                <w:lang w:val="en-US" w:eastAsia="zh-CN"/>
              </w:rPr>
              <w:t>陆上风机产品</w:t>
            </w:r>
          </w:p>
        </w:tc>
        <w:tc>
          <w:tcPr>
            <w:tcW w:w="1181" w:type="pct"/>
            <w:vAlign w:val="center"/>
          </w:tcPr>
          <w:p>
            <w:pPr>
              <w:bidi w:val="0"/>
              <w:jc w:val="center"/>
              <w:rPr>
                <w:rFonts w:hint="default"/>
                <w:vertAlign w:val="baseline"/>
                <w:lang w:val="en-US" w:eastAsia="zh-CN"/>
              </w:rPr>
            </w:pPr>
            <w:r>
              <w:rPr>
                <w:rFonts w:hint="eastAsia"/>
                <w:vertAlign w:val="baseline"/>
                <w:lang w:val="en-US" w:eastAsia="zh-CN"/>
              </w:rPr>
              <w:t>---</w:t>
            </w:r>
          </w:p>
        </w:tc>
        <w:tc>
          <w:tcPr>
            <w:tcW w:w="1069" w:type="pct"/>
            <w:vAlign w:val="center"/>
          </w:tcPr>
          <w:p>
            <w:pPr>
              <w:bidi w:val="0"/>
              <w:jc w:val="center"/>
              <w:rPr>
                <w:rFonts w:hint="default"/>
                <w:vertAlign w:val="baseline"/>
                <w:lang w:val="en-US" w:eastAsia="zh-CN"/>
              </w:rPr>
            </w:pPr>
            <w:r>
              <w:rPr>
                <w:rFonts w:hint="eastAsia"/>
                <w:vertAlign w:val="baseline"/>
                <w:lang w:val="en-US" w:eastAsia="zh-CN"/>
              </w:rPr>
              <w:t>以集团重点推出的产品为主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Merge w:val="continue"/>
            <w:vAlign w:val="center"/>
          </w:tcPr>
          <w:p>
            <w:pPr>
              <w:bidi w:val="0"/>
              <w:jc w:val="center"/>
              <w:rPr>
                <w:rFonts w:hint="default"/>
                <w:vertAlign w:val="baseline"/>
                <w:lang w:val="en-US" w:eastAsia="zh-CN"/>
              </w:rPr>
            </w:pPr>
          </w:p>
        </w:tc>
        <w:tc>
          <w:tcPr>
            <w:tcW w:w="1418" w:type="pct"/>
            <w:vMerge w:val="continue"/>
            <w:vAlign w:val="center"/>
          </w:tcPr>
          <w:p>
            <w:pPr>
              <w:bidi w:val="0"/>
              <w:jc w:val="center"/>
              <w:rPr>
                <w:rFonts w:hint="default"/>
                <w:vertAlign w:val="baseline"/>
                <w:lang w:val="en-US" w:eastAsia="zh-CN"/>
              </w:rPr>
            </w:pPr>
          </w:p>
        </w:tc>
        <w:tc>
          <w:tcPr>
            <w:tcW w:w="1040" w:type="pct"/>
            <w:vAlign w:val="center"/>
          </w:tcPr>
          <w:p>
            <w:pPr>
              <w:bidi w:val="0"/>
              <w:jc w:val="center"/>
              <w:rPr>
                <w:rFonts w:hint="default"/>
                <w:vertAlign w:val="baseline"/>
                <w:lang w:val="en-US" w:eastAsia="zh-CN"/>
              </w:rPr>
            </w:pPr>
            <w:r>
              <w:rPr>
                <w:rFonts w:hint="eastAsia"/>
                <w:vertAlign w:val="baseline"/>
                <w:lang w:val="en-US" w:eastAsia="zh-CN"/>
              </w:rPr>
              <w:t>数字风场解决方案</w:t>
            </w:r>
          </w:p>
        </w:tc>
        <w:tc>
          <w:tcPr>
            <w:tcW w:w="1181" w:type="pct"/>
            <w:vAlign w:val="center"/>
          </w:tcPr>
          <w:p>
            <w:pPr>
              <w:bidi w:val="0"/>
              <w:jc w:val="center"/>
              <w:rPr>
                <w:rFonts w:hint="eastAsia"/>
                <w:vertAlign w:val="baseline"/>
                <w:lang w:val="en-US" w:eastAsia="zh-CN"/>
              </w:rPr>
            </w:pPr>
            <w:r>
              <w:rPr>
                <w:rFonts w:hint="eastAsia"/>
                <w:vertAlign w:val="baseline"/>
                <w:lang w:val="en-US" w:eastAsia="zh-CN"/>
              </w:rPr>
              <w:t>智慧风场</w:t>
            </w:r>
          </w:p>
          <w:p>
            <w:pPr>
              <w:bidi w:val="0"/>
              <w:jc w:val="center"/>
              <w:rPr>
                <w:rFonts w:hint="default"/>
                <w:vertAlign w:val="baseline"/>
                <w:lang w:val="en-US" w:eastAsia="zh-CN"/>
              </w:rPr>
            </w:pPr>
            <w:r>
              <w:rPr>
                <w:rFonts w:hint="eastAsia"/>
                <w:vertAlign w:val="baseline"/>
                <w:lang w:val="en-US" w:eastAsia="zh-CN"/>
              </w:rPr>
              <w:t>风机在线诊断</w:t>
            </w: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Merge w:val="restart"/>
            <w:vAlign w:val="center"/>
          </w:tcPr>
          <w:p>
            <w:pPr>
              <w:bidi w:val="0"/>
              <w:jc w:val="center"/>
              <w:rPr>
                <w:rFonts w:hint="default"/>
                <w:vertAlign w:val="baseline"/>
                <w:lang w:val="en-US" w:eastAsia="zh-CN"/>
              </w:rPr>
            </w:pPr>
            <w:r>
              <w:rPr>
                <w:rFonts w:hint="eastAsia"/>
                <w:vertAlign w:val="baseline"/>
                <w:lang w:val="en-US" w:eastAsia="zh-CN"/>
              </w:rPr>
              <w:t>3</w:t>
            </w:r>
          </w:p>
        </w:tc>
        <w:tc>
          <w:tcPr>
            <w:tcW w:w="1418" w:type="pct"/>
            <w:vMerge w:val="restart"/>
            <w:vAlign w:val="center"/>
          </w:tcPr>
          <w:p>
            <w:pPr>
              <w:bidi w:val="0"/>
              <w:jc w:val="center"/>
              <w:rPr>
                <w:rFonts w:hint="default"/>
                <w:vertAlign w:val="baseline"/>
                <w:lang w:val="en-US" w:eastAsia="zh-CN"/>
              </w:rPr>
            </w:pPr>
            <w:r>
              <w:rPr>
                <w:rFonts w:hint="eastAsia"/>
                <w:vertAlign w:val="baseline"/>
                <w:lang w:val="en-US" w:eastAsia="zh-CN"/>
              </w:rPr>
              <w:t>海上风电场</w:t>
            </w:r>
          </w:p>
        </w:tc>
        <w:tc>
          <w:tcPr>
            <w:tcW w:w="1040" w:type="pct"/>
            <w:vAlign w:val="center"/>
          </w:tcPr>
          <w:p>
            <w:pPr>
              <w:bidi w:val="0"/>
              <w:jc w:val="center"/>
              <w:rPr>
                <w:rFonts w:hint="default"/>
                <w:vertAlign w:val="baseline"/>
                <w:lang w:val="en-US" w:eastAsia="zh-CN"/>
              </w:rPr>
            </w:pPr>
            <w:r>
              <w:rPr>
                <w:rFonts w:hint="eastAsia"/>
                <w:vertAlign w:val="baseline"/>
                <w:lang w:val="en-US" w:eastAsia="zh-CN"/>
              </w:rPr>
              <w:t>海上风机产品</w:t>
            </w:r>
          </w:p>
        </w:tc>
        <w:tc>
          <w:tcPr>
            <w:tcW w:w="1181" w:type="pct"/>
            <w:vAlign w:val="center"/>
          </w:tcPr>
          <w:p>
            <w:pPr>
              <w:bidi w:val="0"/>
              <w:jc w:val="center"/>
              <w:rPr>
                <w:rFonts w:hint="default"/>
                <w:vertAlign w:val="baseline"/>
                <w:lang w:val="en-US" w:eastAsia="zh-CN"/>
              </w:rPr>
            </w:pPr>
            <w:r>
              <w:rPr>
                <w:rFonts w:hint="eastAsia"/>
                <w:vertAlign w:val="baseline"/>
                <w:lang w:val="en-US" w:eastAsia="zh-CN"/>
              </w:rPr>
              <w:t>---</w:t>
            </w:r>
          </w:p>
        </w:tc>
        <w:tc>
          <w:tcPr>
            <w:tcW w:w="1069" w:type="pct"/>
            <w:vAlign w:val="center"/>
          </w:tcPr>
          <w:p>
            <w:pPr>
              <w:bidi w:val="0"/>
              <w:jc w:val="center"/>
              <w:rPr>
                <w:rFonts w:hint="default" w:asciiTheme="minorAscii" w:hAnsiTheme="minorAscii" w:eastAsiaTheme="minorEastAsia" w:cstheme="minorBidi"/>
                <w:kern w:val="2"/>
                <w:sz w:val="24"/>
                <w:szCs w:val="24"/>
                <w:vertAlign w:val="baseline"/>
                <w:lang w:val="en-US" w:eastAsia="zh-CN" w:bidi="ar-SA"/>
              </w:rPr>
            </w:pPr>
            <w:r>
              <w:rPr>
                <w:rFonts w:hint="eastAsia"/>
                <w:vertAlign w:val="baseline"/>
                <w:lang w:val="en-US" w:eastAsia="zh-CN"/>
              </w:rPr>
              <w:t>以集团重点推出的产品为主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Merge w:val="continue"/>
            <w:vAlign w:val="center"/>
          </w:tcPr>
          <w:p>
            <w:pPr>
              <w:bidi w:val="0"/>
              <w:jc w:val="center"/>
              <w:rPr>
                <w:rFonts w:hint="default"/>
                <w:vertAlign w:val="baseline"/>
                <w:lang w:val="en-US" w:eastAsia="zh-CN"/>
              </w:rPr>
            </w:pPr>
          </w:p>
        </w:tc>
        <w:tc>
          <w:tcPr>
            <w:tcW w:w="1418" w:type="pct"/>
            <w:vMerge w:val="continue"/>
            <w:vAlign w:val="center"/>
          </w:tcPr>
          <w:p>
            <w:pPr>
              <w:bidi w:val="0"/>
              <w:jc w:val="center"/>
              <w:rPr>
                <w:rFonts w:hint="default"/>
                <w:vertAlign w:val="baseline"/>
                <w:lang w:val="en-US" w:eastAsia="zh-CN"/>
              </w:rPr>
            </w:pPr>
          </w:p>
        </w:tc>
        <w:tc>
          <w:tcPr>
            <w:tcW w:w="1040" w:type="pct"/>
            <w:vAlign w:val="center"/>
          </w:tcPr>
          <w:p>
            <w:pPr>
              <w:bidi w:val="0"/>
              <w:jc w:val="center"/>
              <w:rPr>
                <w:rFonts w:hint="default"/>
                <w:vertAlign w:val="baseline"/>
                <w:lang w:val="en-US" w:eastAsia="zh-CN"/>
              </w:rPr>
            </w:pPr>
            <w:r>
              <w:rPr>
                <w:rFonts w:hint="eastAsia"/>
                <w:vertAlign w:val="baseline"/>
                <w:lang w:val="en-US" w:eastAsia="zh-CN"/>
              </w:rPr>
              <w:t>数字风场解决方案</w:t>
            </w:r>
          </w:p>
        </w:tc>
        <w:tc>
          <w:tcPr>
            <w:tcW w:w="1181" w:type="pct"/>
            <w:vAlign w:val="center"/>
          </w:tcPr>
          <w:p>
            <w:pPr>
              <w:bidi w:val="0"/>
              <w:jc w:val="center"/>
              <w:rPr>
                <w:rFonts w:hint="eastAsia"/>
                <w:vertAlign w:val="baseline"/>
                <w:lang w:val="en-US" w:eastAsia="zh-CN"/>
              </w:rPr>
            </w:pPr>
            <w:r>
              <w:rPr>
                <w:rFonts w:hint="eastAsia"/>
                <w:vertAlign w:val="baseline"/>
                <w:lang w:val="en-US" w:eastAsia="zh-CN"/>
              </w:rPr>
              <w:t>智慧风场</w:t>
            </w:r>
          </w:p>
          <w:p>
            <w:pPr>
              <w:bidi w:val="0"/>
              <w:jc w:val="center"/>
              <w:rPr>
                <w:rFonts w:hint="default"/>
                <w:vertAlign w:val="baseline"/>
                <w:lang w:val="en-US" w:eastAsia="zh-CN"/>
              </w:rPr>
            </w:pPr>
            <w:r>
              <w:rPr>
                <w:rFonts w:hint="eastAsia"/>
                <w:vertAlign w:val="baseline"/>
                <w:lang w:val="en-US" w:eastAsia="zh-CN"/>
              </w:rPr>
              <w:t>风机在线诊断</w:t>
            </w: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Align w:val="center"/>
          </w:tcPr>
          <w:p>
            <w:pPr>
              <w:bidi w:val="0"/>
              <w:jc w:val="center"/>
              <w:rPr>
                <w:rFonts w:hint="default"/>
                <w:vertAlign w:val="baseline"/>
                <w:lang w:val="en-US" w:eastAsia="zh-CN"/>
              </w:rPr>
            </w:pPr>
            <w:r>
              <w:rPr>
                <w:rFonts w:hint="eastAsia"/>
                <w:vertAlign w:val="baseline"/>
                <w:lang w:val="en-US" w:eastAsia="zh-CN"/>
              </w:rPr>
              <w:t>4</w:t>
            </w:r>
          </w:p>
        </w:tc>
        <w:tc>
          <w:tcPr>
            <w:tcW w:w="1418" w:type="pct"/>
            <w:vAlign w:val="center"/>
          </w:tcPr>
          <w:p>
            <w:pPr>
              <w:bidi w:val="0"/>
              <w:jc w:val="center"/>
              <w:rPr>
                <w:rFonts w:hint="default"/>
                <w:vertAlign w:val="baseline"/>
                <w:lang w:val="en-US" w:eastAsia="zh-CN"/>
              </w:rPr>
            </w:pPr>
            <w:r>
              <w:rPr>
                <w:rFonts w:hint="eastAsia"/>
                <w:vertAlign w:val="baseline"/>
                <w:lang w:val="en-US" w:eastAsia="zh-CN"/>
              </w:rPr>
              <w:t>集控中心</w:t>
            </w:r>
          </w:p>
        </w:tc>
        <w:tc>
          <w:tcPr>
            <w:tcW w:w="1040" w:type="pct"/>
            <w:vAlign w:val="center"/>
          </w:tcPr>
          <w:p>
            <w:pPr>
              <w:bidi w:val="0"/>
              <w:jc w:val="center"/>
              <w:rPr>
                <w:rFonts w:hint="default"/>
                <w:vertAlign w:val="baseline"/>
                <w:lang w:val="en-US" w:eastAsia="zh-CN"/>
              </w:rPr>
            </w:pPr>
            <w:r>
              <w:rPr>
                <w:rFonts w:hint="eastAsia"/>
                <w:vertAlign w:val="baseline"/>
                <w:lang w:val="en-US" w:eastAsia="zh-CN"/>
              </w:rPr>
              <w:t>集控平台</w:t>
            </w:r>
          </w:p>
        </w:tc>
        <w:tc>
          <w:tcPr>
            <w:tcW w:w="1181" w:type="pct"/>
            <w:vAlign w:val="center"/>
          </w:tcPr>
          <w:p>
            <w:pPr>
              <w:bidi w:val="0"/>
              <w:jc w:val="center"/>
              <w:rPr>
                <w:rFonts w:hint="default"/>
                <w:vertAlign w:val="baseline"/>
                <w:lang w:val="en-US" w:eastAsia="zh-CN"/>
              </w:rPr>
            </w:pPr>
            <w:r>
              <w:rPr>
                <w:rFonts w:hint="eastAsia"/>
                <w:vertAlign w:val="baseline"/>
                <w:lang w:val="en-US" w:eastAsia="zh-CN"/>
              </w:rPr>
              <w:t>--</w:t>
            </w: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Merge w:val="restart"/>
            <w:vAlign w:val="center"/>
          </w:tcPr>
          <w:p>
            <w:pPr>
              <w:bidi w:val="0"/>
              <w:jc w:val="center"/>
              <w:rPr>
                <w:rFonts w:hint="default"/>
                <w:vertAlign w:val="baseline"/>
                <w:lang w:val="en-US" w:eastAsia="zh-CN"/>
              </w:rPr>
            </w:pPr>
            <w:r>
              <w:rPr>
                <w:rFonts w:hint="eastAsia"/>
                <w:vertAlign w:val="baseline"/>
                <w:lang w:val="en-US" w:eastAsia="zh-CN"/>
              </w:rPr>
              <w:t>5</w:t>
            </w:r>
          </w:p>
        </w:tc>
        <w:tc>
          <w:tcPr>
            <w:tcW w:w="1418" w:type="pct"/>
            <w:vMerge w:val="restart"/>
            <w:vAlign w:val="center"/>
          </w:tcPr>
          <w:p>
            <w:pPr>
              <w:bidi w:val="0"/>
              <w:jc w:val="center"/>
              <w:rPr>
                <w:rFonts w:hint="default"/>
                <w:vertAlign w:val="baseline"/>
                <w:lang w:val="en-US" w:eastAsia="zh-CN"/>
              </w:rPr>
            </w:pPr>
            <w:r>
              <w:rPr>
                <w:rFonts w:hint="eastAsia"/>
                <w:vertAlign w:val="baseline"/>
                <w:lang w:val="en-US" w:eastAsia="zh-CN"/>
              </w:rPr>
              <w:t>典型工业企业</w:t>
            </w:r>
          </w:p>
        </w:tc>
        <w:tc>
          <w:tcPr>
            <w:tcW w:w="1040" w:type="pct"/>
            <w:vAlign w:val="center"/>
          </w:tcPr>
          <w:p>
            <w:pPr>
              <w:bidi w:val="0"/>
              <w:jc w:val="center"/>
              <w:rPr>
                <w:rFonts w:hint="default"/>
                <w:vertAlign w:val="baseline"/>
                <w:lang w:val="en-US" w:eastAsia="zh-CN"/>
              </w:rPr>
            </w:pPr>
            <w:r>
              <w:rPr>
                <w:rFonts w:hint="eastAsia"/>
                <w:vertAlign w:val="baseline"/>
                <w:lang w:val="en-US" w:eastAsia="zh-CN"/>
              </w:rPr>
              <w:t>清洁电能</w:t>
            </w:r>
          </w:p>
        </w:tc>
        <w:tc>
          <w:tcPr>
            <w:tcW w:w="1181" w:type="pct"/>
            <w:vAlign w:val="center"/>
          </w:tcPr>
          <w:p>
            <w:pPr>
              <w:bidi w:val="0"/>
              <w:jc w:val="center"/>
              <w:rPr>
                <w:rFonts w:hint="default"/>
                <w:vertAlign w:val="baseline"/>
                <w:lang w:val="en-US" w:eastAsia="zh-CN"/>
              </w:rPr>
            </w:pP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Merge w:val="continue"/>
            <w:vAlign w:val="center"/>
          </w:tcPr>
          <w:p>
            <w:pPr>
              <w:bidi w:val="0"/>
              <w:jc w:val="center"/>
              <w:rPr>
                <w:rFonts w:hint="eastAsia"/>
                <w:vertAlign w:val="baseline"/>
                <w:lang w:val="en-US" w:eastAsia="zh-CN"/>
              </w:rPr>
            </w:pPr>
          </w:p>
        </w:tc>
        <w:tc>
          <w:tcPr>
            <w:tcW w:w="1418" w:type="pct"/>
            <w:vMerge w:val="continue"/>
            <w:vAlign w:val="center"/>
          </w:tcPr>
          <w:p>
            <w:pPr>
              <w:bidi w:val="0"/>
              <w:jc w:val="center"/>
              <w:rPr>
                <w:rFonts w:hint="eastAsia"/>
                <w:vertAlign w:val="baseline"/>
                <w:lang w:val="en-US" w:eastAsia="zh-CN"/>
              </w:rPr>
            </w:pPr>
          </w:p>
        </w:tc>
        <w:tc>
          <w:tcPr>
            <w:tcW w:w="1040" w:type="pct"/>
            <w:vAlign w:val="center"/>
          </w:tcPr>
          <w:p>
            <w:pPr>
              <w:bidi w:val="0"/>
              <w:jc w:val="center"/>
              <w:rPr>
                <w:rFonts w:hint="default"/>
                <w:vertAlign w:val="baseline"/>
                <w:lang w:val="en-US" w:eastAsia="zh-CN"/>
              </w:rPr>
            </w:pPr>
            <w:r>
              <w:rPr>
                <w:rFonts w:hint="eastAsia"/>
                <w:vertAlign w:val="baseline"/>
                <w:lang w:val="en-US" w:eastAsia="zh-CN"/>
              </w:rPr>
              <w:t>绿色氢能</w:t>
            </w:r>
          </w:p>
        </w:tc>
        <w:tc>
          <w:tcPr>
            <w:tcW w:w="1181" w:type="pct"/>
            <w:vAlign w:val="center"/>
          </w:tcPr>
          <w:p>
            <w:pPr>
              <w:bidi w:val="0"/>
              <w:jc w:val="center"/>
              <w:rPr>
                <w:rFonts w:hint="default"/>
                <w:vertAlign w:val="baseline"/>
                <w:lang w:val="en-US" w:eastAsia="zh-CN"/>
              </w:rPr>
            </w:pP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Merge w:val="continue"/>
            <w:vAlign w:val="center"/>
          </w:tcPr>
          <w:p>
            <w:pPr>
              <w:bidi w:val="0"/>
              <w:jc w:val="center"/>
              <w:rPr>
                <w:rFonts w:hint="eastAsia"/>
                <w:vertAlign w:val="baseline"/>
                <w:lang w:val="en-US" w:eastAsia="zh-CN"/>
              </w:rPr>
            </w:pPr>
          </w:p>
        </w:tc>
        <w:tc>
          <w:tcPr>
            <w:tcW w:w="1418" w:type="pct"/>
            <w:vMerge w:val="continue"/>
            <w:vAlign w:val="center"/>
          </w:tcPr>
          <w:p>
            <w:pPr>
              <w:bidi w:val="0"/>
              <w:jc w:val="center"/>
              <w:rPr>
                <w:rFonts w:hint="eastAsia"/>
                <w:vertAlign w:val="baseline"/>
                <w:lang w:val="en-US" w:eastAsia="zh-CN"/>
              </w:rPr>
            </w:pPr>
          </w:p>
        </w:tc>
        <w:tc>
          <w:tcPr>
            <w:tcW w:w="1040" w:type="pct"/>
            <w:vAlign w:val="center"/>
          </w:tcPr>
          <w:p>
            <w:pPr>
              <w:bidi w:val="0"/>
              <w:jc w:val="center"/>
              <w:rPr>
                <w:rFonts w:hint="default"/>
                <w:vertAlign w:val="baseline"/>
                <w:lang w:val="en-US" w:eastAsia="zh-CN"/>
              </w:rPr>
            </w:pPr>
            <w:r>
              <w:rPr>
                <w:rFonts w:hint="eastAsia"/>
                <w:vertAlign w:val="baseline"/>
                <w:lang w:val="en-US" w:eastAsia="zh-CN"/>
              </w:rPr>
              <w:t>多能微网</w:t>
            </w:r>
          </w:p>
        </w:tc>
        <w:tc>
          <w:tcPr>
            <w:tcW w:w="1181" w:type="pct"/>
            <w:vAlign w:val="center"/>
          </w:tcPr>
          <w:p>
            <w:pPr>
              <w:bidi w:val="0"/>
              <w:jc w:val="center"/>
              <w:rPr>
                <w:rFonts w:hint="default"/>
                <w:vertAlign w:val="baseline"/>
                <w:lang w:val="en-US" w:eastAsia="zh-CN"/>
              </w:rPr>
            </w:pP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Merge w:val="restart"/>
            <w:vAlign w:val="center"/>
          </w:tcPr>
          <w:p>
            <w:pPr>
              <w:bidi w:val="0"/>
              <w:jc w:val="center"/>
              <w:rPr>
                <w:rFonts w:hint="default"/>
                <w:vertAlign w:val="baseline"/>
                <w:lang w:val="en-US" w:eastAsia="zh-CN"/>
              </w:rPr>
            </w:pPr>
            <w:r>
              <w:rPr>
                <w:rFonts w:hint="eastAsia"/>
                <w:vertAlign w:val="baseline"/>
                <w:lang w:val="en-US" w:eastAsia="zh-CN"/>
              </w:rPr>
              <w:t>6</w:t>
            </w:r>
          </w:p>
        </w:tc>
        <w:tc>
          <w:tcPr>
            <w:tcW w:w="1418" w:type="pct"/>
            <w:vMerge w:val="restart"/>
            <w:vAlign w:val="center"/>
          </w:tcPr>
          <w:p>
            <w:pPr>
              <w:bidi w:val="0"/>
              <w:jc w:val="center"/>
              <w:rPr>
                <w:rFonts w:hint="default"/>
                <w:vertAlign w:val="baseline"/>
                <w:lang w:val="en-US" w:eastAsia="zh-CN"/>
              </w:rPr>
            </w:pPr>
            <w:r>
              <w:rPr>
                <w:rFonts w:hint="eastAsia"/>
                <w:vertAlign w:val="baseline"/>
                <w:lang w:val="en-US" w:eastAsia="zh-CN"/>
              </w:rPr>
              <w:t>典型城市建筑</w:t>
            </w:r>
          </w:p>
        </w:tc>
        <w:tc>
          <w:tcPr>
            <w:tcW w:w="1040" w:type="pct"/>
            <w:vAlign w:val="center"/>
          </w:tcPr>
          <w:p>
            <w:pPr>
              <w:bidi w:val="0"/>
              <w:jc w:val="center"/>
              <w:rPr>
                <w:rFonts w:hint="default"/>
                <w:vertAlign w:val="baseline"/>
                <w:lang w:val="en-US" w:eastAsia="zh-CN"/>
              </w:rPr>
            </w:pPr>
            <w:r>
              <w:rPr>
                <w:rFonts w:hint="eastAsia"/>
                <w:vertAlign w:val="baseline"/>
                <w:lang w:val="en-US" w:eastAsia="zh-CN"/>
              </w:rPr>
              <w:t>BIPV</w:t>
            </w:r>
          </w:p>
        </w:tc>
        <w:tc>
          <w:tcPr>
            <w:tcW w:w="1181" w:type="pct"/>
            <w:vAlign w:val="center"/>
          </w:tcPr>
          <w:p>
            <w:pPr>
              <w:bidi w:val="0"/>
              <w:jc w:val="center"/>
              <w:rPr>
                <w:rFonts w:hint="default"/>
                <w:vertAlign w:val="baseline"/>
                <w:lang w:val="en-US" w:eastAsia="zh-CN"/>
              </w:rPr>
            </w:pP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9" w:type="pct"/>
            <w:vMerge w:val="continue"/>
            <w:vAlign w:val="center"/>
          </w:tcPr>
          <w:p>
            <w:pPr>
              <w:bidi w:val="0"/>
              <w:jc w:val="center"/>
              <w:rPr>
                <w:rFonts w:hint="eastAsia"/>
                <w:vertAlign w:val="baseline"/>
                <w:lang w:val="en-US" w:eastAsia="zh-CN"/>
              </w:rPr>
            </w:pPr>
          </w:p>
        </w:tc>
        <w:tc>
          <w:tcPr>
            <w:tcW w:w="1418" w:type="pct"/>
            <w:vMerge w:val="continue"/>
            <w:vAlign w:val="center"/>
          </w:tcPr>
          <w:p>
            <w:pPr>
              <w:bidi w:val="0"/>
              <w:jc w:val="center"/>
              <w:rPr>
                <w:rFonts w:hint="eastAsia"/>
                <w:vertAlign w:val="baseline"/>
                <w:lang w:val="en-US" w:eastAsia="zh-CN"/>
              </w:rPr>
            </w:pPr>
          </w:p>
        </w:tc>
        <w:tc>
          <w:tcPr>
            <w:tcW w:w="1040" w:type="pct"/>
            <w:vAlign w:val="center"/>
          </w:tcPr>
          <w:p>
            <w:pPr>
              <w:bidi w:val="0"/>
              <w:jc w:val="center"/>
              <w:rPr>
                <w:rFonts w:hint="default"/>
                <w:vertAlign w:val="baseline"/>
                <w:lang w:val="en-US" w:eastAsia="zh-CN"/>
              </w:rPr>
            </w:pPr>
            <w:r>
              <w:rPr>
                <w:rFonts w:hint="eastAsia"/>
                <w:vertAlign w:val="baseline"/>
                <w:lang w:val="en-US" w:eastAsia="zh-CN"/>
              </w:rPr>
              <w:t>清洁供热</w:t>
            </w:r>
          </w:p>
        </w:tc>
        <w:tc>
          <w:tcPr>
            <w:tcW w:w="1181" w:type="pct"/>
            <w:vAlign w:val="center"/>
          </w:tcPr>
          <w:p>
            <w:pPr>
              <w:bidi w:val="0"/>
              <w:jc w:val="center"/>
              <w:rPr>
                <w:rFonts w:hint="default"/>
                <w:vertAlign w:val="baseline"/>
                <w:lang w:val="en-US" w:eastAsia="zh-CN"/>
              </w:rPr>
            </w:pP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Merge w:val="continue"/>
            <w:vAlign w:val="center"/>
          </w:tcPr>
          <w:p>
            <w:pPr>
              <w:bidi w:val="0"/>
              <w:jc w:val="center"/>
              <w:rPr>
                <w:rFonts w:hint="eastAsia"/>
                <w:vertAlign w:val="baseline"/>
                <w:lang w:val="en-US" w:eastAsia="zh-CN"/>
              </w:rPr>
            </w:pPr>
          </w:p>
        </w:tc>
        <w:tc>
          <w:tcPr>
            <w:tcW w:w="1418" w:type="pct"/>
            <w:vMerge w:val="continue"/>
            <w:vAlign w:val="center"/>
          </w:tcPr>
          <w:p>
            <w:pPr>
              <w:bidi w:val="0"/>
              <w:jc w:val="center"/>
              <w:rPr>
                <w:rFonts w:hint="eastAsia"/>
                <w:vertAlign w:val="baseline"/>
                <w:lang w:val="en-US" w:eastAsia="zh-CN"/>
              </w:rPr>
            </w:pPr>
          </w:p>
        </w:tc>
        <w:tc>
          <w:tcPr>
            <w:tcW w:w="1040" w:type="pct"/>
            <w:vAlign w:val="center"/>
          </w:tcPr>
          <w:p>
            <w:pPr>
              <w:bidi w:val="0"/>
              <w:jc w:val="center"/>
              <w:rPr>
                <w:rFonts w:hint="default"/>
                <w:vertAlign w:val="baseline"/>
                <w:lang w:val="en-US" w:eastAsia="zh-CN"/>
              </w:rPr>
            </w:pPr>
            <w:r>
              <w:rPr>
                <w:rFonts w:hint="eastAsia"/>
                <w:vertAlign w:val="baseline"/>
                <w:lang w:val="en-US" w:eastAsia="zh-CN"/>
              </w:rPr>
              <w:t>建筑智能微网</w:t>
            </w:r>
          </w:p>
        </w:tc>
        <w:tc>
          <w:tcPr>
            <w:tcW w:w="1181" w:type="pct"/>
            <w:vAlign w:val="center"/>
          </w:tcPr>
          <w:p>
            <w:pPr>
              <w:bidi w:val="0"/>
              <w:jc w:val="center"/>
              <w:rPr>
                <w:rFonts w:hint="default"/>
                <w:vertAlign w:val="baseline"/>
                <w:lang w:val="en-US" w:eastAsia="zh-CN"/>
              </w:rPr>
            </w:pP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9" w:type="pct"/>
            <w:vAlign w:val="center"/>
          </w:tcPr>
          <w:p>
            <w:pPr>
              <w:bidi w:val="0"/>
              <w:jc w:val="center"/>
              <w:rPr>
                <w:rFonts w:hint="default"/>
                <w:vertAlign w:val="baseline"/>
                <w:lang w:val="en-US" w:eastAsia="zh-CN"/>
              </w:rPr>
            </w:pPr>
            <w:r>
              <w:rPr>
                <w:rFonts w:hint="eastAsia"/>
                <w:vertAlign w:val="baseline"/>
                <w:lang w:val="en-US" w:eastAsia="zh-CN"/>
              </w:rPr>
              <w:t>7</w:t>
            </w:r>
          </w:p>
        </w:tc>
        <w:tc>
          <w:tcPr>
            <w:tcW w:w="1418" w:type="pct"/>
            <w:vAlign w:val="center"/>
          </w:tcPr>
          <w:p>
            <w:pPr>
              <w:bidi w:val="0"/>
              <w:jc w:val="center"/>
              <w:rPr>
                <w:rFonts w:hint="default"/>
                <w:vertAlign w:val="baseline"/>
                <w:lang w:val="en-US" w:eastAsia="zh-CN"/>
              </w:rPr>
            </w:pPr>
            <w:r>
              <w:rPr>
                <w:rFonts w:hint="eastAsia"/>
                <w:vertAlign w:val="baseline"/>
                <w:lang w:val="en-US" w:eastAsia="zh-CN"/>
              </w:rPr>
              <w:t>充电场站</w:t>
            </w:r>
          </w:p>
        </w:tc>
        <w:tc>
          <w:tcPr>
            <w:tcW w:w="1040" w:type="pct"/>
            <w:vAlign w:val="center"/>
          </w:tcPr>
          <w:p>
            <w:pPr>
              <w:bidi w:val="0"/>
              <w:jc w:val="center"/>
              <w:rPr>
                <w:rFonts w:hint="default"/>
                <w:vertAlign w:val="baseline"/>
                <w:lang w:val="en-US" w:eastAsia="zh-CN"/>
              </w:rPr>
            </w:pPr>
            <w:r>
              <w:rPr>
                <w:rFonts w:hint="eastAsia"/>
                <w:vertAlign w:val="baseline"/>
                <w:lang w:val="en-US" w:eastAsia="zh-CN"/>
              </w:rPr>
              <w:t>光储充一体化</w:t>
            </w:r>
          </w:p>
        </w:tc>
        <w:tc>
          <w:tcPr>
            <w:tcW w:w="1181" w:type="pct"/>
            <w:vAlign w:val="center"/>
          </w:tcPr>
          <w:p>
            <w:pPr>
              <w:bidi w:val="0"/>
              <w:jc w:val="center"/>
              <w:rPr>
                <w:rFonts w:hint="default"/>
                <w:vertAlign w:val="baseline"/>
                <w:lang w:val="en-US" w:eastAsia="zh-CN"/>
              </w:rPr>
            </w:pP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Align w:val="center"/>
          </w:tcPr>
          <w:p>
            <w:pPr>
              <w:bidi w:val="0"/>
              <w:jc w:val="center"/>
              <w:rPr>
                <w:rFonts w:hint="default"/>
                <w:vertAlign w:val="baseline"/>
                <w:lang w:val="en-US" w:eastAsia="zh-CN"/>
              </w:rPr>
            </w:pPr>
            <w:r>
              <w:rPr>
                <w:rFonts w:hint="eastAsia"/>
                <w:vertAlign w:val="baseline"/>
                <w:lang w:val="en-US" w:eastAsia="zh-CN"/>
              </w:rPr>
              <w:t>8</w:t>
            </w:r>
          </w:p>
        </w:tc>
        <w:tc>
          <w:tcPr>
            <w:tcW w:w="1418" w:type="pct"/>
            <w:vAlign w:val="center"/>
          </w:tcPr>
          <w:p>
            <w:pPr>
              <w:bidi w:val="0"/>
              <w:jc w:val="center"/>
              <w:rPr>
                <w:rFonts w:hint="default"/>
                <w:vertAlign w:val="baseline"/>
                <w:lang w:val="en-US" w:eastAsia="zh-CN"/>
              </w:rPr>
            </w:pPr>
            <w:r>
              <w:rPr>
                <w:rFonts w:hint="eastAsia"/>
                <w:vertAlign w:val="baseline"/>
                <w:lang w:val="en-US" w:eastAsia="zh-CN"/>
              </w:rPr>
              <w:t>加氢站</w:t>
            </w:r>
          </w:p>
        </w:tc>
        <w:tc>
          <w:tcPr>
            <w:tcW w:w="1040" w:type="pct"/>
            <w:vAlign w:val="center"/>
          </w:tcPr>
          <w:p>
            <w:pPr>
              <w:bidi w:val="0"/>
              <w:jc w:val="center"/>
              <w:rPr>
                <w:rFonts w:hint="default"/>
                <w:vertAlign w:val="baseline"/>
                <w:lang w:val="en-US" w:eastAsia="zh-CN"/>
              </w:rPr>
            </w:pPr>
            <w:r>
              <w:rPr>
                <w:rFonts w:hint="eastAsia"/>
                <w:vertAlign w:val="baseline"/>
                <w:lang w:val="en-US" w:eastAsia="zh-CN"/>
              </w:rPr>
              <w:t>风光储氢充一体化</w:t>
            </w:r>
          </w:p>
        </w:tc>
        <w:tc>
          <w:tcPr>
            <w:tcW w:w="1181" w:type="pct"/>
            <w:vAlign w:val="center"/>
          </w:tcPr>
          <w:p>
            <w:pPr>
              <w:bidi w:val="0"/>
              <w:jc w:val="center"/>
              <w:rPr>
                <w:rFonts w:hint="default"/>
                <w:vertAlign w:val="baseline"/>
                <w:lang w:val="en-US" w:eastAsia="zh-CN"/>
              </w:rPr>
            </w:pPr>
          </w:p>
        </w:tc>
        <w:tc>
          <w:tcPr>
            <w:tcW w:w="1069" w:type="pct"/>
            <w:vAlign w:val="center"/>
          </w:tcPr>
          <w:p>
            <w:pPr>
              <w:bidi w:val="0"/>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9" w:type="pct"/>
            <w:vAlign w:val="center"/>
          </w:tcPr>
          <w:p>
            <w:pPr>
              <w:bidi w:val="0"/>
              <w:jc w:val="center"/>
              <w:rPr>
                <w:rFonts w:hint="default"/>
                <w:vertAlign w:val="baseline"/>
                <w:lang w:val="en-US" w:eastAsia="zh-CN"/>
              </w:rPr>
            </w:pPr>
            <w:r>
              <w:rPr>
                <w:rFonts w:hint="eastAsia"/>
                <w:vertAlign w:val="baseline"/>
                <w:lang w:val="en-US" w:eastAsia="zh-CN"/>
              </w:rPr>
              <w:t>9</w:t>
            </w:r>
          </w:p>
        </w:tc>
        <w:tc>
          <w:tcPr>
            <w:tcW w:w="1418" w:type="pct"/>
            <w:vAlign w:val="center"/>
          </w:tcPr>
          <w:p>
            <w:pPr>
              <w:bidi w:val="0"/>
              <w:jc w:val="center"/>
              <w:rPr>
                <w:rFonts w:hint="default"/>
                <w:vertAlign w:val="baseline"/>
                <w:lang w:val="en-US" w:eastAsia="zh-CN"/>
              </w:rPr>
            </w:pPr>
            <w:r>
              <w:rPr>
                <w:rFonts w:hint="eastAsia"/>
                <w:vertAlign w:val="baseline"/>
                <w:lang w:val="en-US" w:eastAsia="zh-CN"/>
              </w:rPr>
              <w:t>海上能源岛</w:t>
            </w:r>
          </w:p>
        </w:tc>
        <w:tc>
          <w:tcPr>
            <w:tcW w:w="1040" w:type="pct"/>
            <w:vAlign w:val="center"/>
          </w:tcPr>
          <w:p>
            <w:pPr>
              <w:bidi w:val="0"/>
              <w:jc w:val="center"/>
              <w:rPr>
                <w:rFonts w:hint="default"/>
                <w:vertAlign w:val="baseline"/>
                <w:lang w:val="en-US" w:eastAsia="zh-CN"/>
              </w:rPr>
            </w:pPr>
            <w:r>
              <w:rPr>
                <w:rFonts w:hint="eastAsia"/>
                <w:vertAlign w:val="baseline"/>
                <w:lang w:val="en-US" w:eastAsia="zh-CN"/>
              </w:rPr>
              <w:t>海上能源岛</w:t>
            </w:r>
          </w:p>
        </w:tc>
        <w:tc>
          <w:tcPr>
            <w:tcW w:w="1181" w:type="pct"/>
            <w:vAlign w:val="center"/>
          </w:tcPr>
          <w:p>
            <w:pPr>
              <w:bidi w:val="0"/>
              <w:jc w:val="center"/>
              <w:rPr>
                <w:rFonts w:hint="default"/>
                <w:vertAlign w:val="baseline"/>
                <w:lang w:val="en-US" w:eastAsia="zh-CN"/>
              </w:rPr>
            </w:pPr>
          </w:p>
        </w:tc>
        <w:tc>
          <w:tcPr>
            <w:tcW w:w="1069" w:type="pct"/>
            <w:vAlign w:val="center"/>
          </w:tcPr>
          <w:p>
            <w:pPr>
              <w:bidi w:val="0"/>
              <w:jc w:val="center"/>
              <w:rPr>
                <w:rFonts w:hint="default"/>
                <w:vertAlign w:val="baseline"/>
                <w:lang w:val="en-US" w:eastAsia="zh-CN"/>
              </w:rPr>
            </w:pPr>
            <w:r>
              <w:rPr>
                <w:rFonts w:hint="eastAsia"/>
                <w:vertAlign w:val="baseline"/>
                <w:lang w:val="en-US" w:eastAsia="zh-CN"/>
              </w:rPr>
              <w:t>氢能船舶</w:t>
            </w:r>
          </w:p>
        </w:tc>
      </w:tr>
    </w:tbl>
    <w:p>
      <w:pPr>
        <w:bidi w:val="0"/>
        <w:rPr>
          <w:rFonts w:hint="default"/>
          <w:lang w:val="en-US" w:eastAsia="zh-CN"/>
        </w:rPr>
      </w:pPr>
    </w:p>
    <w:p>
      <w:pPr>
        <w:pStyle w:val="2"/>
        <w:bidi w:val="0"/>
        <w:ind w:left="432" w:leftChars="0" w:hanging="432" w:firstLineChars="0"/>
        <w:rPr>
          <w:rFonts w:hint="eastAsia"/>
          <w:lang w:val="en-US" w:eastAsia="zh-CN"/>
        </w:rPr>
      </w:pPr>
      <w:r>
        <w:rPr>
          <w:rFonts w:hint="eastAsia"/>
          <w:lang w:val="en-US" w:eastAsia="zh-CN"/>
        </w:rPr>
        <w:t>城市能源监管</w:t>
      </w:r>
    </w:p>
    <w:p>
      <w:pPr>
        <w:pStyle w:val="3"/>
        <w:bidi w:val="0"/>
        <w:rPr>
          <w:rFonts w:hint="eastAsia"/>
          <w:lang w:val="en-US" w:eastAsia="zh-CN"/>
        </w:rPr>
      </w:pPr>
      <w:r>
        <w:rPr>
          <w:rFonts w:hint="eastAsia"/>
          <w:lang w:val="en-US" w:eastAsia="zh-CN"/>
        </w:rPr>
        <w:t>城市能源监管平台</w:t>
      </w:r>
    </w:p>
    <w:p>
      <w:pPr>
        <w:rPr>
          <w:rFonts w:hint="eastAsia"/>
          <w:lang w:val="en-US" w:eastAsia="zh-CN"/>
        </w:rPr>
      </w:pPr>
      <w:r>
        <w:rPr>
          <w:rFonts w:hint="eastAsia"/>
          <w:b/>
          <w:bCs/>
          <w:lang w:val="en-US" w:eastAsia="zh-CN"/>
        </w:rPr>
        <w:t>说明</w:t>
      </w:r>
      <w:r>
        <w:rPr>
          <w:rFonts w:hint="eastAsia"/>
          <w:lang w:val="en-US" w:eastAsia="zh-CN"/>
        </w:rPr>
        <w:t>：“城市能源大脑”是明阳智能围绕落实碳达峰碳中和战略，倡导构建绿色低碳现代能源体系而提出的能源管理理念及服务平台，通过结合人工智能</w:t>
      </w:r>
      <w:r>
        <w:rPr>
          <w:rFonts w:hint="default"/>
          <w:lang w:val="en-US" w:eastAsia="zh-CN"/>
        </w:rPr>
        <w:t>、物联网、大数据等技术来管理和运营新型能源体系</w:t>
      </w:r>
      <w:r>
        <w:rPr>
          <w:rFonts w:hint="eastAsia"/>
          <w:lang w:val="en-US" w:eastAsia="zh-CN"/>
        </w:rPr>
        <w:t>，面向能源、工业、建筑、交通等领域，重点</w:t>
      </w:r>
      <w:r>
        <w:rPr>
          <w:rFonts w:hint="default"/>
          <w:lang w:val="en-US" w:eastAsia="zh-CN"/>
        </w:rPr>
        <w:t>构建以城市能源大数据平台、智慧能源公共服务平台和碳中和创新平台为核心的城市能源</w:t>
      </w:r>
      <w:r>
        <w:rPr>
          <w:rFonts w:hint="eastAsia"/>
          <w:lang w:val="en-US" w:eastAsia="zh-CN"/>
        </w:rPr>
        <w:t>监管平台。</w:t>
      </w:r>
    </w:p>
    <w:p>
      <w:pPr>
        <w:rPr>
          <w:rFonts w:hint="default"/>
          <w:lang w:val="en-US" w:eastAsia="zh-CN"/>
        </w:rPr>
      </w:pPr>
      <w:r>
        <w:rPr>
          <w:rFonts w:hint="eastAsia"/>
          <w:b/>
          <w:bCs/>
          <w:lang w:val="en-US" w:eastAsia="zh-CN"/>
        </w:rPr>
        <w:t>图示</w:t>
      </w:r>
      <w:r>
        <w:rPr>
          <w:rFonts w:hint="eastAsia"/>
          <w:lang w:val="en-US" w:eastAsia="zh-CN"/>
        </w:rPr>
        <w:t>：</w:t>
      </w:r>
    </w:p>
    <w:p>
      <w:pPr>
        <w:jc w:val="both"/>
        <w:rPr>
          <w:rFonts w:hint="eastAsia"/>
          <w:lang w:val="en-US" w:eastAsia="zh-CN"/>
        </w:rPr>
      </w:pPr>
      <w:r>
        <w:drawing>
          <wp:inline distT="0" distB="0" distL="114300" distR="114300">
            <wp:extent cx="4679950" cy="3334385"/>
            <wp:effectExtent l="0" t="0" r="6350"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4679950" cy="3334385"/>
                    </a:xfrm>
                    <a:prstGeom prst="rect">
                      <a:avLst/>
                    </a:prstGeom>
                  </pic:spPr>
                </pic:pic>
              </a:graphicData>
            </a:graphic>
          </wp:inline>
        </w:drawing>
      </w:r>
    </w:p>
    <w:p>
      <w:pPr>
        <w:pStyle w:val="4"/>
        <w:bidi w:val="0"/>
        <w:ind w:left="573" w:hanging="573"/>
        <w:rPr>
          <w:rFonts w:hint="eastAsia" w:ascii="Arial" w:hAnsi="Arial"/>
          <w:lang w:val="en-US" w:eastAsia="zh-CN"/>
        </w:rPr>
      </w:pPr>
      <w:r>
        <w:rPr>
          <w:rFonts w:hint="eastAsia" w:ascii="Arial" w:hAnsi="Arial"/>
          <w:lang w:val="en-US" w:eastAsia="zh-CN"/>
        </w:rPr>
        <w:t>城市能源大数据平台</w:t>
      </w:r>
    </w:p>
    <w:p>
      <w:pPr>
        <w:rPr>
          <w:rFonts w:hint="eastAsia"/>
          <w:lang w:val="en-US" w:eastAsia="zh-CN"/>
        </w:rPr>
      </w:pPr>
      <w:r>
        <w:rPr>
          <w:rFonts w:hint="eastAsia"/>
          <w:b/>
          <w:bCs/>
          <w:lang w:val="en-US" w:eastAsia="zh-CN"/>
        </w:rPr>
        <w:t>说明</w:t>
      </w:r>
      <w:r>
        <w:rPr>
          <w:rFonts w:hint="eastAsia"/>
          <w:lang w:val="en-US" w:eastAsia="zh-CN"/>
        </w:rPr>
        <w:t>：实现区域各种能源资源、生产开发及消费数据的全覆盖感知，包括电力（风电、光伏、水电、火电以及生物质发电等）、煤炭、石油、燃气以及供热等能源领域相关供应体系的产销数据，为监管部门全面了解城市能源开发禀赋，梳理城市能源脉络，掌握城市能量流向，有序开发绿色能源，推动节能减排提供数据支撑。</w:t>
      </w:r>
    </w:p>
    <w:p>
      <w:pPr>
        <w:rPr>
          <w:rFonts w:hint="default"/>
          <w:lang w:val="en-US" w:eastAsia="zh-CN"/>
        </w:rPr>
      </w:pPr>
      <w:r>
        <w:rPr>
          <w:rFonts w:hint="eastAsia"/>
          <w:b/>
          <w:bCs/>
          <w:lang w:val="en-US" w:eastAsia="zh-CN"/>
        </w:rPr>
        <w:t>价值</w:t>
      </w:r>
      <w:r>
        <w:rPr>
          <w:rFonts w:hint="eastAsia"/>
          <w:lang w:val="en-US" w:eastAsia="zh-CN"/>
        </w:rPr>
        <w:t>：</w:t>
      </w:r>
      <w:r>
        <w:rPr>
          <w:rFonts w:hint="eastAsia"/>
          <w:b/>
          <w:bCs/>
          <w:lang w:val="en-US" w:eastAsia="zh-CN"/>
        </w:rPr>
        <w:t>感知城市能源脉络，推动绿色能源体系建设</w:t>
      </w:r>
    </w:p>
    <w:p>
      <w:pPr>
        <w:rPr>
          <w:rFonts w:hint="eastAsia"/>
          <w:lang w:val="en-US" w:eastAsia="zh-CN"/>
        </w:rPr>
      </w:pPr>
      <w:r>
        <w:rPr>
          <w:rFonts w:hint="eastAsia"/>
          <w:b/>
          <w:bCs/>
          <w:lang w:val="en-US" w:eastAsia="zh-CN"/>
        </w:rPr>
        <w:t>图示</w:t>
      </w:r>
      <w:r>
        <w:rPr>
          <w:rFonts w:hint="eastAsia"/>
          <w:lang w:val="en-US" w:eastAsia="zh-CN"/>
        </w:rPr>
        <w:t>：</w:t>
      </w:r>
    </w:p>
    <w:p>
      <w:pPr>
        <w:rPr>
          <w:rFonts w:hint="default"/>
          <w:lang w:val="en-US" w:eastAsia="zh-CN"/>
        </w:rPr>
      </w:pPr>
      <w:r>
        <w:drawing>
          <wp:inline distT="0" distB="0" distL="114300" distR="114300">
            <wp:extent cx="4679950" cy="2815590"/>
            <wp:effectExtent l="0" t="0" r="6350" b="3810"/>
            <wp:docPr id="2" name="图片 1" descr="能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能流图"/>
                    <pic:cNvPicPr>
                      <a:picLocks noChangeAspect="1"/>
                    </pic:cNvPicPr>
                  </pic:nvPicPr>
                  <pic:blipFill>
                    <a:blip r:embed="rId7"/>
                    <a:srcRect t="6337"/>
                    <a:stretch>
                      <a:fillRect/>
                    </a:stretch>
                  </pic:blipFill>
                  <pic:spPr>
                    <a:xfrm>
                      <a:off x="0" y="0"/>
                      <a:ext cx="4679950" cy="2815590"/>
                    </a:xfrm>
                    <a:prstGeom prst="rect">
                      <a:avLst/>
                    </a:prstGeom>
                  </pic:spPr>
                </pic:pic>
              </a:graphicData>
            </a:graphic>
          </wp:inline>
        </w:drawing>
      </w:r>
    </w:p>
    <w:p>
      <w:pPr>
        <w:pStyle w:val="4"/>
        <w:bidi w:val="0"/>
        <w:ind w:left="573" w:hanging="573"/>
        <w:rPr>
          <w:rFonts w:hint="eastAsia" w:ascii="Arial" w:hAnsi="Arial"/>
          <w:lang w:val="en-US" w:eastAsia="zh-CN"/>
        </w:rPr>
      </w:pPr>
      <w:r>
        <w:rPr>
          <w:rFonts w:hint="eastAsia" w:ascii="Arial" w:hAnsi="Arial"/>
          <w:lang w:val="en-US" w:eastAsia="zh-CN"/>
        </w:rPr>
        <w:t>智慧能源公共服务平台</w:t>
      </w:r>
    </w:p>
    <w:p>
      <w:pPr>
        <w:rPr>
          <w:rFonts w:hint="eastAsia"/>
          <w:lang w:val="en-US" w:eastAsia="zh-CN"/>
        </w:rPr>
      </w:pPr>
      <w:r>
        <w:rPr>
          <w:rFonts w:hint="eastAsia"/>
          <w:b/>
          <w:bCs/>
          <w:lang w:val="en-US" w:eastAsia="zh-CN"/>
        </w:rPr>
        <w:t>说明</w:t>
      </w:r>
      <w:r>
        <w:rPr>
          <w:rFonts w:hint="eastAsia"/>
          <w:lang w:val="en-US" w:eastAsia="zh-CN"/>
        </w:rPr>
        <w:t>：为加强用户侧能源消费的感知能力，减轻企业能源数字化建设成本，通过物联网、云计算等新兴技术构建能源数字化SAAS服务平台，为企业的新能源监管、节能减排、数字化管理以及智能化管控提供支撑，同时为能源源监管机构制定用户侧能源配套政策提供精准的终端用能画像。</w:t>
      </w:r>
    </w:p>
    <w:p>
      <w:pPr>
        <w:rPr>
          <w:rFonts w:hint="default"/>
          <w:lang w:val="en-US" w:eastAsia="zh-CN"/>
        </w:rPr>
      </w:pPr>
      <w:r>
        <w:rPr>
          <w:rFonts w:hint="eastAsia"/>
          <w:b/>
          <w:bCs/>
          <w:lang w:val="en-US" w:eastAsia="zh-CN"/>
        </w:rPr>
        <w:t>价值</w:t>
      </w:r>
      <w:r>
        <w:rPr>
          <w:rFonts w:hint="eastAsia"/>
          <w:lang w:val="en-US" w:eastAsia="zh-CN"/>
        </w:rPr>
        <w:t>：</w:t>
      </w:r>
      <w:r>
        <w:rPr>
          <w:rFonts w:hint="eastAsia"/>
          <w:b/>
          <w:bCs/>
          <w:lang w:val="en-US" w:eastAsia="zh-CN"/>
        </w:rPr>
        <w:t>构建能源数字公共服务，促进企业能源智慧发展</w:t>
      </w:r>
    </w:p>
    <w:p>
      <w:pPr>
        <w:rPr>
          <w:rFonts w:hint="default"/>
          <w:lang w:val="en-US" w:eastAsia="zh-CN"/>
        </w:rPr>
      </w:pPr>
      <w:r>
        <w:rPr>
          <w:rFonts w:hint="eastAsia"/>
          <w:b/>
          <w:bCs/>
          <w:lang w:val="en-US" w:eastAsia="zh-CN"/>
        </w:rPr>
        <w:t>图示</w:t>
      </w:r>
      <w:r>
        <w:rPr>
          <w:rFonts w:hint="eastAsia"/>
          <w:lang w:val="en-US" w:eastAsia="zh-CN"/>
        </w:rPr>
        <w:t>：</w:t>
      </w:r>
    </w:p>
    <w:p>
      <w:pPr>
        <w:rPr>
          <w:rFonts w:hint="eastAsia"/>
          <w:lang w:val="en-US" w:eastAsia="zh-CN"/>
        </w:rPr>
      </w:pPr>
      <w:r>
        <w:drawing>
          <wp:inline distT="0" distB="0" distL="114300" distR="114300">
            <wp:extent cx="4679950" cy="2598420"/>
            <wp:effectExtent l="0" t="0" r="6350" b="5080"/>
            <wp:docPr id="21" name="图片 4" descr="能源云平台1.12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能源云平台1.12 (6)"/>
                    <pic:cNvPicPr>
                      <a:picLocks noChangeAspect="1"/>
                    </pic:cNvPicPr>
                  </pic:nvPicPr>
                  <pic:blipFill>
                    <a:blip r:embed="rId8"/>
                    <a:srcRect t="10296"/>
                    <a:stretch>
                      <a:fillRect/>
                    </a:stretch>
                  </pic:blipFill>
                  <pic:spPr>
                    <a:xfrm>
                      <a:off x="0" y="0"/>
                      <a:ext cx="4679950" cy="2598420"/>
                    </a:xfrm>
                    <a:prstGeom prst="rect">
                      <a:avLst/>
                    </a:prstGeom>
                  </pic:spPr>
                </pic:pic>
              </a:graphicData>
            </a:graphic>
          </wp:inline>
        </w:drawing>
      </w:r>
    </w:p>
    <w:p>
      <w:pPr>
        <w:rPr>
          <w:rFonts w:hint="eastAsia"/>
          <w:lang w:val="en-US" w:eastAsia="zh-CN"/>
        </w:rPr>
      </w:pPr>
    </w:p>
    <w:p>
      <w:pPr>
        <w:pStyle w:val="4"/>
        <w:bidi w:val="0"/>
        <w:ind w:left="573" w:hanging="573"/>
        <w:rPr>
          <w:rFonts w:hint="eastAsia" w:ascii="Arial" w:hAnsi="Arial"/>
          <w:lang w:val="en-US" w:eastAsia="zh-CN"/>
        </w:rPr>
      </w:pPr>
      <w:r>
        <w:rPr>
          <w:rFonts w:hint="eastAsia" w:ascii="Arial" w:hAnsi="Arial"/>
          <w:lang w:val="en-US" w:eastAsia="zh-CN"/>
        </w:rPr>
        <w:t>双碳创新服务管理平台</w:t>
      </w:r>
    </w:p>
    <w:p>
      <w:pPr>
        <w:rPr>
          <w:rFonts w:hint="eastAsia"/>
          <w:lang w:val="en-US" w:eastAsia="zh-CN"/>
        </w:rPr>
      </w:pPr>
      <w:r>
        <w:rPr>
          <w:rFonts w:hint="eastAsia"/>
          <w:b/>
          <w:bCs/>
          <w:lang w:val="en-US" w:eastAsia="zh-CN"/>
        </w:rPr>
        <w:t>说明</w:t>
      </w:r>
      <w:r>
        <w:rPr>
          <w:rFonts w:hint="eastAsia"/>
          <w:lang w:val="en-US" w:eastAsia="zh-CN"/>
        </w:rPr>
        <w:t>：结合平台各类能源相关数据，推送“数据驱动业务”在能源创新体系业务中落地，构建完整的政府监管、服务创新和企业应用的能源创新服务体系，为城市在清洁能源开发、能源高效利用以及能源智慧管理三个方向的高效创新发展提供基础，同时推动相关资源、技术、资金等关键要素高效流转。</w:t>
      </w:r>
    </w:p>
    <w:p>
      <w:pPr>
        <w:rPr>
          <w:rFonts w:hint="default"/>
          <w:b/>
          <w:bCs/>
          <w:lang w:val="en-US" w:eastAsia="zh-CN"/>
        </w:rPr>
      </w:pPr>
      <w:r>
        <w:rPr>
          <w:rFonts w:hint="eastAsia"/>
          <w:b/>
          <w:bCs/>
          <w:lang w:val="en-US" w:eastAsia="zh-CN"/>
        </w:rPr>
        <w:t>价值：以数据驱动能源服务创新，促进双碳创新要素高效流转</w:t>
      </w:r>
    </w:p>
    <w:p>
      <w:pPr>
        <w:rPr>
          <w:rFonts w:hint="default"/>
          <w:lang w:val="en-US" w:eastAsia="zh-CN"/>
        </w:rPr>
      </w:pPr>
      <w:r>
        <w:rPr>
          <w:rFonts w:hint="eastAsia"/>
          <w:b/>
          <w:bCs/>
          <w:lang w:val="en-US" w:eastAsia="zh-CN"/>
        </w:rPr>
        <w:t>图示</w:t>
      </w:r>
      <w:r>
        <w:rPr>
          <w:rFonts w:hint="eastAsia"/>
          <w:lang w:val="en-US" w:eastAsia="zh-CN"/>
        </w:rPr>
        <w:t>：</w:t>
      </w:r>
    </w:p>
    <w:p>
      <w:pPr>
        <w:rPr>
          <w:rFonts w:hint="eastAsia"/>
          <w:lang w:val="en-US" w:eastAsia="zh-CN"/>
        </w:rPr>
      </w:pPr>
      <w:r>
        <w:drawing>
          <wp:inline distT="0" distB="0" distL="114300" distR="114300">
            <wp:extent cx="2717800" cy="2565400"/>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9"/>
                    <a:stretch>
                      <a:fillRect/>
                    </a:stretch>
                  </pic:blipFill>
                  <pic:spPr>
                    <a:xfrm>
                      <a:off x="0" y="0"/>
                      <a:ext cx="2717800" cy="2565400"/>
                    </a:xfrm>
                    <a:prstGeom prst="rect">
                      <a:avLst/>
                    </a:prstGeom>
                    <a:noFill/>
                    <a:ln>
                      <a:noFill/>
                    </a:ln>
                  </pic:spPr>
                </pic:pic>
              </a:graphicData>
            </a:graphic>
          </wp:inline>
        </w:drawing>
      </w:r>
    </w:p>
    <w:p>
      <w:pPr>
        <w:pStyle w:val="2"/>
        <w:bidi w:val="0"/>
        <w:ind w:left="432" w:leftChars="0" w:hanging="432" w:firstLineChars="0"/>
        <w:rPr>
          <w:rFonts w:hint="eastAsia"/>
          <w:lang w:val="en-US" w:eastAsia="zh-CN"/>
        </w:rPr>
      </w:pPr>
      <w:r>
        <w:rPr>
          <w:rFonts w:hint="eastAsia"/>
          <w:lang w:val="en-US" w:eastAsia="zh-CN"/>
        </w:rPr>
        <w:t>绿色能源领域</w:t>
      </w:r>
    </w:p>
    <w:p>
      <w:pPr>
        <w:pStyle w:val="3"/>
        <w:bidi w:val="0"/>
        <w:ind w:left="573" w:hanging="573"/>
        <w:rPr>
          <w:rFonts w:hint="eastAsia" w:ascii="Arial" w:hAnsi="Arial"/>
          <w:lang w:val="en-US" w:eastAsia="zh-CN"/>
        </w:rPr>
      </w:pPr>
      <w:r>
        <w:rPr>
          <w:rFonts w:hint="eastAsia" w:ascii="Arial" w:hAnsi="Arial"/>
          <w:lang w:val="en-US" w:eastAsia="zh-CN"/>
        </w:rPr>
        <w:t>陆上风电</w:t>
      </w:r>
    </w:p>
    <w:p>
      <w:pPr>
        <w:rPr>
          <w:rFonts w:hint="eastAsia"/>
          <w:lang w:val="en-US" w:eastAsia="zh-CN"/>
        </w:rPr>
      </w:pPr>
      <w:r>
        <w:rPr>
          <w:rFonts w:hint="eastAsia"/>
          <w:vertAlign w:val="baseline"/>
          <w:lang w:val="en-US" w:eastAsia="zh-CN"/>
        </w:rPr>
        <w:t>以集团重点推出的产品为主</w:t>
      </w:r>
    </w:p>
    <w:p>
      <w:pPr>
        <w:pStyle w:val="3"/>
        <w:bidi w:val="0"/>
        <w:ind w:left="573" w:hanging="573"/>
        <w:rPr>
          <w:rFonts w:hint="eastAsia" w:ascii="Arial" w:hAnsi="Arial"/>
          <w:lang w:val="en-US" w:eastAsia="zh-CN"/>
        </w:rPr>
      </w:pPr>
      <w:r>
        <w:rPr>
          <w:rFonts w:hint="eastAsia" w:ascii="Arial" w:hAnsi="Arial"/>
          <w:lang w:val="en-US" w:eastAsia="zh-CN"/>
        </w:rPr>
        <w:t>海上风电</w:t>
      </w:r>
    </w:p>
    <w:p>
      <w:pPr>
        <w:rPr>
          <w:rFonts w:hint="eastAsia"/>
          <w:lang w:val="en-US" w:eastAsia="zh-CN"/>
        </w:rPr>
      </w:pPr>
      <w:r>
        <w:rPr>
          <w:rFonts w:hint="eastAsia"/>
          <w:vertAlign w:val="baseline"/>
          <w:lang w:val="en-US" w:eastAsia="zh-CN"/>
        </w:rPr>
        <w:t>以集团重点推出的产品为主</w:t>
      </w:r>
    </w:p>
    <w:p>
      <w:pPr>
        <w:pStyle w:val="3"/>
        <w:bidi w:val="0"/>
        <w:ind w:left="573" w:hanging="573"/>
        <w:rPr>
          <w:rFonts w:hint="default" w:ascii="Arial" w:hAnsi="Arial"/>
          <w:lang w:val="en-US" w:eastAsia="zh-CN"/>
        </w:rPr>
      </w:pPr>
      <w:r>
        <w:rPr>
          <w:rFonts w:hint="eastAsia" w:ascii="Arial" w:hAnsi="Arial"/>
          <w:lang w:val="en-US" w:eastAsia="zh-CN"/>
        </w:rPr>
        <w:t>数字风场</w:t>
      </w:r>
    </w:p>
    <w:p>
      <w:pPr>
        <w:ind w:firstLine="420" w:firstLineChars="0"/>
        <w:rPr>
          <w:rFonts w:hint="eastAsia"/>
          <w:lang w:val="en-US" w:eastAsia="zh-CN"/>
        </w:rPr>
      </w:pPr>
      <w:r>
        <w:rPr>
          <w:rFonts w:hint="eastAsia"/>
          <w:lang w:val="en-US" w:eastAsia="zh-CN"/>
        </w:rPr>
        <w:t>针对新能源场站运行管理、运营提升和维护管理提供全套的风电场数字化解决方案，致力于为用户全生命周期价值服务。</w:t>
      </w:r>
    </w:p>
    <w:p>
      <w:pPr>
        <w:pStyle w:val="4"/>
        <w:bidi w:val="0"/>
        <w:rPr>
          <w:rFonts w:hint="default"/>
          <w:lang w:val="en-US" w:eastAsia="zh-CN"/>
        </w:rPr>
      </w:pPr>
      <w:r>
        <w:rPr>
          <w:rFonts w:hint="eastAsia"/>
          <w:lang w:val="en-US" w:eastAsia="zh-CN"/>
        </w:rPr>
        <w:t>智慧风场SCADA（第三代SCADA监控平台）</w:t>
      </w:r>
    </w:p>
    <w:p>
      <w:pPr>
        <w:rPr>
          <w:rFonts w:hint="eastAsia"/>
          <w:lang w:val="en-US" w:eastAsia="zh-CN"/>
        </w:rPr>
      </w:pPr>
      <w:r>
        <w:rPr>
          <w:rFonts w:hint="eastAsia"/>
          <w:b/>
          <w:bCs/>
          <w:lang w:val="en-US" w:eastAsia="zh-CN"/>
        </w:rPr>
        <w:t>说明</w:t>
      </w:r>
      <w:r>
        <w:rPr>
          <w:rFonts w:hint="eastAsia"/>
          <w:lang w:val="en-US" w:eastAsia="zh-CN"/>
        </w:rPr>
        <w:t>：针对原有智慧风场SCADA系统在系统架构以及数据融合和系统融合的不足，明阳在智慧风场的架构和功能上进行了全新设计</w:t>
      </w:r>
      <w:r>
        <w:rPr>
          <w:rFonts w:hint="default"/>
          <w:lang w:val="en-US" w:eastAsia="zh-CN"/>
        </w:rPr>
        <w:t>，</w:t>
      </w:r>
      <w:r>
        <w:rPr>
          <w:rFonts w:hint="eastAsia"/>
          <w:lang w:val="en-US" w:eastAsia="zh-CN"/>
        </w:rPr>
        <w:t>首先</w:t>
      </w:r>
      <w:r>
        <w:rPr>
          <w:rFonts w:hint="default"/>
          <w:lang w:val="en-US" w:eastAsia="zh-CN"/>
        </w:rPr>
        <w:t>将中控产品平台化，打通各应用系统间的数据壁垒，实现与能量管理、辅控系统、预警系统的深度融合</w:t>
      </w:r>
      <w:r>
        <w:rPr>
          <w:rFonts w:hint="eastAsia"/>
          <w:lang w:val="en-US" w:eastAsia="zh-CN"/>
        </w:rPr>
        <w:t>，其次通过B/S架提升了功能</w:t>
      </w:r>
      <w:r>
        <w:rPr>
          <w:rFonts w:hint="default"/>
          <w:lang w:val="en-US" w:eastAsia="zh-CN"/>
        </w:rPr>
        <w:t>界面</w:t>
      </w:r>
      <w:r>
        <w:rPr>
          <w:rFonts w:hint="eastAsia"/>
          <w:lang w:val="en-US" w:eastAsia="zh-CN"/>
        </w:rPr>
        <w:t>的可视化和可操作性，同时</w:t>
      </w:r>
      <w:r>
        <w:rPr>
          <w:rFonts w:hint="default"/>
          <w:lang w:val="en-US" w:eastAsia="zh-CN"/>
        </w:rPr>
        <w:t>可快速满足业主定制化界面需求</w:t>
      </w:r>
      <w:r>
        <w:rPr>
          <w:rFonts w:hint="eastAsia"/>
          <w:lang w:val="en-US" w:eastAsia="zh-CN"/>
        </w:rPr>
        <w:t>。</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新能源集控平台（第二代集约化监控管理平台）</w:t>
      </w:r>
    </w:p>
    <w:p>
      <w:pPr>
        <w:rPr>
          <w:rFonts w:hint="default"/>
          <w:lang w:val="en-US" w:eastAsia="zh-CN"/>
        </w:rPr>
      </w:pPr>
      <w:r>
        <w:rPr>
          <w:rFonts w:hint="eastAsia"/>
          <w:b/>
          <w:bCs/>
          <w:lang w:val="en-US" w:eastAsia="zh-CN"/>
        </w:rPr>
        <w:t>说明</w:t>
      </w:r>
      <w:r>
        <w:rPr>
          <w:rFonts w:hint="eastAsia"/>
          <w:lang w:val="en-US" w:eastAsia="zh-CN"/>
        </w:rPr>
        <w:t>：针对原有集控平台在应用功能上的不足，第二代平台</w:t>
      </w:r>
      <w:r>
        <w:rPr>
          <w:rFonts w:hint="default"/>
          <w:lang w:val="en-US" w:eastAsia="zh-CN"/>
        </w:rPr>
        <w:t>除满足传统集中监控系统中的集中监视、故障管理、</w:t>
      </w:r>
      <w:r>
        <w:rPr>
          <w:rFonts w:hint="eastAsia"/>
          <w:lang w:val="en-US" w:eastAsia="zh-CN"/>
        </w:rPr>
        <w:t>阀</w:t>
      </w:r>
      <w:r>
        <w:rPr>
          <w:rFonts w:hint="default"/>
          <w:lang w:val="en-US" w:eastAsia="zh-CN"/>
        </w:rPr>
        <w:t>值告警管理、数据查询、数据统计分析以及报表管理等功能之外，为响应市场对高级应用的需求，新能源集控平台通过大数据平台实现数据治理，功能层面满足集中告警调度、故障预警、故障诊断、备品备件管理、绩效评价中心以及移动平台。</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风机在线诊断SAAS服务（国内首个风机智能诊断SAAS服务）</w:t>
      </w:r>
    </w:p>
    <w:p>
      <w:pPr>
        <w:rPr>
          <w:rFonts w:hint="default"/>
          <w:lang w:val="en-US" w:eastAsia="zh-CN"/>
        </w:rPr>
      </w:pPr>
      <w:r>
        <w:rPr>
          <w:rFonts w:hint="eastAsia"/>
          <w:b/>
          <w:bCs/>
          <w:lang w:val="en-US" w:eastAsia="zh-CN"/>
        </w:rPr>
        <w:t>说明</w:t>
      </w:r>
      <w:r>
        <w:rPr>
          <w:rFonts w:hint="eastAsia"/>
          <w:lang w:val="en-US" w:eastAsia="zh-CN"/>
        </w:rPr>
        <w:t>：国内首个</w:t>
      </w:r>
      <w:r>
        <w:rPr>
          <w:rFonts w:hint="default"/>
          <w:lang w:val="en-US" w:eastAsia="zh-CN"/>
        </w:rPr>
        <w:t>风机在线诊断SAAS服务，支持批量上传风机运行数据，自动执行数据格式校验和数据解析入库，拥有双馈、半直驱和直驱全机型预警模型，数据分析程序会自动对数据进行分析，生成诊断报告，包含机组故障预警结果和机组能效评估结果，协助客户从数据中挖掘更多价值，做到状态运维，降低运维成本，提高机组发电能效水平。</w:t>
      </w:r>
    </w:p>
    <w:p>
      <w:pPr>
        <w:pStyle w:val="2"/>
        <w:bidi w:val="0"/>
        <w:ind w:left="432" w:leftChars="0" w:hanging="432" w:firstLineChars="0"/>
        <w:rPr>
          <w:rFonts w:hint="eastAsia"/>
          <w:lang w:val="en-US" w:eastAsia="zh-CN"/>
        </w:rPr>
      </w:pPr>
      <w:r>
        <w:rPr>
          <w:rFonts w:hint="eastAsia"/>
          <w:lang w:val="en-US" w:eastAsia="zh-CN"/>
        </w:rPr>
        <w:t>绿色工业领域</w:t>
      </w:r>
    </w:p>
    <w:p>
      <w:pPr>
        <w:pStyle w:val="3"/>
        <w:bidi w:val="0"/>
        <w:rPr>
          <w:rFonts w:hint="eastAsia"/>
          <w:lang w:val="en-US" w:eastAsia="zh-CN"/>
        </w:rPr>
      </w:pPr>
      <w:r>
        <w:rPr>
          <w:rFonts w:hint="eastAsia"/>
          <w:lang w:val="en-US" w:eastAsia="zh-CN"/>
        </w:rPr>
        <w:t>清洁电能</w:t>
      </w:r>
    </w:p>
    <w:p>
      <w:pPr>
        <w:rPr>
          <w:rFonts w:hint="eastAsia"/>
          <w:lang w:val="en-US" w:eastAsia="zh-CN"/>
        </w:rPr>
      </w:pPr>
      <w:r>
        <w:rPr>
          <w:rFonts w:hint="eastAsia"/>
          <w:b/>
          <w:bCs/>
          <w:lang w:val="en-US" w:eastAsia="zh-CN"/>
        </w:rPr>
        <w:t>说明</w:t>
      </w:r>
      <w:r>
        <w:rPr>
          <w:rFonts w:hint="eastAsia"/>
          <w:lang w:val="en-US" w:eastAsia="zh-CN"/>
        </w:rPr>
        <w:t>：挖掘用户周边潜在可再生资源，为用户提供包括规划咨询、可研设计、施工建设及营运维护一站式的分布式风光及配套设施建设服务，为用户构建绿色零碳电力供应体系，推动用户优化自身能源结构，提升企业能源供应的灵活性和安全性，进一步提升可再生能源消纳比例，实现企业低碳化发展。</w:t>
      </w:r>
    </w:p>
    <w:p>
      <w:pPr>
        <w:rPr>
          <w:rFonts w:hint="default"/>
          <w:lang w:val="en-US" w:eastAsia="zh-CN"/>
        </w:rPr>
      </w:pPr>
      <w:r>
        <w:rPr>
          <w:rFonts w:hint="eastAsia"/>
          <w:b/>
          <w:bCs/>
          <w:lang w:val="en-US" w:eastAsia="zh-CN"/>
        </w:rPr>
        <w:t>价值</w:t>
      </w:r>
      <w:r>
        <w:rPr>
          <w:rFonts w:hint="eastAsia"/>
          <w:lang w:val="en-US" w:eastAsia="zh-CN"/>
        </w:rPr>
        <w:t>：</w:t>
      </w:r>
      <w:r>
        <w:rPr>
          <w:rFonts w:hint="eastAsia"/>
          <w:b/>
          <w:bCs/>
          <w:lang w:val="en-US" w:eastAsia="zh-CN"/>
        </w:rPr>
        <w:t>因地制宜开发清洁能源，推动企业低碳发展</w:t>
      </w:r>
    </w:p>
    <w:p>
      <w:pPr>
        <w:rPr>
          <w:rFonts w:hint="default"/>
          <w:lang w:val="en-US" w:eastAsia="zh-CN"/>
        </w:rPr>
      </w:pPr>
      <w:r>
        <w:rPr>
          <w:rFonts w:hint="eastAsia"/>
          <w:b/>
          <w:bCs/>
          <w:lang w:val="en-US" w:eastAsia="zh-CN"/>
        </w:rPr>
        <w:t>图示</w:t>
      </w:r>
      <w:r>
        <w:rPr>
          <w:rFonts w:hint="eastAsia"/>
          <w:lang w:val="en-US" w:eastAsia="zh-CN"/>
        </w:rPr>
        <w:t>：</w:t>
      </w:r>
    </w:p>
    <w:p>
      <w:pPr>
        <w:rPr>
          <w:rFonts w:hint="eastAsia"/>
          <w:lang w:val="en-US" w:eastAsia="zh-CN"/>
        </w:rPr>
      </w:pPr>
      <w:r>
        <w:drawing>
          <wp:inline distT="0" distB="0" distL="114300" distR="114300">
            <wp:extent cx="5267960" cy="2553970"/>
            <wp:effectExtent l="0" t="0" r="254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7960" cy="255397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绿色氢能</w:t>
      </w:r>
    </w:p>
    <w:p>
      <w:pPr>
        <w:rPr>
          <w:rFonts w:hint="eastAsia"/>
          <w:lang w:val="en-US" w:eastAsia="zh-CN"/>
        </w:rPr>
      </w:pPr>
      <w:r>
        <w:rPr>
          <w:rFonts w:hint="eastAsia"/>
          <w:b/>
          <w:bCs/>
          <w:lang w:val="en-US" w:eastAsia="zh-CN"/>
        </w:rPr>
        <w:t>说明</w:t>
      </w:r>
      <w:r>
        <w:rPr>
          <w:rFonts w:hint="eastAsia"/>
          <w:lang w:val="en-US" w:eastAsia="zh-CN"/>
        </w:rPr>
        <w:t>：推动工业制造领域由碳基工业转向氢基工业，结合用户就近风光资源开发潜力为用户提供风光制氢或海风制氢解决方案，提供新能源场站及制氢系统的建设，为用户提供低成本、高质量的绿氢供应体系，解决用户碳-氢转换后的氢能供应问题。</w:t>
      </w:r>
    </w:p>
    <w:p>
      <w:pPr>
        <w:rPr>
          <w:rFonts w:hint="default"/>
          <w:lang w:val="en-US" w:eastAsia="zh-CN"/>
        </w:rPr>
      </w:pPr>
      <w:r>
        <w:rPr>
          <w:rFonts w:hint="eastAsia"/>
          <w:b/>
          <w:bCs/>
          <w:lang w:val="en-US" w:eastAsia="zh-CN"/>
        </w:rPr>
        <w:t>价值</w:t>
      </w:r>
      <w:r>
        <w:rPr>
          <w:rFonts w:hint="eastAsia"/>
          <w:lang w:val="en-US" w:eastAsia="zh-CN"/>
        </w:rPr>
        <w:t>：</w:t>
      </w:r>
      <w:r>
        <w:rPr>
          <w:rFonts w:hint="eastAsia"/>
          <w:b/>
          <w:bCs/>
          <w:lang w:val="en-US" w:eastAsia="zh-CN"/>
        </w:rPr>
        <w:t>就近建立绿氢供应体系，推动工业领域向氢基发展</w:t>
      </w:r>
    </w:p>
    <w:p>
      <w:pPr>
        <w:rPr>
          <w:rFonts w:hint="eastAsia"/>
          <w:lang w:val="en-US" w:eastAsia="zh-CN"/>
        </w:rPr>
      </w:pPr>
    </w:p>
    <w:p>
      <w:pPr>
        <w:rPr>
          <w:rFonts w:hint="eastAsia"/>
          <w:lang w:val="en-US" w:eastAsia="zh-CN"/>
        </w:rPr>
      </w:pPr>
      <w:r>
        <w:rPr>
          <w:rFonts w:hint="eastAsia"/>
          <w:b/>
          <w:bCs/>
          <w:lang w:val="en-US" w:eastAsia="zh-CN"/>
        </w:rPr>
        <w:t>图示</w:t>
      </w:r>
      <w:r>
        <w:rPr>
          <w:rFonts w:hint="eastAsia"/>
          <w:lang w:val="en-US" w:eastAsia="zh-CN"/>
        </w:rPr>
        <w:t>：</w:t>
      </w:r>
    </w:p>
    <w:p>
      <w:pPr>
        <w:rPr>
          <w:rFonts w:hint="eastAsia"/>
          <w:lang w:val="en-US" w:eastAsia="zh-CN"/>
        </w:rPr>
      </w:pPr>
      <w:r>
        <w:drawing>
          <wp:inline distT="0" distB="0" distL="114300" distR="114300">
            <wp:extent cx="5274310" cy="2767965"/>
            <wp:effectExtent l="0" t="0" r="8890" b="63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1"/>
                    <a:stretch>
                      <a:fillRect/>
                    </a:stretch>
                  </pic:blipFill>
                  <pic:spPr>
                    <a:xfrm>
                      <a:off x="0" y="0"/>
                      <a:ext cx="5274310" cy="27679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多能微网</w:t>
      </w:r>
    </w:p>
    <w:p>
      <w:pPr>
        <w:rPr>
          <w:rFonts w:hint="eastAsia"/>
          <w:lang w:val="en-US" w:eastAsia="zh-CN"/>
        </w:rPr>
      </w:pPr>
      <w:r>
        <w:rPr>
          <w:rFonts w:hint="eastAsia"/>
          <w:b/>
          <w:bCs/>
          <w:lang w:val="en-US" w:eastAsia="zh-CN"/>
        </w:rPr>
        <w:t>说明</w:t>
      </w:r>
      <w:r>
        <w:rPr>
          <w:rFonts w:hint="eastAsia"/>
          <w:lang w:val="en-US" w:eastAsia="zh-CN"/>
        </w:rPr>
        <w:t>：</w:t>
      </w:r>
      <w:r>
        <w:rPr>
          <w:rFonts w:hint="default"/>
          <w:lang w:val="en-US" w:eastAsia="zh-CN"/>
        </w:rPr>
        <w:t>为解决可再生能源波动对用户侧的影响，</w:t>
      </w:r>
      <w:r>
        <w:rPr>
          <w:rFonts w:hint="eastAsia"/>
          <w:lang w:val="en-US" w:eastAsia="zh-CN"/>
        </w:rPr>
        <w:t>降低清洁能源使用成本，利用</w:t>
      </w:r>
      <w:r>
        <w:rPr>
          <w:rFonts w:hint="default"/>
          <w:lang w:val="en-US" w:eastAsia="zh-CN"/>
        </w:rPr>
        <w:t>多能</w:t>
      </w:r>
      <w:r>
        <w:rPr>
          <w:rFonts w:hint="eastAsia"/>
          <w:lang w:val="en-US" w:eastAsia="zh-CN"/>
        </w:rPr>
        <w:t>柔性</w:t>
      </w:r>
      <w:r>
        <w:rPr>
          <w:rFonts w:hint="default"/>
          <w:lang w:val="en-US" w:eastAsia="zh-CN"/>
        </w:rPr>
        <w:t>互补技术</w:t>
      </w:r>
      <w:r>
        <w:rPr>
          <w:rFonts w:hint="eastAsia"/>
          <w:lang w:val="en-US" w:eastAsia="zh-CN"/>
        </w:rPr>
        <w:t>合理规划</w:t>
      </w:r>
      <w:r>
        <w:rPr>
          <w:rFonts w:hint="default"/>
          <w:lang w:val="en-US" w:eastAsia="zh-CN"/>
        </w:rPr>
        <w:t>风光储氢规模，通过能效监测</w:t>
      </w:r>
      <w:r>
        <w:rPr>
          <w:rFonts w:hint="eastAsia"/>
          <w:lang w:val="en-US" w:eastAsia="zh-CN"/>
        </w:rPr>
        <w:t>优化</w:t>
      </w:r>
      <w:r>
        <w:rPr>
          <w:rFonts w:hint="default"/>
          <w:lang w:val="en-US" w:eastAsia="zh-CN"/>
        </w:rPr>
        <w:t>、供需动态匹配和</w:t>
      </w:r>
      <w:r>
        <w:rPr>
          <w:rFonts w:hint="eastAsia"/>
          <w:lang w:val="en-US" w:eastAsia="zh-CN"/>
        </w:rPr>
        <w:t>智慧微网调控</w:t>
      </w:r>
      <w:r>
        <w:rPr>
          <w:rFonts w:hint="default"/>
          <w:lang w:val="en-US" w:eastAsia="zh-CN"/>
        </w:rPr>
        <w:t>等技术</w:t>
      </w:r>
      <w:r>
        <w:rPr>
          <w:rFonts w:hint="eastAsia"/>
          <w:lang w:val="en-US" w:eastAsia="zh-CN"/>
        </w:rPr>
        <w:t>及</w:t>
      </w:r>
      <w:r>
        <w:rPr>
          <w:rFonts w:hint="default"/>
          <w:lang w:val="en-US" w:eastAsia="zh-CN"/>
        </w:rPr>
        <w:t>微网能量优化管理平台，提升用户侧可再生能源的就地消纳能力，</w:t>
      </w:r>
      <w:r>
        <w:rPr>
          <w:rFonts w:hint="eastAsia"/>
          <w:lang w:val="en-US" w:eastAsia="zh-CN"/>
        </w:rPr>
        <w:t>保障</w:t>
      </w:r>
      <w:r>
        <w:rPr>
          <w:rFonts w:hint="default"/>
          <w:lang w:val="en-US" w:eastAsia="zh-CN"/>
        </w:rPr>
        <w:t>客户用能</w:t>
      </w:r>
      <w:r>
        <w:rPr>
          <w:rFonts w:hint="eastAsia"/>
          <w:lang w:val="en-US" w:eastAsia="zh-CN"/>
        </w:rPr>
        <w:t>的安全性</w:t>
      </w:r>
      <w:r>
        <w:rPr>
          <w:rFonts w:hint="default"/>
          <w:lang w:val="en-US" w:eastAsia="zh-CN"/>
        </w:rPr>
        <w:t>、经济</w:t>
      </w:r>
      <w:r>
        <w:rPr>
          <w:rFonts w:hint="eastAsia"/>
          <w:lang w:val="en-US" w:eastAsia="zh-CN"/>
        </w:rPr>
        <w:t>性</w:t>
      </w:r>
      <w:r>
        <w:rPr>
          <w:rFonts w:hint="default"/>
          <w:lang w:val="en-US" w:eastAsia="zh-CN"/>
        </w:rPr>
        <w:t>和可靠</w:t>
      </w:r>
      <w:r>
        <w:rPr>
          <w:rFonts w:hint="eastAsia"/>
          <w:lang w:val="en-US" w:eastAsia="zh-CN"/>
        </w:rPr>
        <w:t>性。</w:t>
      </w:r>
    </w:p>
    <w:p>
      <w:pPr>
        <w:rPr>
          <w:rFonts w:hint="default"/>
          <w:lang w:val="en-US" w:eastAsia="zh-CN"/>
        </w:rPr>
      </w:pPr>
      <w:r>
        <w:rPr>
          <w:rFonts w:hint="eastAsia"/>
          <w:b/>
          <w:bCs/>
          <w:lang w:val="en-US" w:eastAsia="zh-CN"/>
        </w:rPr>
        <w:t>价值</w:t>
      </w:r>
      <w:r>
        <w:rPr>
          <w:rFonts w:hint="eastAsia"/>
          <w:lang w:val="en-US" w:eastAsia="zh-CN"/>
        </w:rPr>
        <w:t>：</w:t>
      </w:r>
      <w:r>
        <w:rPr>
          <w:rFonts w:hint="eastAsia"/>
          <w:b/>
          <w:bCs/>
          <w:lang w:val="en-US" w:eastAsia="zh-CN"/>
        </w:rPr>
        <w:t>智慧柔性多能微网，保障清洁能源的安全性</w:t>
      </w:r>
      <w:r>
        <w:rPr>
          <w:rFonts w:hint="default"/>
          <w:b/>
          <w:bCs/>
          <w:lang w:val="en-US" w:eastAsia="zh-CN"/>
        </w:rPr>
        <w:t>、经济</w:t>
      </w:r>
      <w:r>
        <w:rPr>
          <w:rFonts w:hint="eastAsia"/>
          <w:b/>
          <w:bCs/>
          <w:lang w:val="en-US" w:eastAsia="zh-CN"/>
        </w:rPr>
        <w:t>性</w:t>
      </w:r>
      <w:r>
        <w:rPr>
          <w:rFonts w:hint="default"/>
          <w:b/>
          <w:bCs/>
          <w:lang w:val="en-US" w:eastAsia="zh-CN"/>
        </w:rPr>
        <w:t>和可靠</w:t>
      </w:r>
      <w:r>
        <w:rPr>
          <w:rFonts w:hint="eastAsia"/>
          <w:b/>
          <w:bCs/>
          <w:lang w:val="en-US" w:eastAsia="zh-CN"/>
        </w:rPr>
        <w:t>性</w:t>
      </w:r>
    </w:p>
    <w:p>
      <w:pPr>
        <w:rPr>
          <w:rFonts w:hint="eastAsia"/>
          <w:lang w:val="en-US" w:eastAsia="zh-CN"/>
        </w:rPr>
      </w:pPr>
    </w:p>
    <w:p>
      <w:pPr>
        <w:rPr>
          <w:rFonts w:hint="eastAsia"/>
          <w:lang w:val="en-US" w:eastAsia="zh-CN"/>
        </w:rPr>
      </w:pPr>
      <w:r>
        <w:rPr>
          <w:rFonts w:hint="eastAsia"/>
          <w:b/>
          <w:bCs/>
          <w:lang w:val="en-US" w:eastAsia="zh-CN"/>
        </w:rPr>
        <w:t>图示</w:t>
      </w:r>
      <w:r>
        <w:rPr>
          <w:rFonts w:hint="eastAsia"/>
          <w:lang w:val="en-US" w:eastAsia="zh-CN"/>
        </w:rPr>
        <w:t>：</w:t>
      </w:r>
    </w:p>
    <w:p>
      <w:pPr>
        <w:rPr>
          <w:rFonts w:hint="default"/>
          <w:lang w:val="en-US" w:eastAsia="zh-CN"/>
        </w:rPr>
      </w:pPr>
      <w:r>
        <w:drawing>
          <wp:inline distT="0" distB="0" distL="114300" distR="114300">
            <wp:extent cx="4997450" cy="3257550"/>
            <wp:effectExtent l="0" t="0" r="6350" b="6350"/>
            <wp:docPr id="1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4"/>
                    <pic:cNvPicPr>
                      <a:picLocks noChangeAspect="1"/>
                    </pic:cNvPicPr>
                  </pic:nvPicPr>
                  <pic:blipFill>
                    <a:blip r:embed="rId12"/>
                    <a:stretch>
                      <a:fillRect/>
                    </a:stretch>
                  </pic:blipFill>
                  <pic:spPr>
                    <a:xfrm>
                      <a:off x="0" y="0"/>
                      <a:ext cx="4997450" cy="3257550"/>
                    </a:xfrm>
                    <a:prstGeom prst="rect">
                      <a:avLst/>
                    </a:prstGeom>
                    <a:noFill/>
                    <a:ln>
                      <a:noFill/>
                    </a:ln>
                  </pic:spPr>
                </pic:pic>
              </a:graphicData>
            </a:graphic>
          </wp:inline>
        </w:drawing>
      </w:r>
    </w:p>
    <w:p>
      <w:pPr>
        <w:pStyle w:val="2"/>
        <w:bidi w:val="0"/>
        <w:ind w:left="432" w:leftChars="0" w:hanging="432" w:firstLineChars="0"/>
        <w:rPr>
          <w:rFonts w:hint="default"/>
          <w:lang w:val="en-US" w:eastAsia="zh-CN"/>
        </w:rPr>
      </w:pPr>
      <w:r>
        <w:rPr>
          <w:rFonts w:hint="eastAsia"/>
          <w:lang w:val="en-US" w:eastAsia="zh-CN"/>
        </w:rPr>
        <w:t>绿色建筑领域</w:t>
      </w:r>
    </w:p>
    <w:p>
      <w:pPr>
        <w:pStyle w:val="3"/>
        <w:bidi w:val="0"/>
        <w:rPr>
          <w:rFonts w:hint="eastAsia"/>
          <w:lang w:val="en-US" w:eastAsia="zh-CN"/>
        </w:rPr>
      </w:pPr>
      <w:r>
        <w:rPr>
          <w:rFonts w:hint="eastAsia"/>
          <w:lang w:val="en-US" w:eastAsia="zh-CN"/>
        </w:rPr>
        <w:t>BIPV</w:t>
      </w:r>
    </w:p>
    <w:p>
      <w:pPr>
        <w:rPr>
          <w:rFonts w:hint="eastAsia"/>
          <w:lang w:val="en-US" w:eastAsia="zh-CN"/>
        </w:rPr>
      </w:pPr>
      <w:r>
        <w:rPr>
          <w:rFonts w:hint="eastAsia"/>
          <w:b/>
          <w:bCs/>
          <w:lang w:val="en-US" w:eastAsia="zh-CN"/>
        </w:rPr>
        <w:t>说明</w:t>
      </w:r>
      <w:r>
        <w:rPr>
          <w:rFonts w:hint="eastAsia"/>
          <w:lang w:val="en-US" w:eastAsia="zh-CN"/>
        </w:rPr>
        <w:t>：针对建筑光伏一体化领域，明阳智能为用户提供以高效碲化镉(CdTe)薄膜太阳能发电玻璃为主的BIPV解决方案，发电玻璃在坚固强度、使用寿命、环境适应和安全影响上都具有更好的特性。发电玻璃是专为建筑而生的新型太阳能发电产品，在透光、色彩、形状上可高度定制化，并可完美与玻璃、石材、铝板搭配使用。</w:t>
      </w:r>
    </w:p>
    <w:p>
      <w:pPr>
        <w:rPr>
          <w:rFonts w:hint="default"/>
          <w:lang w:val="en-US" w:eastAsia="zh-CN"/>
        </w:rPr>
      </w:pPr>
      <w:r>
        <w:rPr>
          <w:rFonts w:hint="eastAsia"/>
          <w:b/>
          <w:bCs/>
          <w:lang w:val="en-US" w:eastAsia="zh-CN"/>
        </w:rPr>
        <w:t>价值</w:t>
      </w:r>
      <w:r>
        <w:rPr>
          <w:rFonts w:hint="eastAsia"/>
          <w:lang w:val="en-US" w:eastAsia="zh-CN"/>
        </w:rPr>
        <w:t>：专为建筑而生，推动BIPV高效发展</w:t>
      </w:r>
    </w:p>
    <w:p>
      <w:pPr>
        <w:rPr>
          <w:rFonts w:hint="eastAsia"/>
          <w:lang w:val="en-US" w:eastAsia="zh-CN"/>
        </w:rPr>
      </w:pPr>
      <w:r>
        <w:rPr>
          <w:rFonts w:hint="eastAsia"/>
          <w:b/>
          <w:bCs/>
          <w:lang w:val="en-US" w:eastAsia="zh-CN"/>
        </w:rPr>
        <w:t>图示</w:t>
      </w:r>
      <w:r>
        <w:rPr>
          <w:rFonts w:hint="eastAsia"/>
          <w:lang w:val="en-US" w:eastAsia="zh-CN"/>
        </w:rPr>
        <w:t>：</w:t>
      </w:r>
    </w:p>
    <w:p>
      <w:pPr>
        <w:rPr>
          <w:rFonts w:hint="default"/>
          <w:lang w:val="en-US" w:eastAsia="zh-CN"/>
        </w:rPr>
      </w:pPr>
      <w:r>
        <w:drawing>
          <wp:inline distT="0" distB="0" distL="114300" distR="114300">
            <wp:extent cx="4349750" cy="26543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349750" cy="26543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清洁供热</w:t>
      </w:r>
    </w:p>
    <w:p>
      <w:pPr>
        <w:rPr>
          <w:rFonts w:hint="default"/>
          <w:lang w:val="en-US" w:eastAsia="zh-CN"/>
        </w:rPr>
      </w:pPr>
      <w:r>
        <w:rPr>
          <w:rFonts w:hint="eastAsia"/>
          <w:b/>
          <w:bCs/>
          <w:lang w:val="en-US" w:eastAsia="zh-CN"/>
        </w:rPr>
        <w:t>说明</w:t>
      </w:r>
      <w:r>
        <w:rPr>
          <w:rFonts w:hint="eastAsia"/>
          <w:lang w:val="en-US" w:eastAsia="zh-CN"/>
        </w:rPr>
        <w:t>：针对城市建筑领域中供热负荷占比较高的问题，明阳提出了以热电联供为主，直电加热为辅的清洁供热解决方案，该方案通过光电+光热的融合产品提升了太阳能的吸收效率，并通过光热系统降低了光伏组件的温度，保障了光电效益最大化，同时配合热泵、直热保障了供热效率，实现了建筑领域清洁供热，推动了建筑领域供热领域的节能减排。</w:t>
      </w:r>
    </w:p>
    <w:p>
      <w:pPr>
        <w:rPr>
          <w:rFonts w:hint="default"/>
          <w:lang w:val="en-US" w:eastAsia="zh-CN"/>
        </w:rPr>
      </w:pPr>
      <w:r>
        <w:rPr>
          <w:rFonts w:hint="eastAsia"/>
          <w:b/>
          <w:bCs/>
          <w:lang w:val="en-US" w:eastAsia="zh-CN"/>
        </w:rPr>
        <w:t>价值</w:t>
      </w:r>
      <w:r>
        <w:rPr>
          <w:rFonts w:hint="eastAsia"/>
          <w:lang w:val="en-US" w:eastAsia="zh-CN"/>
        </w:rPr>
        <w:t>：</w:t>
      </w:r>
      <w:r>
        <w:rPr>
          <w:rFonts w:hint="eastAsia"/>
          <w:b/>
          <w:bCs/>
          <w:lang w:val="en-US" w:eastAsia="zh-CN"/>
        </w:rPr>
        <w:t>加强热电产品融合发展，推动建筑领域清洁供热</w:t>
      </w:r>
      <w:r>
        <w:rPr>
          <w:rFonts w:hint="eastAsia"/>
          <w:lang w:val="en-US" w:eastAsia="zh-CN"/>
        </w:rPr>
        <w:t>。</w:t>
      </w:r>
    </w:p>
    <w:p>
      <w:pPr>
        <w:rPr>
          <w:rFonts w:hint="default"/>
          <w:lang w:val="en-US" w:eastAsia="zh-CN"/>
        </w:rPr>
      </w:pPr>
      <w:r>
        <w:rPr>
          <w:rFonts w:hint="eastAsia"/>
          <w:b/>
          <w:bCs/>
          <w:lang w:val="en-US" w:eastAsia="zh-CN"/>
        </w:rPr>
        <w:t>图示</w:t>
      </w:r>
      <w:r>
        <w:rPr>
          <w:rFonts w:hint="eastAsia"/>
          <w:lang w:val="en-US" w:eastAsia="zh-CN"/>
        </w:rPr>
        <w:t>：</w:t>
      </w:r>
    </w:p>
    <w:p>
      <w:pPr>
        <w:rPr>
          <w:rFonts w:hint="default"/>
          <w:lang w:val="en-US" w:eastAsia="zh-CN"/>
        </w:rPr>
      </w:pPr>
      <w:r>
        <w:drawing>
          <wp:inline distT="0" distB="0" distL="114300" distR="114300">
            <wp:extent cx="5273040" cy="2895600"/>
            <wp:effectExtent l="0" t="0" r="1016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273040" cy="28956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建筑智能微网</w:t>
      </w:r>
    </w:p>
    <w:p>
      <w:pPr>
        <w:rPr>
          <w:rFonts w:hint="default"/>
          <w:lang w:val="en-US" w:eastAsia="zh-CN"/>
        </w:rPr>
      </w:pPr>
      <w:r>
        <w:rPr>
          <w:rFonts w:hint="eastAsia"/>
          <w:b/>
          <w:bCs/>
          <w:lang w:val="en-US" w:eastAsia="zh-CN"/>
        </w:rPr>
        <w:t>说明</w:t>
      </w:r>
      <w:r>
        <w:rPr>
          <w:rFonts w:hint="eastAsia"/>
          <w:lang w:val="en-US" w:eastAsia="zh-CN"/>
        </w:rPr>
        <w:t>：针对绿色建筑的能源管理需求，未来建筑也将是集分布式能源、储能设备、柔性用能设备为一体的能源综合体，融合智能建筑和智能微网技术为一体的建筑智能微网系统，将推动各种能源调控与用户的和谐互动，建筑能源消费与城市能源体系的和谐发展，构建集用户适宜、节能环保、城市相容的新型建筑能源体系。</w:t>
      </w:r>
    </w:p>
    <w:p>
      <w:pPr>
        <w:rPr>
          <w:rFonts w:hint="default"/>
          <w:lang w:val="en-US" w:eastAsia="zh-CN"/>
        </w:rPr>
      </w:pPr>
      <w:r>
        <w:rPr>
          <w:rFonts w:hint="eastAsia"/>
          <w:b/>
          <w:bCs/>
          <w:lang w:val="en-US" w:eastAsia="zh-CN"/>
        </w:rPr>
        <w:t>价值</w:t>
      </w:r>
      <w:r>
        <w:rPr>
          <w:rFonts w:hint="eastAsia"/>
          <w:lang w:val="en-US" w:eastAsia="zh-CN"/>
        </w:rPr>
        <w:t>：</w:t>
      </w:r>
      <w:r>
        <w:rPr>
          <w:rFonts w:hint="eastAsia"/>
          <w:b/>
          <w:bCs/>
          <w:lang w:val="en-US" w:eastAsia="zh-CN"/>
        </w:rPr>
        <w:t>推动建筑微网融合发展，构建城市新型建筑体系</w:t>
      </w:r>
    </w:p>
    <w:p>
      <w:pPr>
        <w:rPr>
          <w:rFonts w:hint="default"/>
          <w:lang w:val="en-US" w:eastAsia="zh-CN"/>
        </w:rPr>
      </w:pPr>
      <w:r>
        <w:rPr>
          <w:rFonts w:hint="eastAsia"/>
          <w:b/>
          <w:bCs/>
          <w:lang w:val="en-US" w:eastAsia="zh-CN"/>
        </w:rPr>
        <w:t>图示</w:t>
      </w:r>
      <w:r>
        <w:rPr>
          <w:rFonts w:hint="eastAsia"/>
          <w:lang w:val="en-US" w:eastAsia="zh-CN"/>
        </w:rPr>
        <w:t>：</w:t>
      </w:r>
    </w:p>
    <w:p>
      <w:pPr>
        <w:rPr>
          <w:rFonts w:hint="default"/>
          <w:lang w:val="en-US" w:eastAsia="zh-CN"/>
        </w:rPr>
      </w:pPr>
      <w:r>
        <w:drawing>
          <wp:inline distT="0" distB="0" distL="114300" distR="114300">
            <wp:extent cx="4972050" cy="3346450"/>
            <wp:effectExtent l="0" t="0" r="6350" b="6350"/>
            <wp:docPr id="1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3"/>
                    <pic:cNvPicPr>
                      <a:picLocks noChangeAspect="1"/>
                    </pic:cNvPicPr>
                  </pic:nvPicPr>
                  <pic:blipFill>
                    <a:blip r:embed="rId15"/>
                    <a:stretch>
                      <a:fillRect/>
                    </a:stretch>
                  </pic:blipFill>
                  <pic:spPr>
                    <a:xfrm>
                      <a:off x="0" y="0"/>
                      <a:ext cx="4972050" cy="3346450"/>
                    </a:xfrm>
                    <a:prstGeom prst="rect">
                      <a:avLst/>
                    </a:prstGeom>
                    <a:noFill/>
                    <a:ln>
                      <a:noFill/>
                    </a:ln>
                  </pic:spPr>
                </pic:pic>
              </a:graphicData>
            </a:graphic>
          </wp:inline>
        </w:drawing>
      </w:r>
    </w:p>
    <w:p>
      <w:pPr>
        <w:pStyle w:val="2"/>
        <w:bidi w:val="0"/>
        <w:ind w:left="432" w:leftChars="0" w:hanging="432" w:firstLineChars="0"/>
        <w:rPr>
          <w:rFonts w:hint="eastAsia"/>
          <w:lang w:val="en-US" w:eastAsia="zh-CN"/>
        </w:rPr>
      </w:pPr>
      <w:r>
        <w:rPr>
          <w:rFonts w:hint="eastAsia"/>
          <w:lang w:val="en-US" w:eastAsia="zh-CN"/>
        </w:rPr>
        <w:t>绿色交通领域</w:t>
      </w:r>
    </w:p>
    <w:p>
      <w:pPr>
        <w:pStyle w:val="3"/>
        <w:bidi w:val="0"/>
        <w:ind w:left="573" w:hanging="573"/>
        <w:rPr>
          <w:rFonts w:hint="default" w:ascii="Arial" w:hAnsi="Arial"/>
          <w:lang w:val="en-US" w:eastAsia="zh-CN"/>
        </w:rPr>
      </w:pPr>
      <w:r>
        <w:rPr>
          <w:rFonts w:hint="eastAsia" w:ascii="Arial" w:hAnsi="Arial"/>
          <w:lang w:val="en-US" w:eastAsia="zh-CN"/>
        </w:rPr>
        <w:t>光储充一体化</w:t>
      </w:r>
    </w:p>
    <w:p>
      <w:pPr>
        <w:rPr>
          <w:rFonts w:hint="eastAsia"/>
          <w:lang w:val="en-US" w:eastAsia="zh-CN"/>
        </w:rPr>
      </w:pPr>
      <w:r>
        <w:rPr>
          <w:rFonts w:hint="eastAsia"/>
          <w:b/>
          <w:bCs/>
          <w:lang w:val="en-US" w:eastAsia="zh-CN"/>
        </w:rPr>
        <w:t>说明</w:t>
      </w:r>
      <w:r>
        <w:rPr>
          <w:rFonts w:hint="eastAsia"/>
          <w:lang w:val="en-US" w:eastAsia="zh-CN"/>
        </w:rPr>
        <w:t>：光储充一体化是集光伏发电、储能调节、电动汽车充电、微网智能控制于一体，将可再生绿色能源、电动汽车与城市配电网建设完美结合，是推进分布式能源在用户侧应用和发展的重要举措之一。系统通过负荷平衡降低电动汽车对城市配电网的影响，促进电动汽车行业发展，通过光储可再生能源配套建设提高资源利用价值。</w:t>
      </w:r>
    </w:p>
    <w:p>
      <w:pPr>
        <w:rPr>
          <w:rFonts w:hint="default"/>
          <w:lang w:val="en-US" w:eastAsia="zh-CN"/>
        </w:rPr>
      </w:pPr>
    </w:p>
    <w:p>
      <w:pPr>
        <w:rPr>
          <w:rFonts w:hint="default"/>
          <w:b/>
          <w:bCs/>
          <w:lang w:val="en-US" w:eastAsia="zh-CN"/>
        </w:rPr>
      </w:pPr>
      <w:r>
        <w:rPr>
          <w:rFonts w:hint="eastAsia"/>
          <w:b/>
          <w:bCs/>
          <w:lang w:val="en-US" w:eastAsia="zh-CN"/>
        </w:rPr>
        <w:t>价值</w:t>
      </w:r>
      <w:r>
        <w:rPr>
          <w:rFonts w:hint="eastAsia"/>
          <w:lang w:val="en-US" w:eastAsia="zh-CN"/>
        </w:rPr>
        <w:t>：</w:t>
      </w:r>
      <w:r>
        <w:rPr>
          <w:rFonts w:hint="eastAsia"/>
          <w:b/>
          <w:bCs/>
          <w:lang w:val="en-US" w:eastAsia="zh-CN"/>
        </w:rPr>
        <w:t>构建清洁能源与电动汽车完美结合，促进电动汽车行业发展</w:t>
      </w:r>
    </w:p>
    <w:p>
      <w:pPr>
        <w:rPr>
          <w:rFonts w:hint="default"/>
          <w:lang w:val="en-US" w:eastAsia="zh-CN"/>
        </w:rPr>
      </w:pPr>
      <w:r>
        <w:rPr>
          <w:rFonts w:hint="eastAsia"/>
          <w:b/>
          <w:bCs/>
          <w:lang w:val="en-US" w:eastAsia="zh-CN"/>
        </w:rPr>
        <w:t>图示</w:t>
      </w:r>
      <w:r>
        <w:rPr>
          <w:rFonts w:hint="eastAsia"/>
          <w:lang w:val="en-US" w:eastAsia="zh-CN"/>
        </w:rPr>
        <w:t>：</w:t>
      </w:r>
    </w:p>
    <w:p>
      <w:pPr>
        <w:rPr>
          <w:rFonts w:hint="default"/>
          <w:lang w:val="en-US" w:eastAsia="zh-CN"/>
        </w:rPr>
      </w:pPr>
      <w:r>
        <w:drawing>
          <wp:inline distT="0" distB="0" distL="114300" distR="114300">
            <wp:extent cx="5273040" cy="1900555"/>
            <wp:effectExtent l="0" t="0" r="10160" b="444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6"/>
                    <a:stretch>
                      <a:fillRect/>
                    </a:stretch>
                  </pic:blipFill>
                  <pic:spPr>
                    <a:xfrm>
                      <a:off x="0" y="0"/>
                      <a:ext cx="5273040" cy="1900555"/>
                    </a:xfrm>
                    <a:prstGeom prst="rect">
                      <a:avLst/>
                    </a:prstGeom>
                    <a:noFill/>
                    <a:ln>
                      <a:noFill/>
                    </a:ln>
                  </pic:spPr>
                </pic:pic>
              </a:graphicData>
            </a:graphic>
          </wp:inline>
        </w:drawing>
      </w:r>
    </w:p>
    <w:p>
      <w:pPr>
        <w:pStyle w:val="3"/>
        <w:bidi w:val="0"/>
        <w:ind w:left="573" w:hanging="573"/>
        <w:rPr>
          <w:rFonts w:hint="default" w:ascii="Arial" w:hAnsi="Arial"/>
          <w:lang w:val="en-US" w:eastAsia="zh-CN"/>
        </w:rPr>
      </w:pPr>
      <w:r>
        <w:rPr>
          <w:rFonts w:hint="eastAsia" w:ascii="Arial" w:hAnsi="Arial"/>
          <w:lang w:val="en-US" w:eastAsia="zh-CN"/>
        </w:rPr>
        <w:t>风光储氢充一体化</w:t>
      </w:r>
    </w:p>
    <w:p>
      <w:pPr>
        <w:rPr>
          <w:rFonts w:hint="eastAsia"/>
          <w:lang w:val="en-US" w:eastAsia="zh-CN"/>
        </w:rPr>
      </w:pPr>
      <w:r>
        <w:rPr>
          <w:rFonts w:hint="eastAsia"/>
          <w:b/>
          <w:bCs/>
          <w:lang w:val="en-US" w:eastAsia="zh-CN"/>
        </w:rPr>
        <w:t>说明</w:t>
      </w:r>
      <w:r>
        <w:rPr>
          <w:rFonts w:hint="eastAsia"/>
          <w:lang w:val="en-US" w:eastAsia="zh-CN"/>
        </w:rPr>
        <w:t>：风光储氢充一体化是针对高速发展的电动汽车以及氢能汽车提出的综合性一体化解决方案，以分布式清洁能源为基础，利用储氢和储电的双柔性储能特性，可高效实现清洁能源的就地消纳，为城市构建低碳的绿色交通能源供应体系，助力交通领域双碳目标早日达成。</w:t>
      </w:r>
    </w:p>
    <w:p>
      <w:pPr>
        <w:rPr>
          <w:rFonts w:hint="default"/>
          <w:lang w:val="en-US" w:eastAsia="zh-CN"/>
        </w:rPr>
      </w:pPr>
    </w:p>
    <w:p>
      <w:pPr>
        <w:rPr>
          <w:rFonts w:hint="default"/>
          <w:b/>
          <w:bCs/>
          <w:lang w:val="en-US" w:eastAsia="zh-CN"/>
        </w:rPr>
      </w:pPr>
      <w:r>
        <w:rPr>
          <w:rFonts w:hint="eastAsia"/>
          <w:b/>
          <w:bCs/>
          <w:lang w:val="en-US" w:eastAsia="zh-CN"/>
        </w:rPr>
        <w:t>价值</w:t>
      </w:r>
      <w:r>
        <w:rPr>
          <w:rFonts w:hint="eastAsia"/>
          <w:lang w:val="en-US" w:eastAsia="zh-CN"/>
        </w:rPr>
        <w:t>：</w:t>
      </w:r>
      <w:r>
        <w:rPr>
          <w:rFonts w:hint="eastAsia"/>
          <w:b/>
          <w:bCs/>
          <w:lang w:val="en-US" w:eastAsia="zh-CN"/>
        </w:rPr>
        <w:t>构建风光储氢充一体化，推动城市绿色交通供能体系建设</w:t>
      </w:r>
    </w:p>
    <w:p>
      <w:pPr>
        <w:rPr>
          <w:rFonts w:hint="default"/>
          <w:lang w:val="en-US" w:eastAsia="zh-CN"/>
        </w:rPr>
      </w:pPr>
      <w:r>
        <w:rPr>
          <w:rFonts w:hint="eastAsia"/>
          <w:b/>
          <w:bCs/>
          <w:lang w:val="en-US" w:eastAsia="zh-CN"/>
        </w:rPr>
        <w:t>图示</w:t>
      </w:r>
      <w:r>
        <w:rPr>
          <w:rFonts w:hint="eastAsia"/>
          <w:lang w:val="en-US" w:eastAsia="zh-CN"/>
        </w:rPr>
        <w:t>：</w:t>
      </w:r>
    </w:p>
    <w:p>
      <w:r>
        <w:drawing>
          <wp:inline distT="0" distB="0" distL="114300" distR="114300">
            <wp:extent cx="3663950" cy="3060700"/>
            <wp:effectExtent l="0" t="0" r="635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7"/>
                    <a:stretch>
                      <a:fillRect/>
                    </a:stretch>
                  </pic:blipFill>
                  <pic:spPr>
                    <a:xfrm>
                      <a:off x="0" y="0"/>
                      <a:ext cx="3663950" cy="3060700"/>
                    </a:xfrm>
                    <a:prstGeom prst="rect">
                      <a:avLst/>
                    </a:prstGeom>
                    <a:noFill/>
                    <a:ln>
                      <a:noFill/>
                    </a:ln>
                  </pic:spPr>
                </pic:pic>
              </a:graphicData>
            </a:graphic>
          </wp:inline>
        </w:drawing>
      </w:r>
    </w:p>
    <w:p>
      <w:pPr>
        <w:pStyle w:val="3"/>
        <w:bidi w:val="0"/>
        <w:ind w:left="573" w:hanging="573"/>
        <w:rPr>
          <w:rFonts w:hint="default"/>
          <w:lang w:val="en-US" w:eastAsia="zh-CN"/>
        </w:rPr>
      </w:pPr>
      <w:r>
        <w:rPr>
          <w:rFonts w:hint="eastAsia"/>
          <w:lang w:val="en-US" w:eastAsia="zh-CN"/>
        </w:rPr>
        <w:t>海上能源岛</w:t>
      </w:r>
    </w:p>
    <w:p>
      <w:pPr>
        <w:rPr>
          <w:rFonts w:hint="default"/>
          <w:lang w:val="en-US" w:eastAsia="zh-CN"/>
        </w:rPr>
      </w:pPr>
      <w:r>
        <w:rPr>
          <w:rFonts w:hint="eastAsia"/>
          <w:b/>
          <w:bCs/>
          <w:lang w:val="en-US" w:eastAsia="zh-CN"/>
        </w:rPr>
        <w:t>说明</w:t>
      </w:r>
      <w:r>
        <w:rPr>
          <w:rFonts w:hint="eastAsia"/>
          <w:lang w:val="en-US" w:eastAsia="zh-CN"/>
        </w:rPr>
        <w:t>：</w:t>
      </w:r>
      <w:r>
        <w:rPr>
          <w:rFonts w:hint="default"/>
          <w:lang w:val="en-US" w:eastAsia="zh-CN"/>
        </w:rPr>
        <w:t>海上能源岛</w:t>
      </w:r>
      <w:r>
        <w:rPr>
          <w:rFonts w:hint="eastAsia"/>
          <w:lang w:val="en-US" w:eastAsia="zh-CN"/>
        </w:rPr>
        <w:t>旨在充分利用海洋丰富的可再生能源，以海上风电场为基础，</w:t>
      </w:r>
      <w:r>
        <w:rPr>
          <w:rFonts w:hint="default"/>
          <w:lang w:val="en-US" w:eastAsia="zh-CN"/>
        </w:rPr>
        <w:t>打造</w:t>
      </w:r>
      <w:r>
        <w:rPr>
          <w:rFonts w:hint="eastAsia"/>
          <w:lang w:val="en-US" w:eastAsia="zh-CN"/>
        </w:rPr>
        <w:t>集</w:t>
      </w:r>
      <w:r>
        <w:rPr>
          <w:rFonts w:hint="default"/>
          <w:lang w:val="en-US" w:eastAsia="zh-CN"/>
        </w:rPr>
        <w:t>风能、氢能、海上光伏、海水淡化、储能等多种能源或资源集成的海上</w:t>
      </w:r>
      <w:r>
        <w:rPr>
          <w:rFonts w:hint="eastAsia"/>
          <w:lang w:val="en-US" w:eastAsia="zh-CN"/>
        </w:rPr>
        <w:t>能源枢纽</w:t>
      </w:r>
      <w:r>
        <w:rPr>
          <w:rFonts w:hint="default"/>
          <w:lang w:val="en-US" w:eastAsia="zh-CN"/>
        </w:rPr>
        <w:t>，为</w:t>
      </w:r>
      <w:r>
        <w:rPr>
          <w:rFonts w:hint="eastAsia"/>
          <w:lang w:val="en-US" w:eastAsia="zh-CN"/>
        </w:rPr>
        <w:t>往来船舶</w:t>
      </w:r>
      <w:r>
        <w:rPr>
          <w:rFonts w:hint="default"/>
          <w:lang w:val="en-US" w:eastAsia="zh-CN"/>
        </w:rPr>
        <w:t>提供高质量、低成本、无污染的电、氢、淡水资源</w:t>
      </w:r>
      <w:r>
        <w:rPr>
          <w:rFonts w:hint="eastAsia"/>
          <w:lang w:val="en-US" w:eastAsia="zh-CN"/>
        </w:rPr>
        <w:t>，同时为沿海城市及港口的氢能交通设施提供绿氢，推动交通领域低碳化发展</w:t>
      </w:r>
      <w:r>
        <w:rPr>
          <w:rFonts w:hint="default"/>
          <w:lang w:val="en-US" w:eastAsia="zh-CN"/>
        </w:rPr>
        <w:t>。</w:t>
      </w:r>
    </w:p>
    <w:p>
      <w:pPr>
        <w:rPr>
          <w:rFonts w:hint="default"/>
          <w:lang w:val="en-US" w:eastAsia="zh-CN"/>
        </w:rPr>
      </w:pPr>
      <w:r>
        <w:rPr>
          <w:rFonts w:hint="eastAsia"/>
          <w:b/>
          <w:bCs/>
          <w:lang w:val="en-US" w:eastAsia="zh-CN"/>
        </w:rPr>
        <w:t>价值</w:t>
      </w:r>
      <w:r>
        <w:rPr>
          <w:rFonts w:hint="eastAsia"/>
          <w:lang w:val="en-US" w:eastAsia="zh-CN"/>
        </w:rPr>
        <w:t>：</w:t>
      </w:r>
      <w:r>
        <w:rPr>
          <w:rFonts w:hint="eastAsia"/>
          <w:b/>
          <w:bCs/>
          <w:lang w:val="en-US" w:eastAsia="zh-CN"/>
        </w:rPr>
        <w:t>构建海上氢基能源基地，推动海上绿色交通发展</w:t>
      </w:r>
    </w:p>
    <w:p>
      <w:pPr>
        <w:rPr>
          <w:rFonts w:hint="default"/>
          <w:lang w:val="en-US" w:eastAsia="zh-CN"/>
        </w:rPr>
      </w:pPr>
      <w:r>
        <w:rPr>
          <w:rFonts w:hint="eastAsia"/>
          <w:lang w:val="en-US" w:eastAsia="zh-CN"/>
        </w:rPr>
        <w:t>图示：</w:t>
      </w:r>
    </w:p>
    <w:p>
      <w:pPr>
        <w:rPr>
          <w:rFonts w:hint="default"/>
          <w:lang w:val="en-US" w:eastAsia="zh-CN"/>
        </w:rPr>
      </w:pPr>
      <w:r>
        <w:drawing>
          <wp:inline distT="0" distB="0" distL="114300" distR="114300">
            <wp:extent cx="4381500" cy="3714750"/>
            <wp:effectExtent l="0" t="0" r="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4381500" cy="37147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C8B24A"/>
    <w:multiLevelType w:val="multilevel"/>
    <w:tmpl w:val="95C8B24A"/>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65E6D869"/>
    <w:multiLevelType w:val="singleLevel"/>
    <w:tmpl w:val="65E6D869"/>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AF1D37"/>
    <w:rsid w:val="001E23F0"/>
    <w:rsid w:val="00B63163"/>
    <w:rsid w:val="00DE75F6"/>
    <w:rsid w:val="02F87F5C"/>
    <w:rsid w:val="03517EC4"/>
    <w:rsid w:val="036A3223"/>
    <w:rsid w:val="046841C4"/>
    <w:rsid w:val="065E555C"/>
    <w:rsid w:val="094F301E"/>
    <w:rsid w:val="09D65DB6"/>
    <w:rsid w:val="09E4262D"/>
    <w:rsid w:val="0A305307"/>
    <w:rsid w:val="0B6A2EB0"/>
    <w:rsid w:val="0BDE23DA"/>
    <w:rsid w:val="0BF20B46"/>
    <w:rsid w:val="0C0E141D"/>
    <w:rsid w:val="0C5D1854"/>
    <w:rsid w:val="0D0A0EFD"/>
    <w:rsid w:val="0DC50367"/>
    <w:rsid w:val="0DDA77D9"/>
    <w:rsid w:val="0E3A5E94"/>
    <w:rsid w:val="0F0B4593"/>
    <w:rsid w:val="0F0C20A7"/>
    <w:rsid w:val="10654E89"/>
    <w:rsid w:val="10AF1D37"/>
    <w:rsid w:val="121335F0"/>
    <w:rsid w:val="130E37CC"/>
    <w:rsid w:val="14251B9B"/>
    <w:rsid w:val="14ED4D83"/>
    <w:rsid w:val="15B257F9"/>
    <w:rsid w:val="1B6F1B1F"/>
    <w:rsid w:val="1BBF09F7"/>
    <w:rsid w:val="1BE62E89"/>
    <w:rsid w:val="1D0D5015"/>
    <w:rsid w:val="1D172352"/>
    <w:rsid w:val="1D834AD0"/>
    <w:rsid w:val="1ECD7163"/>
    <w:rsid w:val="20143CD6"/>
    <w:rsid w:val="20817B61"/>
    <w:rsid w:val="2094145D"/>
    <w:rsid w:val="21CA1EA0"/>
    <w:rsid w:val="21ED27E7"/>
    <w:rsid w:val="22B04252"/>
    <w:rsid w:val="241B369F"/>
    <w:rsid w:val="24B02E73"/>
    <w:rsid w:val="25586F5C"/>
    <w:rsid w:val="259B36F5"/>
    <w:rsid w:val="261C44DB"/>
    <w:rsid w:val="264418B7"/>
    <w:rsid w:val="2781405E"/>
    <w:rsid w:val="28086522"/>
    <w:rsid w:val="2A9D1F01"/>
    <w:rsid w:val="2B0137B9"/>
    <w:rsid w:val="2B0F196B"/>
    <w:rsid w:val="2E7D55E1"/>
    <w:rsid w:val="32936996"/>
    <w:rsid w:val="33BF1ECE"/>
    <w:rsid w:val="33D67BF0"/>
    <w:rsid w:val="35AD5B41"/>
    <w:rsid w:val="36AD1685"/>
    <w:rsid w:val="36EF51D9"/>
    <w:rsid w:val="37826172"/>
    <w:rsid w:val="389B65D2"/>
    <w:rsid w:val="3A1F1D71"/>
    <w:rsid w:val="3B824C96"/>
    <w:rsid w:val="3C847D1E"/>
    <w:rsid w:val="3C8C4A2E"/>
    <w:rsid w:val="3C923C79"/>
    <w:rsid w:val="3CF070DF"/>
    <w:rsid w:val="3D094796"/>
    <w:rsid w:val="3E6C68F0"/>
    <w:rsid w:val="41AF7F53"/>
    <w:rsid w:val="4219662E"/>
    <w:rsid w:val="426824EF"/>
    <w:rsid w:val="426A5D31"/>
    <w:rsid w:val="42C9719C"/>
    <w:rsid w:val="43693BBB"/>
    <w:rsid w:val="43BF58F2"/>
    <w:rsid w:val="4574239A"/>
    <w:rsid w:val="470F4113"/>
    <w:rsid w:val="472D7264"/>
    <w:rsid w:val="47CE62EE"/>
    <w:rsid w:val="49427E79"/>
    <w:rsid w:val="4A162A62"/>
    <w:rsid w:val="4A1C7EB4"/>
    <w:rsid w:val="4C18240A"/>
    <w:rsid w:val="4D883656"/>
    <w:rsid w:val="502E0136"/>
    <w:rsid w:val="512579AD"/>
    <w:rsid w:val="535829A1"/>
    <w:rsid w:val="53A551BE"/>
    <w:rsid w:val="555E31C5"/>
    <w:rsid w:val="55FA6090"/>
    <w:rsid w:val="56406A2A"/>
    <w:rsid w:val="56934F0F"/>
    <w:rsid w:val="575332B6"/>
    <w:rsid w:val="58D07D7A"/>
    <w:rsid w:val="592D0116"/>
    <w:rsid w:val="5BFE0AD5"/>
    <w:rsid w:val="5C202ECA"/>
    <w:rsid w:val="5D6433AE"/>
    <w:rsid w:val="5F286023"/>
    <w:rsid w:val="5FF830C5"/>
    <w:rsid w:val="60415B35"/>
    <w:rsid w:val="60F03214"/>
    <w:rsid w:val="633F4FF5"/>
    <w:rsid w:val="63EA1C39"/>
    <w:rsid w:val="647D5146"/>
    <w:rsid w:val="64885AAC"/>
    <w:rsid w:val="64CC3A3B"/>
    <w:rsid w:val="660F3882"/>
    <w:rsid w:val="68A717F7"/>
    <w:rsid w:val="69FA12F4"/>
    <w:rsid w:val="6A226FBD"/>
    <w:rsid w:val="6A730339"/>
    <w:rsid w:val="6B40627B"/>
    <w:rsid w:val="6B70293F"/>
    <w:rsid w:val="6CC97BAF"/>
    <w:rsid w:val="6D3F055C"/>
    <w:rsid w:val="6ED20835"/>
    <w:rsid w:val="6F727C35"/>
    <w:rsid w:val="6FBE0F0E"/>
    <w:rsid w:val="72052F9A"/>
    <w:rsid w:val="722F2AAE"/>
    <w:rsid w:val="760576E4"/>
    <w:rsid w:val="76067DD5"/>
    <w:rsid w:val="77E71BF5"/>
    <w:rsid w:val="78710438"/>
    <w:rsid w:val="78F67CDB"/>
    <w:rsid w:val="7A3E4256"/>
    <w:rsid w:val="7B8C769B"/>
    <w:rsid w:val="7D392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100" w:beforeLines="0" w:beforeAutospacing="0" w:after="90" w:afterLines="0" w:afterAutospacing="0" w:line="240" w:lineRule="auto"/>
      <w:ind w:left="432" w:hanging="432"/>
      <w:outlineLvl w:val="0"/>
    </w:pPr>
    <w:rPr>
      <w:rFonts w:asciiTheme="minorAscii" w:hAnsiTheme="minorAscii"/>
      <w:b/>
      <w:kern w:val="44"/>
      <w:sz w:val="32"/>
    </w:rPr>
  </w:style>
  <w:style w:type="paragraph" w:styleId="3">
    <w:name w:val="heading 2"/>
    <w:basedOn w:val="1"/>
    <w:next w:val="1"/>
    <w:unhideWhenUsed/>
    <w:qFormat/>
    <w:uiPriority w:val="0"/>
    <w:pPr>
      <w:keepNext/>
      <w:keepLines/>
      <w:numPr>
        <w:ilvl w:val="1"/>
        <w:numId w:val="1"/>
      </w:numPr>
      <w:spacing w:before="20" w:beforeLines="0" w:beforeAutospacing="0" w:after="20" w:afterLines="0" w:afterAutospacing="0" w:line="240" w:lineRule="auto"/>
      <w:ind w:left="573" w:hanging="573"/>
      <w:outlineLvl w:val="1"/>
    </w:pPr>
    <w:rPr>
      <w:rFonts w:ascii="Arial" w:hAnsi="Arial" w:eastAsia="宋体"/>
      <w:b/>
      <w:sz w:val="30"/>
    </w:rPr>
  </w:style>
  <w:style w:type="paragraph" w:styleId="4">
    <w:name w:val="heading 3"/>
    <w:basedOn w:val="1"/>
    <w:next w:val="1"/>
    <w:unhideWhenUsed/>
    <w:qFormat/>
    <w:uiPriority w:val="0"/>
    <w:pPr>
      <w:keepNext/>
      <w:keepLines/>
      <w:numPr>
        <w:ilvl w:val="2"/>
        <w:numId w:val="1"/>
      </w:numPr>
      <w:spacing w:before="20" w:beforeLines="0" w:beforeAutospacing="0" w:after="20" w:afterLines="0" w:afterAutospacing="0" w:line="240" w:lineRule="auto"/>
      <w:ind w:left="720" w:hanging="720"/>
      <w:outlineLvl w:val="2"/>
    </w:pPr>
    <w:rPr>
      <w:b/>
      <w:sz w:val="28"/>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1">
    <w:name w:val="Normal (Web)"/>
    <w:basedOn w:val="1"/>
    <w:qFormat/>
    <w:uiPriority w:val="0"/>
    <w:rPr>
      <w:sz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3676</Words>
  <Characters>3727</Characters>
  <Lines>0</Lines>
  <Paragraphs>0</Paragraphs>
  <TotalTime>192</TotalTime>
  <ScaleCrop>false</ScaleCrop>
  <LinksUpToDate>false</LinksUpToDate>
  <CharactersWithSpaces>3727</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2021-08-23T03:28:00Z</dcterms:created>
  <dc:creator>QC-彭定星</dc:creator>
  <cp:lastModifiedBy>QC-彭定星</cp:lastModifiedBy>
  <dcterms:modified xsi:type="dcterms:W3CDTF">2021-09-29T06:56:18Z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8E94A1DD2959478D862C724CF6559E78</vt:lpwstr>
  </property>
</Properties>
</file>