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微軟正黑體" w:cs="微軟正黑體" w:eastAsia="微軟正黑體" w:hAnsi="微軟正黑體"/>
          <w:b/>
          <w:bCs/>
          <w:color w:val="1B5E8C"/>
          <w:sz w:val="48"/>
          <w:szCs w:val="48"/>
        </w:rPr>
        <w:t xml:space="preserve">建築物公共安全檢查</w:t>
      </w:r>
    </w:p>
    <w:p>
      <w:pPr>
        <w:spacing w:after="120" w:before="0"/>
        <w:jc w:val="center"/>
      </w:pPr>
      <w:r>
        <w:rPr>
          <w:rFonts w:ascii="微軟正黑體" w:cs="微軟正黑體" w:eastAsia="微軟正黑體" w:hAnsi="微軟正黑體"/>
          <w:b/>
          <w:bCs/>
          <w:color w:val="1B5E8C"/>
          <w:sz w:val="44"/>
          <w:szCs w:val="44"/>
        </w:rPr>
        <w:t xml:space="preserve">相關法規彙整手冊</w:t>
      </w:r>
    </w:p>
    <w:p>
      <w:pPr>
        <w:pBdr>
          <w:bottom w:val="single" w:color="2E75B6" w:sz="8" w:space="2"/>
        </w:pBdr>
        <w:spacing w:after="40" w:before="40"/>
        <w:jc w:val="center"/>
      </w:pPr>
      <w:r>
        <w:rPr>
          <w:rFonts w:ascii="Arial" w:cs="Arial" w:eastAsia="Arial" w:hAnsi="Arial"/>
          <w:color w:val="2E75B6"/>
          <w:sz w:val="22"/>
          <w:szCs w:val="22"/>
        </w:rPr>
        <w:t xml:space="preserve">Building Public Safety Inspection Regulations Compendium</w:t>
      </w:r>
    </w:p>
    <w:p>
      <w:pPr>
        <w:spacing w:after="480" w:before="120"/>
        <w:jc w:val="center"/>
      </w:pPr>
      <w:r>
        <w:rPr>
          <w:rFonts w:ascii="微軟正黑體" w:cs="微軟正黑體" w:eastAsia="微軟正黑體" w:hAnsi="微軟正黑體"/>
          <w:color w:val="666666"/>
          <w:sz w:val="20"/>
          <w:szCs w:val="20"/>
        </w:rPr>
        <w:t xml:space="preserve">整理日期：中華民國114年4月（民國法規版本）</w:t>
      </w:r>
    </w:p>
    <w:p>
      <w:pPr>
        <w:pStyle w:val="Heading1"/>
        <w:spacing w:after="180" w:before="360"/>
      </w:pPr>
      <w:r>
        <w:rPr>
          <w:rFonts w:ascii="微軟正黑體" w:cs="微軟正黑體" w:eastAsia="微軟正黑體" w:hAnsi="微軟正黑體"/>
          <w:b/>
          <w:bCs/>
          <w:color w:val="1B5E8C"/>
          <w:sz w:val="28"/>
          <w:szCs w:val="28"/>
        </w:rPr>
        <w:t xml:space="preserve">一、前言與制度說明</w:t>
      </w:r>
    </w:p>
    <w:p>
      <w:pPr>
        <w:spacing w:after="80" w:before="80"/>
      </w:pPr>
      <w:r>
        <w:rPr>
          <w:rFonts w:ascii="微軟正黑體" w:cs="微軟正黑體" w:eastAsia="微軟正黑體" w:hAnsi="微軟正黑體"/>
          <w:b w:val="false"/>
          <w:bCs w:val="false"/>
          <w:sz w:val="22"/>
          <w:szCs w:val="22"/>
        </w:rPr>
        <w:t xml:space="preserve">建築物公共安全檢查制度係依據《建築法》第七十七條及第七十七條之一所建立，旨在維護建築物在使用期間的公共安全，防止因建築構造、防火避難設施或設備老化導致意外事故。本制度有二大支柱：</w:t>
      </w:r>
    </w:p>
    <w:p>
      <w:pPr>
        <w:pStyle w:val="ListParagraph"/>
        <w:numPr>
          <w:ilvl w:val="0"/>
          <w:numId w:val="2"/>
        </w:numPr>
        <w:spacing w:after="60" w:before="60"/>
      </w:pPr>
      <w:r>
        <w:rPr>
          <w:rFonts w:ascii="微軟正黑體" w:cs="微軟正黑體" w:eastAsia="微軟正黑體" w:hAnsi="微軟正黑體"/>
          <w:sz w:val="22"/>
          <w:szCs w:val="22"/>
        </w:rPr>
        <w:t xml:space="preserve">政府主動檢查：地方主管建築機關得隨時派員檢查建築物公共安全與公共衛生之構造及設備（建築法第77條第1、2項）。</w:t>
      </w:r>
    </w:p>
    <w:p>
      <w:pPr>
        <w:pStyle w:val="ListParagraph"/>
        <w:numPr>
          <w:ilvl w:val="0"/>
          <w:numId w:val="2"/>
        </w:numPr>
        <w:spacing w:after="60" w:before="60"/>
      </w:pPr>
      <w:r>
        <w:rPr>
          <w:rFonts w:ascii="微軟正黑體" w:cs="微軟正黑體" w:eastAsia="微軟正黑體" w:hAnsi="微軟正黑體"/>
          <w:sz w:val="22"/>
          <w:szCs w:val="22"/>
        </w:rPr>
        <w:t xml:space="preserve">所有人自主申報：供公眾使用之建築物，應由建築物所有權人或使用人定期委託內政部認可之專業機構或人員辦理檢查簽證，並向地方主管建築機關申報（建築法第77條第3項）。</w:t>
      </w:r>
    </w:p>
    <w:p>
      <w:pPr>
        <w:spacing w:after="80" w:before="80"/>
      </w:pPr>
      <w:r>
        <w:rPr>
          <w:rFonts w:ascii="微軟正黑體" w:cs="微軟正黑體" w:eastAsia="微軟正黑體" w:hAnsi="微軟正黑體"/>
          <w:b w:val="false"/>
          <w:bCs w:val="false"/>
          <w:sz w:val="22"/>
          <w:szCs w:val="22"/>
        </w:rPr>
        <w:t xml:space="preserve">此外，民國84年起修法要求原有合法建築物如防火避難設施及消防設備不符現行規定者，應依《原有合法建築物公共安全改善辦法》辦理改善。民國111年更進一步將耐震構造安全納入強制改善範圍。</w:t>
      </w:r>
    </w:p>
    <w:p>
      <w:pPr>
        <w:pStyle w:val="Heading1"/>
        <w:spacing w:after="180" w:before="360"/>
      </w:pPr>
      <w:r>
        <w:rPr>
          <w:rFonts w:ascii="微軟正黑體" w:cs="微軟正黑體" w:eastAsia="微軟正黑體" w:hAnsi="微軟正黑體"/>
          <w:b/>
          <w:bCs/>
          <w:color w:val="1B5E8C"/>
          <w:sz w:val="28"/>
          <w:szCs w:val="28"/>
        </w:rPr>
        <w:t xml:space="preserve">二、相關法規體系總覽</w:t>
      </w:r>
    </w:p>
    <w:p>
      <w:pPr>
        <w:spacing w:after="80" w:before="80"/>
      </w:pPr>
      <w:r>
        <w:rPr>
          <w:rFonts w:ascii="微軟正黑體" w:cs="微軟正黑體" w:eastAsia="微軟正黑體" w:hAnsi="微軟正黑體"/>
          <w:b w:val="false"/>
          <w:bCs w:val="false"/>
          <w:sz w:val="22"/>
          <w:szCs w:val="22"/>
        </w:rPr>
        <w:t xml:space="preserve">建築物公共安全檢查相關法規形成一套完整的規範體系，由母法、授權辦法、行政規則及相關子法共同構成，如下表所示：</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160"/>
        <w:gridCol w:w="2700"/>
      </w:tblGrid>
      <w:tr>
        <w:trPr>
          <w:tblHeader/>
        </w:trPr>
        <w:tc>
          <w:tcPr>
            <w:tcBorders>
              <w:top w:val="single" w:color="AAAAAA" w:sz="1"/>
              <w:left w:val="single" w:color="AAAAAA" w:sz="1"/>
              <w:bottom w:val="single" w:color="AAAAAA" w:sz="1"/>
              <w:right w:val="single" w:color="AAAAAA" w:sz="1"/>
            </w:tcBorders>
            <w:shd w:fill="1B5E8C" w:val="clear"/>
            <w:tcMar>
              <w:top w:type="dxa" w:w="100"/>
              <w:left w:type="dxa" w:w="160"/>
              <w:bottom w:type="dxa" w:w="100"/>
              <w:right w:type="dxa" w:w="160"/>
            </w:tcMar>
          </w:tcPr>
          <w:p>
            <w:r>
              <w:rPr>
                <w:rFonts w:ascii="微軟正黑體" w:cs="微軟正黑體" w:eastAsia="微軟正黑體" w:hAnsi="微軟正黑體"/>
                <w:b/>
                <w:bCs/>
                <w:color w:val="FFFFFF"/>
                <w:sz w:val="20"/>
                <w:szCs w:val="20"/>
              </w:rPr>
              <w:t xml:space="preserve">法規類別</w:t>
            </w:r>
          </w:p>
        </w:tc>
        <w:tc>
          <w:tcPr>
            <w:tcBorders>
              <w:top w:val="single" w:color="AAAAAA" w:sz="1"/>
              <w:left w:val="single" w:color="AAAAAA" w:sz="1"/>
              <w:bottom w:val="single" w:color="AAAAAA" w:sz="1"/>
              <w:right w:val="single" w:color="AAAAAA" w:sz="1"/>
            </w:tcBorders>
            <w:shd w:fill="1B5E8C" w:val="clear"/>
            <w:tcMar>
              <w:top w:type="dxa" w:w="100"/>
              <w:left w:type="dxa" w:w="160"/>
              <w:bottom w:type="dxa" w:w="100"/>
              <w:right w:type="dxa" w:w="160"/>
            </w:tcMar>
          </w:tcPr>
          <w:p>
            <w:r>
              <w:rPr>
                <w:rFonts w:ascii="微軟正黑體" w:cs="微軟正黑體" w:eastAsia="微軟正黑體" w:hAnsi="微軟正黑體"/>
                <w:b/>
                <w:bCs/>
                <w:color w:val="FFFFFF"/>
                <w:sz w:val="20"/>
                <w:szCs w:val="20"/>
              </w:rPr>
              <w:t xml:space="preserve">法規名稱</w:t>
            </w:r>
          </w:p>
        </w:tc>
        <w:tc>
          <w:tcPr>
            <w:tcBorders>
              <w:top w:val="single" w:color="AAAAAA" w:sz="1"/>
              <w:left w:val="single" w:color="AAAAAA" w:sz="1"/>
              <w:bottom w:val="single" w:color="AAAAAA" w:sz="1"/>
              <w:right w:val="single" w:color="AAAAAA" w:sz="1"/>
            </w:tcBorders>
            <w:shd w:fill="1B5E8C" w:val="clear"/>
            <w:tcMar>
              <w:top w:type="dxa" w:w="100"/>
              <w:left w:type="dxa" w:w="160"/>
              <w:bottom w:type="dxa" w:w="100"/>
              <w:right w:type="dxa" w:w="160"/>
            </w:tcMar>
          </w:tcPr>
          <w:p>
            <w:r>
              <w:rPr>
                <w:rFonts w:ascii="微軟正黑體" w:cs="微軟正黑體" w:eastAsia="微軟正黑體" w:hAnsi="微軟正黑體"/>
                <w:b/>
                <w:bCs/>
                <w:color w:val="FFFFFF"/>
                <w:sz w:val="20"/>
                <w:szCs w:val="20"/>
              </w:rPr>
              <w:t xml:space="preserve">主管機關/依據</w:t>
            </w:r>
          </w:p>
        </w:tc>
        <w:tc>
          <w:tcPr>
            <w:tcBorders>
              <w:top w:val="single" w:color="AAAAAA" w:sz="1"/>
              <w:left w:val="single" w:color="AAAAAA" w:sz="1"/>
              <w:bottom w:val="single" w:color="AAAAAA" w:sz="1"/>
              <w:right w:val="single" w:color="AAAAAA" w:sz="1"/>
            </w:tcBorders>
            <w:shd w:fill="1B5E8C" w:val="clear"/>
            <w:tcMar>
              <w:top w:type="dxa" w:w="100"/>
              <w:left w:type="dxa" w:w="160"/>
              <w:bottom w:type="dxa" w:w="100"/>
              <w:right w:type="dxa" w:w="160"/>
            </w:tcMar>
          </w:tcPr>
          <w:p>
            <w:r>
              <w:rPr>
                <w:rFonts w:ascii="微軟正黑體" w:cs="微軟正黑體" w:eastAsia="微軟正黑體" w:hAnsi="微軟正黑體"/>
                <w:b/>
                <w:bCs/>
                <w:color w:val="FFFFFF"/>
                <w:sz w:val="20"/>
                <w:szCs w:val="20"/>
              </w:rPr>
              <w:t xml:space="preserve">主要內容</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母法</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建築法（第77條、第77條之1）</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立法院
內政部主管</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確立建築物公共安全維護義務、定期申報制度、罰則規定</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子法（辦法）</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建築物公共安全檢查簽證及申報辦法</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內政部
（依建築法第77條第5項授權）</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規範申報人、申報範圍、申報頻率、查核程序</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子法（辦法）</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原有合法建築物公共安全改善辦法</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內政部
（依建築法第77條之1授權）</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原有合法建築物防火避難設施、消防設備及構造安全改善規定</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行政規則（要點）</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建築物公共安全檢查專業機構及人員認可要點</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內政部</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專業機構與人員認可資格、認可證申請、廢止規定</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行政規則（要點）</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加強建築物公共安全檢查及取締執行要點</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內政部</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地方主管機關執行公安檢查及取締作業程序</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相關辦法</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建築物使用類組及變更使用辦法</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內政部
（依建築法第73條第4項授權）</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建築物使用類別（A～H類）、組別定義及變更程序</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相關規範</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建築技術規則（防火篇等相關章節）</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內政部</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建築物防火構造、避難設施、消防設備設置技術規範</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相關法規</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消防法及其施行細則</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內政部消防署</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消防安全設備設置、檢修申報（與建築公安申報並行）</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行政院方案</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維護公共安全方案（營建管理部分）</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行政院（民國82年）</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確立公共安全檢查優先順序，授權各縣市分期施行</w:t>
            </w:r>
          </w:p>
        </w:tc>
      </w:tr>
    </w:tbl>
    <w:p>
      <w:pPr>
        <w:spacing w:after="120" w:before="120"/>
      </w:pPr>
    </w:p>
    <w:p>
      <w:pPr>
        <w:pStyle w:val="Heading1"/>
        <w:spacing w:after="180" w:before="360"/>
      </w:pPr>
      <w:r>
        <w:rPr>
          <w:rFonts w:ascii="微軟正黑體" w:cs="微軟正黑體" w:eastAsia="微軟正黑體" w:hAnsi="微軟正黑體"/>
          <w:b/>
          <w:bCs/>
          <w:color w:val="1B5E8C"/>
          <w:sz w:val="28"/>
          <w:szCs w:val="28"/>
        </w:rPr>
        <w:t xml:space="preserve">三、母法核心條文——建築法相關規定</w:t>
      </w:r>
    </w:p>
    <w:p>
      <w:pPr>
        <w:pStyle w:val="Heading2"/>
        <w:spacing w:after="120" w:before="240"/>
      </w:pPr>
      <w:r>
        <w:rPr>
          <w:rFonts w:ascii="微軟正黑體" w:cs="微軟正黑體" w:eastAsia="微軟正黑體" w:hAnsi="微軟正黑體"/>
          <w:b/>
          <w:bCs/>
          <w:color w:val="2E75B6"/>
          <w:sz w:val="24"/>
          <w:szCs w:val="24"/>
        </w:rPr>
        <w:t xml:space="preserve">（一）建築法第77條（公共安全維護義務及申報制度）</w:t>
      </w:r>
    </w:p>
    <w:p>
      <w:pPr>
        <w:spacing w:after="80" w:before="80"/>
      </w:pPr>
      <w:r>
        <w:rPr>
          <w:rFonts w:ascii="微軟正黑體" w:cs="微軟正黑體" w:eastAsia="微軟正黑體" w:hAnsi="微軟正黑體"/>
          <w:b/>
          <w:bCs/>
          <w:sz w:val="22"/>
          <w:szCs w:val="22"/>
        </w:rPr>
        <w:t xml:space="preserve">第1項：</w:t>
      </w:r>
    </w:p>
    <w:p>
      <w:pPr>
        <w:spacing w:after="80" w:before="80"/>
        <w:ind w:left="360"/>
      </w:pPr>
      <w:r>
        <w:rPr>
          <w:rFonts w:ascii="微軟正黑體" w:cs="微軟正黑體" w:eastAsia="微軟正黑體" w:hAnsi="微軟正黑體"/>
          <w:b w:val="false"/>
          <w:bCs w:val="false"/>
          <w:sz w:val="22"/>
          <w:szCs w:val="22"/>
        </w:rPr>
        <w:t xml:space="preserve">建築物所有權人、使用人應維護建築物合法使用與其構造及設備安全。</w:t>
      </w:r>
    </w:p>
    <w:p>
      <w:pPr>
        <w:spacing w:after="80" w:before="80"/>
      </w:pPr>
      <w:r>
        <w:rPr>
          <w:rFonts w:ascii="微軟正黑體" w:cs="微軟正黑體" w:eastAsia="微軟正黑體" w:hAnsi="微軟正黑體"/>
          <w:b/>
          <w:bCs/>
          <w:sz w:val="22"/>
          <w:szCs w:val="22"/>
        </w:rPr>
        <w:t xml:space="preserve">第2項：</w:t>
      </w:r>
    </w:p>
    <w:p>
      <w:pPr>
        <w:spacing w:after="80" w:before="80"/>
        <w:ind w:left="360"/>
      </w:pPr>
      <w:r>
        <w:rPr>
          <w:rFonts w:ascii="微軟正黑體" w:cs="微軟正黑體" w:eastAsia="微軟正黑體" w:hAnsi="微軟正黑體"/>
          <w:b w:val="false"/>
          <w:bCs w:val="false"/>
          <w:sz w:val="22"/>
          <w:szCs w:val="22"/>
        </w:rPr>
        <w:t xml:space="preserve">直轄市、縣（市）（局）主管建築機關對於建築物得隨時派員檢查有關公共安全與公共衛生之構造與設備。</w:t>
      </w:r>
    </w:p>
    <w:p>
      <w:pPr>
        <w:spacing w:after="80" w:before="80"/>
      </w:pPr>
      <w:r>
        <w:rPr>
          <w:rFonts w:ascii="微軟正黑體" w:cs="微軟正黑體" w:eastAsia="微軟正黑體" w:hAnsi="微軟正黑體"/>
          <w:b/>
          <w:bCs/>
          <w:sz w:val="22"/>
          <w:szCs w:val="22"/>
        </w:rPr>
        <w:t xml:space="preserve">第3項（簽證申報制度核心）：</w:t>
      </w:r>
    </w:p>
    <w:p>
      <w:pPr>
        <w:spacing w:after="80" w:before="80"/>
        <w:ind w:left="360"/>
      </w:pPr>
      <w:r>
        <w:rPr>
          <w:rFonts w:ascii="微軟正黑體" w:cs="微軟正黑體" w:eastAsia="微軟正黑體" w:hAnsi="微軟正黑體"/>
          <w:b w:val="false"/>
          <w:bCs w:val="false"/>
          <w:sz w:val="22"/>
          <w:szCs w:val="22"/>
        </w:rPr>
        <w:t xml:space="preserve">供公眾使用之建築物，應由建築物所有權人、使用人定期委託中央主管建築機關認可之專業機構或人員檢查簽證，其檢查簽證結果應向當地主管建築機關申報。非供公眾使用之建築物，經內政部認有必要時亦同。</w:t>
      </w:r>
    </w:p>
    <w:p>
      <w:pPr>
        <w:spacing w:after="80" w:before="80"/>
      </w:pPr>
      <w:r>
        <w:rPr>
          <w:rFonts w:ascii="微軟正黑體" w:cs="微軟正黑體" w:eastAsia="微軟正黑體" w:hAnsi="微軟正黑體"/>
          <w:b/>
          <w:bCs/>
          <w:sz w:val="22"/>
          <w:szCs w:val="22"/>
        </w:rPr>
        <w:t xml:space="preserve">第4項：</w:t>
      </w:r>
    </w:p>
    <w:p>
      <w:pPr>
        <w:spacing w:after="80" w:before="80"/>
        <w:ind w:left="360"/>
      </w:pPr>
      <w:r>
        <w:rPr>
          <w:rFonts w:ascii="微軟正黑體" w:cs="微軟正黑體" w:eastAsia="微軟正黑體" w:hAnsi="微軟正黑體"/>
          <w:b w:val="false"/>
          <w:bCs w:val="false"/>
          <w:sz w:val="22"/>
          <w:szCs w:val="22"/>
        </w:rPr>
        <w:t xml:space="preserve">前項檢查簽證結果，主管建築機關得隨時派員或定期會同各有關機關複查。</w:t>
      </w:r>
    </w:p>
    <w:p>
      <w:pPr>
        <w:spacing w:after="80" w:before="80"/>
      </w:pPr>
      <w:r>
        <w:rPr>
          <w:rFonts w:ascii="微軟正黑體" w:cs="微軟正黑體" w:eastAsia="微軟正黑體" w:hAnsi="微軟正黑體"/>
          <w:b/>
          <w:bCs/>
          <w:sz w:val="22"/>
          <w:szCs w:val="22"/>
        </w:rPr>
        <w:t xml:space="preserve">第5項（授權依據）：</w:t>
      </w:r>
    </w:p>
    <w:p>
      <w:pPr>
        <w:spacing w:after="80" w:before="80"/>
        <w:ind w:left="360"/>
      </w:pPr>
      <w:r>
        <w:rPr>
          <w:rFonts w:ascii="微軟正黑體" w:cs="微軟正黑體" w:eastAsia="微軟正黑體" w:hAnsi="微軟正黑體"/>
          <w:b w:val="false"/>
          <w:bCs w:val="false"/>
          <w:sz w:val="22"/>
          <w:szCs w:val="22"/>
        </w:rPr>
        <w:t xml:space="preserve">第三項之檢查簽證事項、檢查期間、申報方式及施行日期，由內政部定之。（即授權訂定《建築物公共安全檢查簽證及申報辦法》）</w:t>
      </w:r>
    </w:p>
    <w:p>
      <w:pPr>
        <w:pStyle w:val="Heading2"/>
        <w:spacing w:after="120" w:before="240"/>
      </w:pPr>
      <w:r>
        <w:rPr>
          <w:rFonts w:ascii="微軟正黑體" w:cs="微軟正黑體" w:eastAsia="微軟正黑體" w:hAnsi="微軟正黑體"/>
          <w:b/>
          <w:bCs/>
          <w:color w:val="2E75B6"/>
          <w:sz w:val="24"/>
          <w:szCs w:val="24"/>
        </w:rPr>
        <w:t xml:space="preserve">（二）建築法第77條之1（原有合法建築物改善義務）</w:t>
      </w:r>
    </w:p>
    <w:p>
      <w:pPr>
        <w:spacing w:after="80" w:before="80"/>
      </w:pPr>
      <w:r>
        <w:rPr>
          <w:rFonts w:ascii="微軟正黑體" w:cs="微軟正黑體" w:eastAsia="微軟正黑體" w:hAnsi="微軟正黑體"/>
          <w:b w:val="false"/>
          <w:bCs w:val="false"/>
          <w:sz w:val="22"/>
          <w:szCs w:val="22"/>
        </w:rPr>
        <w:t xml:space="preserve">為維護公共安全，供公眾使用或經中央主管建築機關認有必要之非供公眾使用之原有合法建築物，其構造、防火避難設施及消防設備不符現行規定者，應視其實際情形，令其改善或改變其他用途；其申請改善程序、項目、內容及方式等事項之辦法，由中央主管建築機關定之。（即授權訂定《原有合法建築物公共安全改善辦法》）</w:t>
      </w:r>
    </w:p>
    <w:p>
      <w:pPr>
        <w:pStyle w:val="Heading2"/>
        <w:spacing w:after="120" w:before="240"/>
      </w:pPr>
      <w:r>
        <w:rPr>
          <w:rFonts w:ascii="微軟正黑體" w:cs="微軟正黑體" w:eastAsia="微軟正黑體" w:hAnsi="微軟正黑體"/>
          <w:b/>
          <w:bCs/>
          <w:color w:val="2E75B6"/>
          <w:sz w:val="24"/>
          <w:szCs w:val="24"/>
        </w:rPr>
        <w:t xml:space="preserve">（三）建築法第91條（行政罰則）</w:t>
      </w:r>
    </w:p>
    <w:p>
      <w:pPr>
        <w:spacing w:after="80" w:before="80"/>
      </w:pPr>
      <w:r>
        <w:rPr>
          <w:rFonts w:ascii="微軟正黑體" w:cs="微軟正黑體" w:eastAsia="微軟正黑體" w:hAnsi="微軟正黑體"/>
          <w:b w:val="false"/>
          <w:bCs w:val="false"/>
          <w:sz w:val="22"/>
          <w:szCs w:val="22"/>
        </w:rPr>
        <w:t xml:space="preserve">有下列情形之一者，處建築物所有權人、使用人新臺幣六萬元以上三十萬元以下罰鍰，並限期改善或補辦手續，屆期仍未改善或補辦手續而繼續使用者，得連續處罰，並限期停止其使用：</w:t>
      </w:r>
    </w:p>
    <w:p>
      <w:pPr>
        <w:pStyle w:val="ListParagraph"/>
        <w:numPr>
          <w:ilvl w:val="0"/>
          <w:numId w:val="2"/>
        </w:numPr>
        <w:spacing w:after="60" w:before="60"/>
      </w:pPr>
      <w:r>
        <w:rPr>
          <w:rFonts w:ascii="微軟正黑體" w:cs="微軟正黑體" w:eastAsia="微軟正黑體" w:hAnsi="微軟正黑體"/>
          <w:sz w:val="22"/>
          <w:szCs w:val="22"/>
        </w:rPr>
        <w:t xml:space="preserve">違反第77條第1項，致人於死者，處1年以上7年以下有期徒刑，得併科NT$100萬至500萬罰金。</w:t>
      </w:r>
    </w:p>
    <w:p>
      <w:pPr>
        <w:pStyle w:val="ListParagraph"/>
        <w:numPr>
          <w:ilvl w:val="0"/>
          <w:numId w:val="2"/>
        </w:numPr>
        <w:spacing w:after="60" w:before="60"/>
      </w:pPr>
      <w:r>
        <w:rPr>
          <w:rFonts w:ascii="微軟正黑體" w:cs="微軟正黑體" w:eastAsia="微軟正黑體" w:hAnsi="微軟正黑體"/>
          <w:sz w:val="22"/>
          <w:szCs w:val="22"/>
        </w:rPr>
        <w:t xml:space="preserve">未按規定申報，或申報不合格未改善，或規避、妨礙、拒絕主管機關檢查。</w:t>
      </w:r>
    </w:p>
    <w:p>
      <w:pPr>
        <w:pStyle w:val="ListParagraph"/>
        <w:numPr>
          <w:ilvl w:val="0"/>
          <w:numId w:val="2"/>
        </w:numPr>
        <w:spacing w:after="60" w:before="60"/>
      </w:pPr>
      <w:r>
        <w:rPr>
          <w:rFonts w:ascii="微軟正黑體" w:cs="微軟正黑體" w:eastAsia="微軟正黑體" w:hAnsi="微軟正黑體"/>
          <w:sz w:val="22"/>
          <w:szCs w:val="22"/>
        </w:rPr>
        <w:t xml:space="preserve">必要時得停止供水供電、封閉或命其自行拆除、恢復原狀或強制拆除。</w:t>
      </w:r>
    </w:p>
    <w:p>
      <w:pPr>
        <w:pStyle w:val="Heading2"/>
        <w:spacing w:after="120" w:before="240"/>
      </w:pPr>
      <w:r>
        <w:rPr>
          <w:rFonts w:ascii="微軟正黑體" w:cs="微軟正黑體" w:eastAsia="微軟正黑體" w:hAnsi="微軟正黑體"/>
          <w:b/>
          <w:bCs/>
          <w:color w:val="2E75B6"/>
          <w:sz w:val="24"/>
          <w:szCs w:val="24"/>
        </w:rPr>
        <w:t xml:space="preserve">（四）建築法第91條之1（刑事責任）</w:t>
      </w:r>
    </w:p>
    <w:p>
      <w:pPr>
        <w:spacing w:after="80" w:before="80"/>
      </w:pPr>
      <w:r>
        <w:rPr>
          <w:rFonts w:ascii="微軟正黑體" w:cs="微軟正黑體" w:eastAsia="微軟正黑體" w:hAnsi="微軟正黑體"/>
          <w:b w:val="false"/>
          <w:bCs w:val="false"/>
          <w:sz w:val="22"/>
          <w:szCs w:val="22"/>
        </w:rPr>
        <w:t xml:space="preserve">建築物所有權人、使用人違反第77條第1項規定，致生公共危險者依相關規定加重處罰。</w:t>
      </w:r>
    </w:p>
    <w:p>
      <w:pPr>
        <w:pStyle w:val="Heading1"/>
        <w:spacing w:after="180" w:before="360"/>
      </w:pPr>
      <w:r>
        <w:rPr>
          <w:rFonts w:ascii="微軟正黑體" w:cs="微軟正黑體" w:eastAsia="微軟正黑體" w:hAnsi="微軟正黑體"/>
          <w:b/>
          <w:bCs/>
          <w:color w:val="1B5E8C"/>
          <w:sz w:val="28"/>
          <w:szCs w:val="28"/>
        </w:rPr>
        <w:t xml:space="preserve">四、主要授權子法</w:t>
      </w:r>
    </w:p>
    <w:p>
      <w:pPr>
        <w:pStyle w:val="Heading2"/>
        <w:spacing w:after="120" w:before="240"/>
      </w:pPr>
      <w:r>
        <w:rPr>
          <w:rFonts w:ascii="微軟正黑體" w:cs="微軟正黑體" w:eastAsia="微軟正黑體" w:hAnsi="微軟正黑體"/>
          <w:b/>
          <w:bCs/>
          <w:color w:val="2E75B6"/>
          <w:sz w:val="24"/>
          <w:szCs w:val="24"/>
        </w:rPr>
        <w:t xml:space="preserve">（一）建築物公共安全檢查簽證及申報辦法</w:t>
      </w:r>
    </w:p>
    <w:p>
      <w:pPr>
        <w:spacing w:after="80" w:before="80"/>
      </w:pPr>
      <w:r>
        <w:rPr>
          <w:rFonts w:ascii="微軟正黑體" w:cs="微軟正黑體" w:eastAsia="微軟正黑體" w:hAnsi="微軟正黑體"/>
          <w:b w:val="false"/>
          <w:bCs w:val="false"/>
          <w:sz w:val="22"/>
          <w:szCs w:val="22"/>
        </w:rPr>
        <w:t xml:space="preserve">依據：建築法第77條第5項授權</w:t>
      </w:r>
    </w:p>
    <w:p>
      <w:pPr>
        <w:spacing w:after="80" w:before="80"/>
      </w:pPr>
      <w:r>
        <w:rPr>
          <w:rFonts w:ascii="微軟正黑體" w:cs="微軟正黑體" w:eastAsia="微軟正黑體" w:hAnsi="微軟正黑體"/>
          <w:b w:val="false"/>
          <w:bCs w:val="false"/>
          <w:sz w:val="22"/>
          <w:szCs w:val="22"/>
        </w:rPr>
        <w:t xml:space="preserve">最近修正：民國111年12月28日（內政部台內營字第1110821688號令）</w:t>
      </w:r>
    </w:p>
    <w:p>
      <w:pPr>
        <w:spacing w:after="80" w:before="80"/>
      </w:pPr>
      <w:r>
        <w:rPr>
          <w:rFonts w:ascii="微軟正黑體" w:cs="微軟正黑體" w:eastAsia="微軟正黑體" w:hAnsi="微軟正黑體"/>
          <w:b w:val="false"/>
          <w:bCs w:val="false"/>
          <w:sz w:val="22"/>
          <w:szCs w:val="22"/>
        </w:rPr>
        <w:t xml:space="preserve">全國法規資料庫：https://law.moj.gov.tw  法規代碼：D0070149</w:t>
      </w:r>
    </w:p>
    <w:p>
      <w:pPr>
        <w:spacing w:after="80" w:before="80"/>
      </w:pPr>
    </w:p>
    <w:p>
      <w:pPr>
        <w:spacing w:after="80" w:before="80"/>
      </w:pPr>
      <w:r>
        <w:rPr>
          <w:rFonts w:ascii="微軟正黑體" w:cs="微軟正黑體" w:eastAsia="微軟正黑體" w:hAnsi="微軟正黑體"/>
          <w:b/>
          <w:bCs/>
          <w:sz w:val="22"/>
          <w:szCs w:val="22"/>
        </w:rPr>
        <w:t xml:space="preserve">本辦法規定重點如下：</w:t>
      </w:r>
    </w:p>
    <w:p>
      <w:pPr>
        <w:pStyle w:val="ListParagraph"/>
        <w:numPr>
          <w:ilvl w:val="0"/>
          <w:numId w:val="2"/>
        </w:numPr>
        <w:spacing w:after="60" w:before="60"/>
      </w:pPr>
      <w:r>
        <w:rPr>
          <w:rFonts w:ascii="微軟正黑體" w:cs="微軟正黑體" w:eastAsia="微軟正黑體" w:hAnsi="微軟正黑體"/>
          <w:sz w:val="22"/>
          <w:szCs w:val="22"/>
        </w:rPr>
        <w:t xml:space="preserve">申報人：建築物所有權人或使用人（公寓大廈得由管委會主任委員或管理負責人代為申報）。</w:t>
      </w:r>
    </w:p>
    <w:p>
      <w:pPr>
        <w:pStyle w:val="ListParagraph"/>
        <w:numPr>
          <w:ilvl w:val="0"/>
          <w:numId w:val="2"/>
        </w:numPr>
        <w:spacing w:after="60" w:before="60"/>
      </w:pPr>
      <w:r>
        <w:rPr>
          <w:rFonts w:ascii="微軟正黑體" w:cs="微軟正黑體" w:eastAsia="微軟正黑體" w:hAnsi="微軟正黑體"/>
          <w:sz w:val="22"/>
          <w:szCs w:val="22"/>
        </w:rPr>
        <w:t xml:space="preserve">申報範圍：（1）防火避難設施及設備安全標準檢查；（2）耐震能力評估檢查（88年前建照之特定類組建築物）。</w:t>
      </w:r>
    </w:p>
    <w:p>
      <w:pPr>
        <w:pStyle w:val="ListParagraph"/>
        <w:numPr>
          <w:ilvl w:val="0"/>
          <w:numId w:val="2"/>
        </w:numPr>
        <w:spacing w:after="60" w:before="60"/>
      </w:pPr>
      <w:r>
        <w:rPr>
          <w:rFonts w:ascii="微軟正黑體" w:cs="微軟正黑體" w:eastAsia="微軟正黑體" w:hAnsi="微軟正黑體"/>
          <w:sz w:val="22"/>
          <w:szCs w:val="22"/>
        </w:rPr>
        <w:t xml:space="preserve">查核期限：主管建築機關收到申報文件起15日內完成查核。</w:t>
      </w:r>
    </w:p>
    <w:p>
      <w:pPr>
        <w:pStyle w:val="ListParagraph"/>
        <w:numPr>
          <w:ilvl w:val="0"/>
          <w:numId w:val="2"/>
        </w:numPr>
        <w:spacing w:after="60" w:before="60"/>
      </w:pPr>
      <w:r>
        <w:rPr>
          <w:rFonts w:ascii="微軟正黑體" w:cs="微軟正黑體" w:eastAsia="微軟正黑體" w:hAnsi="微軟正黑體"/>
          <w:sz w:val="22"/>
          <w:szCs w:val="22"/>
        </w:rPr>
        <w:t xml:space="preserve">不合格處理：應限期改善，30日內改正完竣並送復核（最長可延長至90日）。</w:t>
      </w:r>
    </w:p>
    <w:p>
      <w:pPr>
        <w:pStyle w:val="ListParagraph"/>
        <w:numPr>
          <w:ilvl w:val="0"/>
          <w:numId w:val="2"/>
        </w:numPr>
        <w:spacing w:after="60" w:before="60"/>
      </w:pPr>
      <w:r>
        <w:rPr>
          <w:rFonts w:ascii="微軟正黑體" w:cs="微軟正黑體" w:eastAsia="微軟正黑體" w:hAnsi="微軟正黑體"/>
          <w:sz w:val="22"/>
          <w:szCs w:val="22"/>
        </w:rPr>
        <w:t xml:space="preserve">申報方式：以二維條碼或網路傳輸方式向當地主管建築機關申報。</w:t>
      </w:r>
    </w:p>
    <w:p>
      <w:pPr>
        <w:pStyle w:val="Heading2"/>
        <w:spacing w:after="120" w:before="240"/>
      </w:pPr>
      <w:r>
        <w:rPr>
          <w:rFonts w:ascii="微軟正黑體" w:cs="微軟正黑體" w:eastAsia="微軟正黑體" w:hAnsi="微軟正黑體"/>
          <w:b/>
          <w:bCs/>
          <w:color w:val="2E75B6"/>
          <w:sz w:val="24"/>
          <w:szCs w:val="24"/>
        </w:rPr>
        <w:t xml:space="preserve">（二）原有合法建築物公共安全改善辦法</w:t>
      </w:r>
    </w:p>
    <w:p>
      <w:pPr>
        <w:spacing w:after="80" w:before="80"/>
      </w:pPr>
      <w:r>
        <w:rPr>
          <w:rFonts w:ascii="微軟正黑體" w:cs="微軟正黑體" w:eastAsia="微軟正黑體" w:hAnsi="微軟正黑體"/>
          <w:b w:val="false"/>
          <w:bCs w:val="false"/>
          <w:sz w:val="22"/>
          <w:szCs w:val="22"/>
        </w:rPr>
        <w:t xml:space="preserve">依據：建築法第77條之1授權</w:t>
      </w:r>
    </w:p>
    <w:p>
      <w:pPr>
        <w:spacing w:after="80" w:before="80"/>
      </w:pPr>
      <w:r>
        <w:rPr>
          <w:rFonts w:ascii="微軟正黑體" w:cs="微軟正黑體" w:eastAsia="微軟正黑體" w:hAnsi="微軟正黑體"/>
          <w:b w:val="false"/>
          <w:bCs w:val="false"/>
          <w:sz w:val="22"/>
          <w:szCs w:val="22"/>
        </w:rPr>
        <w:t xml:space="preserve">前身：原有合法建築物防火避難設施及消防設備改善辦法（民國84年發布）</w:t>
      </w:r>
    </w:p>
    <w:p>
      <w:pPr>
        <w:spacing w:after="80" w:before="80"/>
      </w:pPr>
      <w:r>
        <w:rPr>
          <w:rFonts w:ascii="微軟正黑體" w:cs="微軟正黑體" w:eastAsia="微軟正黑體" w:hAnsi="微軟正黑體"/>
          <w:b w:val="false"/>
          <w:bCs w:val="false"/>
          <w:sz w:val="22"/>
          <w:szCs w:val="22"/>
        </w:rPr>
        <w:t xml:space="preserve">最近修正：民國111年12月28日（配合建築法第77條之1修正，增列構造耐震改善規定）</w:t>
      </w:r>
    </w:p>
    <w:p>
      <w:pPr>
        <w:spacing w:after="80" w:before="80"/>
      </w:pPr>
      <w:r>
        <w:rPr>
          <w:rFonts w:ascii="微軟正黑體" w:cs="微軟正黑體" w:eastAsia="微軟正黑體" w:hAnsi="微軟正黑體"/>
          <w:b w:val="false"/>
          <w:bCs w:val="false"/>
          <w:sz w:val="22"/>
          <w:szCs w:val="22"/>
        </w:rPr>
        <w:t xml:space="preserve">全國法規資料庫：https://law.moj.gov.tw  法規代碼：D0070150</w:t>
      </w:r>
    </w:p>
    <w:p>
      <w:pPr>
        <w:spacing w:after="80" w:before="80"/>
      </w:pPr>
    </w:p>
    <w:p>
      <w:pPr>
        <w:spacing w:after="80" w:before="80"/>
      </w:pPr>
      <w:r>
        <w:rPr>
          <w:rFonts w:ascii="微軟正黑體" w:cs="微軟正黑體" w:eastAsia="微軟正黑體" w:hAnsi="微軟正黑體"/>
          <w:b/>
          <w:bCs/>
          <w:sz w:val="22"/>
          <w:szCs w:val="22"/>
        </w:rPr>
        <w:t xml:space="preserve">本辦法規定重點如下：</w:t>
      </w:r>
    </w:p>
    <w:p>
      <w:pPr>
        <w:pStyle w:val="ListParagraph"/>
        <w:numPr>
          <w:ilvl w:val="0"/>
          <w:numId w:val="2"/>
        </w:numPr>
        <w:spacing w:after="60" w:before="60"/>
      </w:pPr>
      <w:r>
        <w:rPr>
          <w:rFonts w:ascii="微軟正黑體" w:cs="微軟正黑體" w:eastAsia="微軟正黑體" w:hAnsi="微軟正黑體"/>
          <w:sz w:val="22"/>
          <w:szCs w:val="22"/>
        </w:rPr>
        <w:t xml:space="preserve">改善對象：供公眾使用或中央主管建築機關認有必要之原有合法建築物，其防火避難設施、消防設備或構造不符現行規定者。</w:t>
      </w:r>
    </w:p>
    <w:p>
      <w:pPr>
        <w:pStyle w:val="ListParagraph"/>
        <w:numPr>
          <w:ilvl w:val="0"/>
          <w:numId w:val="2"/>
        </w:numPr>
        <w:spacing w:after="60" w:before="60"/>
      </w:pPr>
      <w:r>
        <w:rPr>
          <w:rFonts w:ascii="微軟正黑體" w:cs="微軟正黑體" w:eastAsia="微軟正黑體" w:hAnsi="微軟正黑體"/>
          <w:sz w:val="22"/>
          <w:szCs w:val="22"/>
        </w:rPr>
        <w:t xml:space="preserve">改善項目：防火區劃、避難設施、緊急照明設備、消防設備、耐震補強等。</w:t>
      </w:r>
    </w:p>
    <w:p>
      <w:pPr>
        <w:pStyle w:val="ListParagraph"/>
        <w:numPr>
          <w:ilvl w:val="0"/>
          <w:numId w:val="2"/>
        </w:numPr>
        <w:spacing w:after="60" w:before="60"/>
      </w:pPr>
      <w:r>
        <w:rPr>
          <w:rFonts w:ascii="微軟正黑體" w:cs="微軟正黑體" w:eastAsia="微軟正黑體" w:hAnsi="微軟正黑體"/>
          <w:sz w:val="22"/>
          <w:szCs w:val="22"/>
        </w:rPr>
        <w:t xml:space="preserve">改善基準：依各類建築物之性質、規模、使用強度分別訂定改善標準。</w:t>
      </w:r>
    </w:p>
    <w:p>
      <w:pPr>
        <w:pStyle w:val="ListParagraph"/>
        <w:numPr>
          <w:ilvl w:val="0"/>
          <w:numId w:val="2"/>
        </w:numPr>
        <w:spacing w:after="60" w:before="60"/>
      </w:pPr>
      <w:r>
        <w:rPr>
          <w:rFonts w:ascii="微軟正黑體" w:cs="微軟正黑體" w:eastAsia="微軟正黑體" w:hAnsi="微軟正黑體"/>
          <w:sz w:val="22"/>
          <w:szCs w:val="22"/>
        </w:rPr>
        <w:t xml:space="preserve">第25條之1（耐震構造）：應辦理耐震評估之建築物，若不符現行規定，主管建築機關應令其於改善期限內依改善基準辦理改善，且改善期限內未完成者，可再令補強或重建。</w:t>
      </w:r>
    </w:p>
    <w:p>
      <w:pPr>
        <w:pStyle w:val="Heading2"/>
        <w:spacing w:after="120" w:before="240"/>
      </w:pPr>
      <w:r>
        <w:rPr>
          <w:rFonts w:ascii="微軟正黑體" w:cs="微軟正黑體" w:eastAsia="微軟正黑體" w:hAnsi="微軟正黑體"/>
          <w:b/>
          <w:bCs/>
          <w:color w:val="2E75B6"/>
          <w:sz w:val="24"/>
          <w:szCs w:val="24"/>
        </w:rPr>
        <w:t xml:space="preserve">（三）建築物公共安全檢查專業機構及人員認可要點</w:t>
      </w:r>
    </w:p>
    <w:p>
      <w:pPr>
        <w:spacing w:after="80" w:before="80"/>
      </w:pPr>
      <w:r>
        <w:rPr>
          <w:rFonts w:ascii="微軟正黑體" w:cs="微軟正黑體" w:eastAsia="微軟正黑體" w:hAnsi="微軟正黑體"/>
          <w:b w:val="false"/>
          <w:bCs w:val="false"/>
          <w:sz w:val="22"/>
          <w:szCs w:val="22"/>
        </w:rPr>
        <w:t xml:space="preserve">依據：建築法第77條第3項及第91條之2第1項</w:t>
      </w:r>
    </w:p>
    <w:p>
      <w:pPr>
        <w:spacing w:after="80" w:before="80"/>
      </w:pPr>
      <w:r>
        <w:rPr>
          <w:rFonts w:ascii="微軟正黑體" w:cs="微軟正黑體" w:eastAsia="微軟正黑體" w:hAnsi="微軟正黑體"/>
          <w:b w:val="false"/>
          <w:bCs w:val="false"/>
          <w:sz w:val="22"/>
          <w:szCs w:val="22"/>
        </w:rPr>
        <w:t xml:space="preserve">主管機關：內政部</w:t>
      </w:r>
    </w:p>
    <w:p>
      <w:pPr>
        <w:spacing w:after="80" w:before="80"/>
      </w:pPr>
      <w:r>
        <w:rPr>
          <w:rFonts w:ascii="微軟正黑體" w:cs="微軟正黑體" w:eastAsia="微軟正黑體" w:hAnsi="微軟正黑體"/>
          <w:b w:val="false"/>
          <w:bCs w:val="false"/>
          <w:sz w:val="22"/>
          <w:szCs w:val="22"/>
        </w:rPr>
        <w:t xml:space="preserve">內政部主管法規系統：https://glrs.moi.gov.tw  法規代碼：FL003898</w:t>
      </w:r>
    </w:p>
    <w:p>
      <w:pPr>
        <w:spacing w:after="80" w:before="80"/>
      </w:pPr>
    </w:p>
    <w:p>
      <w:pPr>
        <w:spacing w:after="80" w:before="80"/>
      </w:pPr>
      <w:r>
        <w:rPr>
          <w:rFonts w:ascii="微軟正黑體" w:cs="微軟正黑體" w:eastAsia="微軟正黑體" w:hAnsi="微軟正黑體"/>
          <w:b/>
          <w:bCs/>
          <w:sz w:val="22"/>
          <w:szCs w:val="22"/>
        </w:rPr>
        <w:t xml:space="preserve">本要點規定重點如下：</w:t>
      </w:r>
    </w:p>
    <w:p>
      <w:pPr>
        <w:pStyle w:val="ListParagraph"/>
        <w:numPr>
          <w:ilvl w:val="0"/>
          <w:numId w:val="2"/>
        </w:numPr>
        <w:spacing w:after="60" w:before="60"/>
      </w:pPr>
      <w:r>
        <w:rPr>
          <w:rFonts w:ascii="微軟正黑體" w:cs="微軟正黑體" w:eastAsia="微軟正黑體" w:hAnsi="微軟正黑體"/>
          <w:sz w:val="22"/>
          <w:szCs w:val="22"/>
        </w:rPr>
        <w:t xml:space="preserve">標準檢查專業機構資格：法人組織、置有防火避難設施類檢查員7人以上、設備安全類檢查員3人以上、名稱需含「建築物公共安全檢查」字樣。</w:t>
      </w:r>
    </w:p>
    <w:p>
      <w:pPr>
        <w:pStyle w:val="ListParagraph"/>
        <w:numPr>
          <w:ilvl w:val="0"/>
          <w:numId w:val="2"/>
        </w:numPr>
        <w:spacing w:after="60" w:before="60"/>
      </w:pPr>
      <w:r>
        <w:rPr>
          <w:rFonts w:ascii="微軟正黑體" w:cs="微軟正黑體" w:eastAsia="微軟正黑體" w:hAnsi="微軟正黑體"/>
          <w:sz w:val="22"/>
          <w:szCs w:val="22"/>
        </w:rPr>
        <w:t xml:space="preserve">評估檢查專業機構資格：非以營利為目的之社團或財團法人、置有評估檢查員20人以上、邀集專家學者10人以上組成耐震能力評估審查小組。</w:t>
      </w:r>
    </w:p>
    <w:p>
      <w:pPr>
        <w:pStyle w:val="ListParagraph"/>
        <w:numPr>
          <w:ilvl w:val="0"/>
          <w:numId w:val="2"/>
        </w:numPr>
        <w:spacing w:after="60" w:before="60"/>
      </w:pPr>
      <w:r>
        <w:rPr>
          <w:rFonts w:ascii="微軟正黑體" w:cs="微軟正黑體" w:eastAsia="微軟正黑體" w:hAnsi="微軟正黑體"/>
          <w:sz w:val="22"/>
          <w:szCs w:val="22"/>
        </w:rPr>
        <w:t xml:space="preserve">專業人員資格：依法登記開業之建築師或執業技師，取得內政部認可證。</w:t>
      </w:r>
    </w:p>
    <w:p>
      <w:pPr>
        <w:pStyle w:val="ListParagraph"/>
        <w:numPr>
          <w:ilvl w:val="0"/>
          <w:numId w:val="2"/>
        </w:numPr>
        <w:spacing w:after="60" w:before="60"/>
      </w:pPr>
      <w:r>
        <w:rPr>
          <w:rFonts w:ascii="微軟正黑體" w:cs="微軟正黑體" w:eastAsia="微軟正黑體" w:hAnsi="微軟正黑體"/>
          <w:sz w:val="22"/>
          <w:szCs w:val="22"/>
        </w:rPr>
        <w:t xml:space="preserve">認可有效期限、展延、廢止及違規處理等均於本要點中明定。</w:t>
      </w:r>
    </w:p>
    <w:p>
      <w:pPr>
        <w:pStyle w:val="Heading2"/>
        <w:spacing w:after="120" w:before="240"/>
      </w:pPr>
      <w:r>
        <w:rPr>
          <w:rFonts w:ascii="微軟正黑體" w:cs="微軟正黑體" w:eastAsia="微軟正黑體" w:hAnsi="微軟正黑體"/>
          <w:b/>
          <w:bCs/>
          <w:color w:val="2E75B6"/>
          <w:sz w:val="24"/>
          <w:szCs w:val="24"/>
        </w:rPr>
        <w:t xml:space="preserve">（四）加強建築物公共安全檢查及取締執行要點</w:t>
      </w:r>
    </w:p>
    <w:p>
      <w:pPr>
        <w:spacing w:after="80" w:before="80"/>
      </w:pPr>
      <w:r>
        <w:rPr>
          <w:rFonts w:ascii="微軟正黑體" w:cs="微軟正黑體" w:eastAsia="微軟正黑體" w:hAnsi="微軟正黑體"/>
          <w:b w:val="false"/>
          <w:bCs w:val="false"/>
          <w:sz w:val="22"/>
          <w:szCs w:val="22"/>
        </w:rPr>
        <w:t xml:space="preserve">依據：建築法第77條授權</w:t>
      </w:r>
    </w:p>
    <w:p>
      <w:pPr>
        <w:spacing w:after="80" w:before="80"/>
      </w:pPr>
      <w:r>
        <w:rPr>
          <w:rFonts w:ascii="微軟正黑體" w:cs="微軟正黑體" w:eastAsia="微軟正黑體" w:hAnsi="微軟正黑體"/>
          <w:b w:val="false"/>
          <w:bCs w:val="false"/>
          <w:sz w:val="22"/>
          <w:szCs w:val="22"/>
        </w:rPr>
        <w:t xml:space="preserve">主管機關：內政部</w:t>
      </w:r>
    </w:p>
    <w:p>
      <w:pPr>
        <w:spacing w:after="80" w:before="80"/>
      </w:pPr>
      <w:r>
        <w:rPr>
          <w:rFonts w:ascii="微軟正黑體" w:cs="微軟正黑體" w:eastAsia="微軟正黑體" w:hAnsi="微軟正黑體"/>
          <w:b w:val="false"/>
          <w:bCs w:val="false"/>
          <w:sz w:val="22"/>
          <w:szCs w:val="22"/>
        </w:rPr>
        <w:t xml:space="preserve">內政部主管法規系統：https://glrs.moi.gov.tw  法規代碼：FL003864</w:t>
      </w:r>
    </w:p>
    <w:p>
      <w:pPr>
        <w:spacing w:after="80" w:before="80"/>
      </w:pPr>
    </w:p>
    <w:p>
      <w:pPr>
        <w:spacing w:after="80" w:before="80"/>
      </w:pPr>
      <w:r>
        <w:rPr>
          <w:rFonts w:ascii="微軟正黑體" w:cs="微軟正黑體" w:eastAsia="微軟正黑體" w:hAnsi="微軟正黑體"/>
          <w:b w:val="false"/>
          <w:bCs w:val="false"/>
          <w:sz w:val="22"/>
          <w:szCs w:val="22"/>
        </w:rPr>
        <w:t xml:space="preserve">本要點規定地方主管建築機關辦理建築物公共安全檢查及取締作業之程序，包括：</w:t>
      </w:r>
    </w:p>
    <w:p>
      <w:pPr>
        <w:pStyle w:val="ListParagraph"/>
        <w:numPr>
          <w:ilvl w:val="0"/>
          <w:numId w:val="2"/>
        </w:numPr>
        <w:spacing w:after="60" w:before="60"/>
      </w:pPr>
      <w:r>
        <w:rPr>
          <w:rFonts w:ascii="微軟正黑體" w:cs="微軟正黑體" w:eastAsia="微軟正黑體" w:hAnsi="微軟正黑體"/>
          <w:sz w:val="22"/>
          <w:szCs w:val="22"/>
        </w:rPr>
        <w:t xml:space="preserve">自主抽查計畫之訂定原則。</w:t>
      </w:r>
    </w:p>
    <w:p>
      <w:pPr>
        <w:pStyle w:val="ListParagraph"/>
        <w:numPr>
          <w:ilvl w:val="0"/>
          <w:numId w:val="2"/>
        </w:numPr>
        <w:spacing w:after="60" w:before="60"/>
      </w:pPr>
      <w:r>
        <w:rPr>
          <w:rFonts w:ascii="微軟正黑體" w:cs="微軟正黑體" w:eastAsia="微軟正黑體" w:hAnsi="微軟正黑體"/>
          <w:sz w:val="22"/>
          <w:szCs w:val="22"/>
        </w:rPr>
        <w:t xml:space="preserve">檢查人員組成及作業程序。</w:t>
      </w:r>
    </w:p>
    <w:p>
      <w:pPr>
        <w:pStyle w:val="ListParagraph"/>
        <w:numPr>
          <w:ilvl w:val="0"/>
          <w:numId w:val="2"/>
        </w:numPr>
        <w:spacing w:after="60" w:before="60"/>
      </w:pPr>
      <w:r>
        <w:rPr>
          <w:rFonts w:ascii="微軟正黑體" w:cs="微軟正黑體" w:eastAsia="微軟正黑體" w:hAnsi="微軟正黑體"/>
          <w:sz w:val="22"/>
          <w:szCs w:val="22"/>
        </w:rPr>
        <w:t xml:space="preserve">取締、列管及移送偵辦之流程。</w:t>
      </w:r>
    </w:p>
    <w:p>
      <w:pPr>
        <w:pStyle w:val="ListParagraph"/>
        <w:numPr>
          <w:ilvl w:val="0"/>
          <w:numId w:val="2"/>
        </w:numPr>
        <w:spacing w:after="60" w:before="60"/>
      </w:pPr>
      <w:r>
        <w:rPr>
          <w:rFonts w:ascii="微軟正黑體" w:cs="微軟正黑體" w:eastAsia="微軟正黑體" w:hAnsi="微軟正黑體"/>
          <w:sz w:val="22"/>
          <w:szCs w:val="22"/>
        </w:rPr>
        <w:t xml:space="preserve">有破壞防火區劃或防火避難設施等情形得依建築法第91條處罰。</w:t>
      </w:r>
    </w:p>
    <w:p>
      <w:pPr>
        <w:pStyle w:val="Heading1"/>
        <w:spacing w:after="180" w:before="360"/>
      </w:pPr>
      <w:r>
        <w:rPr>
          <w:rFonts w:ascii="微軟正黑體" w:cs="微軟正黑體" w:eastAsia="微軟正黑體" w:hAnsi="微軟正黑體"/>
          <w:b/>
          <w:bCs/>
          <w:color w:val="1B5E8C"/>
          <w:sz w:val="28"/>
          <w:szCs w:val="28"/>
        </w:rPr>
        <w:t xml:space="preserve">五、相關配套法規</w:t>
      </w:r>
    </w:p>
    <w:p>
      <w:pPr>
        <w:pStyle w:val="Heading2"/>
        <w:spacing w:after="120" w:before="240"/>
      </w:pPr>
      <w:r>
        <w:rPr>
          <w:rFonts w:ascii="微軟正黑體" w:cs="微軟正黑體" w:eastAsia="微軟正黑體" w:hAnsi="微軟正黑體"/>
          <w:b/>
          <w:bCs/>
          <w:color w:val="2E75B6"/>
          <w:sz w:val="24"/>
          <w:szCs w:val="24"/>
        </w:rPr>
        <w:t xml:space="preserve">（一）建築物使用類組及變更使用辦法</w:t>
      </w:r>
    </w:p>
    <w:p>
      <w:pPr>
        <w:spacing w:after="80" w:before="80"/>
      </w:pPr>
      <w:r>
        <w:rPr>
          <w:rFonts w:ascii="微軟正黑體" w:cs="微軟正黑體" w:eastAsia="微軟正黑體" w:hAnsi="微軟正黑體"/>
          <w:b w:val="false"/>
          <w:bCs w:val="false"/>
          <w:sz w:val="22"/>
          <w:szCs w:val="22"/>
        </w:rPr>
        <w:t xml:space="preserve">依據：建築法第73條第4項授權。</w:t>
      </w:r>
    </w:p>
    <w:p>
      <w:pPr>
        <w:spacing w:after="80" w:before="80"/>
      </w:pPr>
      <w:r>
        <w:rPr>
          <w:rFonts w:ascii="微軟正黑體" w:cs="微軟正黑體" w:eastAsia="微軟正黑體" w:hAnsi="微軟正黑體"/>
          <w:b w:val="false"/>
          <w:bCs w:val="false"/>
          <w:sz w:val="22"/>
          <w:szCs w:val="22"/>
        </w:rPr>
        <w:t xml:space="preserve">本辦法將建築物使用類別分為A至H等8大類23組（如A-1公共集會類、B-2旅館類、F-1醫療類、H-2集合住宅類等），為公安申報之適用類組判定依據。</w:t>
      </w:r>
    </w:p>
    <w:p>
      <w:pPr>
        <w:pStyle w:val="Heading2"/>
        <w:spacing w:after="120" w:before="240"/>
      </w:pPr>
      <w:r>
        <w:rPr>
          <w:rFonts w:ascii="微軟正黑體" w:cs="微軟正黑體" w:eastAsia="微軟正黑體" w:hAnsi="微軟正黑體"/>
          <w:b/>
          <w:bCs/>
          <w:color w:val="2E75B6"/>
          <w:sz w:val="24"/>
          <w:szCs w:val="24"/>
        </w:rPr>
        <w:t xml:space="preserve">（二）建築技術規則（防火及避難相關章節）</w:t>
      </w:r>
    </w:p>
    <w:p>
      <w:pPr>
        <w:spacing w:after="80" w:before="80"/>
      </w:pPr>
      <w:r>
        <w:rPr>
          <w:rFonts w:ascii="微軟正黑體" w:cs="微軟正黑體" w:eastAsia="微軟正黑體" w:hAnsi="微軟正黑體"/>
          <w:b w:val="false"/>
          <w:bCs w:val="false"/>
          <w:sz w:val="22"/>
          <w:szCs w:val="22"/>
        </w:rPr>
        <w:t xml:space="preserve">依據：建築法第97條授權。</w:t>
      </w:r>
    </w:p>
    <w:p>
      <w:pPr>
        <w:spacing w:after="80" w:before="80"/>
      </w:pPr>
      <w:r>
        <w:rPr>
          <w:rFonts w:ascii="微軟正黑體" w:cs="微軟正黑體" w:eastAsia="微軟正黑體" w:hAnsi="微軟正黑體"/>
          <w:b w:val="false"/>
          <w:bCs w:val="false"/>
          <w:sz w:val="22"/>
          <w:szCs w:val="22"/>
        </w:rPr>
        <w:t xml:space="preserve">建築技術規則設計施工篇之防火篇（第三章）、消防設備（相關章節）訂有防火構造、防火設備、緊急照明設備、緊急電源、排煙設備等設計及施工標準，為標準檢查之技術基準。</w:t>
      </w:r>
    </w:p>
    <w:p>
      <w:pPr>
        <w:pStyle w:val="Heading2"/>
        <w:spacing w:after="120" w:before="240"/>
      </w:pPr>
      <w:r>
        <w:rPr>
          <w:rFonts w:ascii="微軟正黑體" w:cs="微軟正黑體" w:eastAsia="微軟正黑體" w:hAnsi="微軟正黑體"/>
          <w:b/>
          <w:bCs/>
          <w:color w:val="2E75B6"/>
          <w:sz w:val="24"/>
          <w:szCs w:val="24"/>
        </w:rPr>
        <w:t xml:space="preserve">（三）消防法及消防法施行細則</w:t>
      </w:r>
    </w:p>
    <w:p>
      <w:pPr>
        <w:spacing w:after="80" w:before="80"/>
      </w:pPr>
      <w:r>
        <w:rPr>
          <w:rFonts w:ascii="微軟正黑體" w:cs="微軟正黑體" w:eastAsia="微軟正黑體" w:hAnsi="微軟正黑體"/>
          <w:b w:val="false"/>
          <w:bCs w:val="false"/>
          <w:sz w:val="22"/>
          <w:szCs w:val="22"/>
        </w:rPr>
        <w:t xml:space="preserve">主管機關：內政部消防署。</w:t>
      </w:r>
    </w:p>
    <w:p>
      <w:pPr>
        <w:spacing w:after="80" w:before="80"/>
      </w:pPr>
      <w:r>
        <w:rPr>
          <w:rFonts w:ascii="微軟正黑體" w:cs="微軟正黑體" w:eastAsia="微軟正黑體" w:hAnsi="微軟正黑體"/>
          <w:b w:val="false"/>
          <w:bCs w:val="false"/>
          <w:sz w:val="22"/>
          <w:szCs w:val="22"/>
        </w:rPr>
        <w:t xml:space="preserve">消防安全設備（滅火器、自動撒水設備、緊急廣播、偵煙探測器等）之設置、維護及每年定期「消防安全設備檢修申報」，與建築物公共安全檢查申報並行辦理（兩者分屬不同法律體系，不可混淆）。</w:t>
      </w:r>
    </w:p>
    <w:p>
      <w:pPr>
        <w:pStyle w:val="Heading2"/>
        <w:spacing w:after="120" w:before="240"/>
      </w:pPr>
      <w:r>
        <w:rPr>
          <w:rFonts w:ascii="微軟正黑體" w:cs="微軟正黑體" w:eastAsia="微軟正黑體" w:hAnsi="微軟正黑體"/>
          <w:b/>
          <w:bCs/>
          <w:color w:val="2E75B6"/>
          <w:sz w:val="24"/>
          <w:szCs w:val="24"/>
        </w:rPr>
        <w:t xml:space="preserve">（四）都市危險及老舊建築物結構安全性能評估辦法</w:t>
      </w:r>
    </w:p>
    <w:p>
      <w:pPr>
        <w:spacing w:after="80" w:before="80"/>
      </w:pPr>
      <w:r>
        <w:rPr>
          <w:rFonts w:ascii="微軟正黑體" w:cs="微軟正黑體" w:eastAsia="微軟正黑體" w:hAnsi="微軟正黑體"/>
          <w:b w:val="false"/>
          <w:bCs w:val="false"/>
          <w:sz w:val="22"/>
          <w:szCs w:val="22"/>
        </w:rPr>
        <w:t xml:space="preserve">依據：都市危險及老舊建築物加速重建條例授權。</w:t>
      </w:r>
    </w:p>
    <w:p>
      <w:pPr>
        <w:spacing w:after="80" w:before="80"/>
      </w:pPr>
      <w:r>
        <w:rPr>
          <w:rFonts w:ascii="微軟正黑體" w:cs="微軟正黑體" w:eastAsia="微軟正黑體" w:hAnsi="微軟正黑體"/>
          <w:b w:val="false"/>
          <w:bCs w:val="false"/>
          <w:sz w:val="22"/>
          <w:szCs w:val="22"/>
        </w:rPr>
        <w:t xml:space="preserve">針對屋齡達30年以上或結構有疑慮之建築物，提供自願性評估重建機制，與耐震能力評估申報相輔相成。</w:t>
      </w:r>
    </w:p>
    <w:p>
      <w:pPr>
        <w:pStyle w:val="Heading2"/>
        <w:spacing w:after="120" w:before="240"/>
      </w:pPr>
      <w:r>
        <w:rPr>
          <w:rFonts w:ascii="微軟正黑體" w:cs="微軟正黑體" w:eastAsia="微軟正黑體" w:hAnsi="微軟正黑體"/>
          <w:b/>
          <w:bCs/>
          <w:color w:val="2E75B6"/>
          <w:sz w:val="24"/>
          <w:szCs w:val="24"/>
        </w:rPr>
        <w:t xml:space="preserve">（五）行政院「維護公共安全方案——營建管理部分」（民國82年）</w:t>
      </w:r>
    </w:p>
    <w:p>
      <w:pPr>
        <w:spacing w:after="80" w:before="80"/>
      </w:pPr>
      <w:r>
        <w:rPr>
          <w:rFonts w:ascii="微軟正黑體" w:cs="微軟正黑體" w:eastAsia="微軟正黑體" w:hAnsi="微軟正黑體"/>
          <w:b w:val="false"/>
          <w:bCs w:val="false"/>
          <w:sz w:val="22"/>
          <w:szCs w:val="22"/>
        </w:rPr>
        <w:t xml:space="preserve">行政院民國82年5月31日頒布（院臺82內字第17229號函），確立公共安全檢查優先順序，授權各省市依實際需求分批施行，為現行申報制度之政策源頭文件。</w:t>
      </w:r>
    </w:p>
    <w:p>
      <w:pPr>
        <w:pStyle w:val="Heading1"/>
        <w:spacing w:after="180" w:before="360"/>
      </w:pPr>
      <w:r>
        <w:rPr>
          <w:rFonts w:ascii="微軟正黑體" w:cs="微軟正黑體" w:eastAsia="微軟正黑體" w:hAnsi="微軟正黑體"/>
          <w:b/>
          <w:bCs/>
          <w:color w:val="1B5E8C"/>
          <w:sz w:val="28"/>
          <w:szCs w:val="28"/>
        </w:rPr>
        <w:t xml:space="preserve">六、各類建築物申報頻率對照表</w:t>
      </w:r>
    </w:p>
    <w:p>
      <w:pPr>
        <w:spacing w:after="80" w:before="80"/>
      </w:pPr>
      <w:r>
        <w:rPr>
          <w:rFonts w:ascii="微軟正黑體" w:cs="微軟正黑體" w:eastAsia="微軟正黑體" w:hAnsi="微軟正黑體"/>
          <w:b w:val="false"/>
          <w:bCs w:val="false"/>
          <w:sz w:val="22"/>
          <w:szCs w:val="22"/>
        </w:rPr>
        <w:t xml:space="preserve">（依《建築物公共安全檢查簽證及申報辦法》附表一）</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60"/>
        <w:gridCol w:w="2100"/>
        <w:gridCol w:w="2100"/>
      </w:tblGrid>
      <w:tr>
        <w:trPr>
          <w:tblHeader/>
        </w:trPr>
        <w:tc>
          <w:tcPr>
            <w:tcBorders>
              <w:top w:val="single" w:color="AAAAAA" w:sz="1"/>
              <w:left w:val="single" w:color="AAAAAA" w:sz="1"/>
              <w:bottom w:val="single" w:color="AAAAAA" w:sz="1"/>
              <w:right w:val="single" w:color="AAAAAA" w:sz="1"/>
            </w:tcBorders>
            <w:shd w:fill="1B5E8C" w:val="clear"/>
            <w:tcMar>
              <w:top w:type="dxa" w:w="100"/>
              <w:left w:type="dxa" w:w="160"/>
              <w:bottom w:type="dxa" w:w="100"/>
              <w:right w:type="dxa" w:w="160"/>
            </w:tcMar>
          </w:tcPr>
          <w:p>
            <w:r>
              <w:rPr>
                <w:rFonts w:ascii="微軟正黑體" w:cs="微軟正黑體" w:eastAsia="微軟正黑體" w:hAnsi="微軟正黑體"/>
                <w:b/>
                <w:bCs/>
                <w:color w:val="FFFFFF"/>
                <w:sz w:val="20"/>
                <w:szCs w:val="20"/>
              </w:rPr>
              <w:t xml:space="preserve">使用類別</w:t>
            </w:r>
          </w:p>
        </w:tc>
        <w:tc>
          <w:tcPr>
            <w:tcBorders>
              <w:top w:val="single" w:color="AAAAAA" w:sz="1"/>
              <w:left w:val="single" w:color="AAAAAA" w:sz="1"/>
              <w:bottom w:val="single" w:color="AAAAAA" w:sz="1"/>
              <w:right w:val="single" w:color="AAAAAA" w:sz="1"/>
            </w:tcBorders>
            <w:shd w:fill="1B5E8C" w:val="clear"/>
            <w:tcMar>
              <w:top w:type="dxa" w:w="100"/>
              <w:left w:type="dxa" w:w="160"/>
              <w:bottom w:type="dxa" w:w="100"/>
              <w:right w:type="dxa" w:w="160"/>
            </w:tcMar>
          </w:tcPr>
          <w:p>
            <w:r>
              <w:rPr>
                <w:rFonts w:ascii="微軟正黑體" w:cs="微軟正黑體" w:eastAsia="微軟正黑體" w:hAnsi="微軟正黑體"/>
                <w:b/>
                <w:bCs/>
                <w:color w:val="FFFFFF"/>
                <w:sz w:val="20"/>
                <w:szCs w:val="20"/>
              </w:rPr>
              <w:t xml:space="preserve">主要用途</w:t>
            </w:r>
          </w:p>
        </w:tc>
        <w:tc>
          <w:tcPr>
            <w:tcBorders>
              <w:top w:val="single" w:color="AAAAAA" w:sz="1"/>
              <w:left w:val="single" w:color="AAAAAA" w:sz="1"/>
              <w:bottom w:val="single" w:color="AAAAAA" w:sz="1"/>
              <w:right w:val="single" w:color="AAAAAA" w:sz="1"/>
            </w:tcBorders>
            <w:shd w:fill="1B5E8C" w:val="clear"/>
            <w:tcMar>
              <w:top w:type="dxa" w:w="100"/>
              <w:left w:type="dxa" w:w="160"/>
              <w:bottom w:type="dxa" w:w="100"/>
              <w:right w:type="dxa" w:w="160"/>
            </w:tcMar>
          </w:tcPr>
          <w:p>
            <w:r>
              <w:rPr>
                <w:rFonts w:ascii="微軟正黑體" w:cs="微軟正黑體" w:eastAsia="微軟正黑體" w:hAnsi="微軟正黑體"/>
                <w:b/>
                <w:bCs/>
                <w:color w:val="FFFFFF"/>
                <w:sz w:val="20"/>
                <w:szCs w:val="20"/>
              </w:rPr>
              <w:t xml:space="preserve">申報規模</w:t>
            </w:r>
          </w:p>
        </w:tc>
        <w:tc>
          <w:tcPr>
            <w:tcBorders>
              <w:top w:val="single" w:color="AAAAAA" w:sz="1"/>
              <w:left w:val="single" w:color="AAAAAA" w:sz="1"/>
              <w:bottom w:val="single" w:color="AAAAAA" w:sz="1"/>
              <w:right w:val="single" w:color="AAAAAA" w:sz="1"/>
            </w:tcBorders>
            <w:shd w:fill="1B5E8C" w:val="clear"/>
            <w:tcMar>
              <w:top w:type="dxa" w:w="100"/>
              <w:left w:type="dxa" w:w="160"/>
              <w:bottom w:type="dxa" w:w="100"/>
              <w:right w:type="dxa" w:w="160"/>
            </w:tcMar>
          </w:tcPr>
          <w:p>
            <w:r>
              <w:rPr>
                <w:rFonts w:ascii="微軟正黑體" w:cs="微軟正黑體" w:eastAsia="微軟正黑體" w:hAnsi="微軟正黑體"/>
                <w:b/>
                <w:bCs/>
                <w:color w:val="FFFFFF"/>
                <w:sz w:val="20"/>
                <w:szCs w:val="20"/>
              </w:rPr>
              <w:t xml:space="preserve">申報頻率</w:t>
            </w:r>
          </w:p>
        </w:tc>
        <w:tc>
          <w:tcPr>
            <w:tcBorders>
              <w:top w:val="single" w:color="AAAAAA" w:sz="1"/>
              <w:left w:val="single" w:color="AAAAAA" w:sz="1"/>
              <w:bottom w:val="single" w:color="AAAAAA" w:sz="1"/>
              <w:right w:val="single" w:color="AAAAAA" w:sz="1"/>
            </w:tcBorders>
            <w:shd w:fill="1B5E8C" w:val="clear"/>
            <w:tcMar>
              <w:top w:type="dxa" w:w="100"/>
              <w:left w:type="dxa" w:w="160"/>
              <w:bottom w:type="dxa" w:w="100"/>
              <w:right w:type="dxa" w:w="160"/>
            </w:tcMar>
          </w:tcPr>
          <w:p>
            <w:r>
              <w:rPr>
                <w:rFonts w:ascii="微軟正黑體" w:cs="微軟正黑體" w:eastAsia="微軟正黑體" w:hAnsi="微軟正黑體"/>
                <w:b/>
                <w:bCs/>
                <w:color w:val="FFFFFF"/>
                <w:sz w:val="20"/>
                <w:szCs w:val="20"/>
              </w:rPr>
              <w:t xml:space="preserve">申報期間</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A類</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公共集會類（A-1、A-2）
電影院、戲院、集會堂等</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觀眾席≥200㎡或
總面積≥500㎡</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每年1次</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每年7月1日—12月31日</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B類</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商業類（B-1～B-4）
百貨公司、商場、旅館、KTV等</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各組規模依附表一</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每年1次</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每年7月1日—12月31日</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C類</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工業、倉儲類（C-1、C-2）</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樓地板面積≥500㎡</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每2年1次</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依附表一規定</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D類</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休閒、文教類（D-1～D-5）
體育館、補習班、健身房等</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各組規模依附表一</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每年1次</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每年7月1日—12月31日</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E類</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宗教、殯葬類（E）
寺廟、教堂等</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供公眾使用面積≥500㎡</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每2年1次</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依附表一規定</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F類</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衛生、福利、更生類（F-1～F-4）
醫院、護理之家、兒童福利機構等</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各組面積≥200㎡或依規模</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每年1次</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每年1月1日—6月30日</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G類</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辦公、服務類（G-1～G-3）
政府機關、辦公室、郵局等</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樓地板面積≥500㎡</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每2年1次</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依附表一規定</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H類</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住宿類（H-1旅館；H-2集合住宅）
H-2：6層以上集合住宅</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H-2：6層以上建築物</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每4年（6-7F）
每3年（8-15F）
每2年（16F以上）</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每年1月1日—3月31日</w:t>
            </w:r>
          </w:p>
        </w:tc>
      </w:tr>
    </w:tbl>
    <w:p>
      <w:pPr>
        <w:spacing w:after="80" w:before="120"/>
      </w:pPr>
    </w:p>
    <w:p>
      <w:pPr>
        <w:spacing w:after="80" w:before="80"/>
      </w:pPr>
      <w:r>
        <w:rPr>
          <w:rFonts w:ascii="微軟正黑體" w:cs="微軟正黑體" w:eastAsia="微軟正黑體" w:hAnsi="微軟正黑體"/>
          <w:b w:val="false"/>
          <w:bCs w:val="false"/>
          <w:sz w:val="22"/>
          <w:szCs w:val="22"/>
        </w:rPr>
        <w:t xml:space="preserve">※ H-2集合住宅類：各直轄市、縣（市）主管建築機關得依實際需求公告施行日期。</w:t>
      </w:r>
    </w:p>
    <w:p>
      <w:pPr>
        <w:spacing w:after="80" w:before="80"/>
      </w:pPr>
      <w:r>
        <w:rPr>
          <w:rFonts w:ascii="微軟正黑體" w:cs="微軟正黑體" w:eastAsia="微軟正黑體" w:hAnsi="微軟正黑體"/>
          <w:b w:val="false"/>
          <w:bCs w:val="false"/>
          <w:sz w:val="22"/>
          <w:szCs w:val="22"/>
        </w:rPr>
        <w:t xml:space="preserve">※ 申報期間每申報年開始前30日內完成之檢查，方為有效。</w:t>
      </w:r>
    </w:p>
    <w:p>
      <w:pPr>
        <w:pStyle w:val="Heading1"/>
        <w:spacing w:after="180" w:before="360"/>
      </w:pPr>
      <w:r>
        <w:rPr>
          <w:rFonts w:ascii="微軟正黑體" w:cs="微軟正黑體" w:eastAsia="微軟正黑體" w:hAnsi="微軟正黑體"/>
          <w:b/>
          <w:bCs/>
          <w:color w:val="1B5E8C"/>
          <w:sz w:val="28"/>
          <w:szCs w:val="28"/>
        </w:rPr>
        <w:t xml:space="preserve">七、耐震能力評估檢查申報規定</w:t>
      </w:r>
    </w:p>
    <w:p>
      <w:pPr>
        <w:spacing w:after="80" w:before="80"/>
      </w:pPr>
      <w:r>
        <w:rPr>
          <w:rFonts w:ascii="微軟正黑體" w:cs="微軟正黑體" w:eastAsia="微軟正黑體" w:hAnsi="微軟正黑體"/>
          <w:b w:val="false"/>
          <w:bCs w:val="false"/>
          <w:sz w:val="22"/>
          <w:szCs w:val="22"/>
        </w:rPr>
        <w:t xml:space="preserve">（依《建築物公共安全檢查簽證及申報辦法》第7至9條及附表三）</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Borders>
              <w:top w:val="single" w:color="AAAAAA" w:sz="1"/>
              <w:left w:val="single" w:color="AAAAAA" w:sz="1"/>
              <w:bottom w:val="single" w:color="AAAAAA" w:sz="1"/>
              <w:right w:val="single" w:color="AAAAAA" w:sz="1"/>
            </w:tcBorders>
            <w:shd w:fill="1B5E8C" w:val="clear"/>
            <w:tcMar>
              <w:top w:type="dxa" w:w="100"/>
              <w:left w:type="dxa" w:w="160"/>
              <w:bottom w:type="dxa" w:w="100"/>
              <w:right w:type="dxa" w:w="160"/>
            </w:tcMar>
          </w:tcPr>
          <w:p>
            <w:r>
              <w:rPr>
                <w:rFonts w:ascii="微軟正黑體" w:cs="微軟正黑體" w:eastAsia="微軟正黑體" w:hAnsi="微軟正黑體"/>
                <w:b/>
                <w:bCs/>
                <w:color w:val="FFFFFF"/>
                <w:sz w:val="20"/>
                <w:szCs w:val="20"/>
              </w:rPr>
              <w:t xml:space="preserve">項目</w:t>
            </w:r>
          </w:p>
        </w:tc>
        <w:tc>
          <w:tcPr>
            <w:tcBorders>
              <w:top w:val="single" w:color="AAAAAA" w:sz="1"/>
              <w:left w:val="single" w:color="AAAAAA" w:sz="1"/>
              <w:bottom w:val="single" w:color="AAAAAA" w:sz="1"/>
              <w:right w:val="single" w:color="AAAAAA" w:sz="1"/>
            </w:tcBorders>
            <w:shd w:fill="1B5E8C" w:val="clear"/>
            <w:tcMar>
              <w:top w:type="dxa" w:w="100"/>
              <w:left w:type="dxa" w:w="160"/>
              <w:bottom w:type="dxa" w:w="100"/>
              <w:right w:type="dxa" w:w="160"/>
            </w:tcMar>
          </w:tcPr>
          <w:p>
            <w:r>
              <w:rPr>
                <w:rFonts w:ascii="微軟正黑體" w:cs="微軟正黑體" w:eastAsia="微軟正黑體" w:hAnsi="微軟正黑體"/>
                <w:b/>
                <w:bCs/>
                <w:color w:val="FFFFFF"/>
                <w:sz w:val="20"/>
                <w:szCs w:val="20"/>
              </w:rPr>
              <w:t xml:space="preserve">說明</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應申報對象（類組）</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A-1、A-2、B-2、B-4、D-1、D-3、D-4、F-1、F-2、F-3、F-4、H-1 組</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建照取得時間</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中華民國88年12月31日以前領得建造執照</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規模條件</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樓地板面積累計達1,000㎡以上，且同屬一所有權人或使用人</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評估流程</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初步評估 → 若有疑慮則進行詳細評估 → 依結果決定是否補強或拆除</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免申報條件</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已完成整體結構補強，並檢附開業建築師或技師出具之補強成果報告書送主管機關備查者</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未改善者之後續申報</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在未完成補強或拆除前，每2年辦理1次耐震能力評估申報</w:t>
            </w:r>
          </w:p>
        </w:tc>
      </w:tr>
    </w:tbl>
    <w:p>
      <w:pPr>
        <w:spacing w:after="120" w:before="120"/>
      </w:pPr>
    </w:p>
    <w:p>
      <w:pPr>
        <w:spacing w:after="80" w:before="80"/>
      </w:pPr>
      <w:r>
        <w:rPr>
          <w:rFonts w:ascii="微軟正黑體" w:cs="微軟正黑體" w:eastAsia="微軟正黑體" w:hAnsi="微軟正黑體"/>
          <w:b w:val="false"/>
          <w:bCs w:val="false"/>
          <w:sz w:val="22"/>
          <w:szCs w:val="22"/>
        </w:rPr>
        <w:t xml:space="preserve">耐震能力評估申報分期說明：</w:t>
      </w:r>
    </w:p>
    <w:p>
      <w:pPr>
        <w:pStyle w:val="ListParagraph"/>
        <w:numPr>
          <w:ilvl w:val="0"/>
          <w:numId w:val="2"/>
        </w:numPr>
        <w:spacing w:after="60" w:before="60"/>
      </w:pPr>
      <w:r>
        <w:rPr>
          <w:rFonts w:ascii="微軟正黑體" w:cs="微軟正黑體" w:eastAsia="微軟正黑體" w:hAnsi="微軟正黑體"/>
          <w:sz w:val="22"/>
          <w:szCs w:val="22"/>
        </w:rPr>
        <w:t xml:space="preserve">第一期：A-1、A-2、B-2、B-4、D-1 → 民國107年起施行</w:t>
      </w:r>
    </w:p>
    <w:p>
      <w:pPr>
        <w:pStyle w:val="ListParagraph"/>
        <w:numPr>
          <w:ilvl w:val="0"/>
          <w:numId w:val="2"/>
        </w:numPr>
        <w:spacing w:after="60" w:before="60"/>
      </w:pPr>
      <w:r>
        <w:rPr>
          <w:rFonts w:ascii="微軟正黑體" w:cs="微軟正黑體" w:eastAsia="微軟正黑體" w:hAnsi="微軟正黑體"/>
          <w:sz w:val="22"/>
          <w:szCs w:val="22"/>
        </w:rPr>
        <w:t xml:space="preserve">第二期：D-3、D-4、F-1、F-2、F-3、F-4、H-1 → 民國109年起施行</w:t>
      </w:r>
    </w:p>
    <w:p>
      <w:pPr>
        <w:pStyle w:val="Heading1"/>
        <w:spacing w:after="180" w:before="360"/>
      </w:pPr>
      <w:r>
        <w:rPr>
          <w:rFonts w:ascii="微軟正黑體" w:cs="微軟正黑體" w:eastAsia="微軟正黑體" w:hAnsi="微軟正黑體"/>
          <w:b/>
          <w:bCs/>
          <w:color w:val="1B5E8C"/>
          <w:sz w:val="28"/>
          <w:szCs w:val="28"/>
        </w:rPr>
        <w:t xml:space="preserve">八、違規罰則彙整</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Borders>
              <w:top w:val="single" w:color="AAAAAA" w:sz="1"/>
              <w:left w:val="single" w:color="AAAAAA" w:sz="1"/>
              <w:bottom w:val="single" w:color="AAAAAA" w:sz="1"/>
              <w:right w:val="single" w:color="AAAAAA" w:sz="1"/>
            </w:tcBorders>
            <w:shd w:fill="1B5E8C" w:val="clear"/>
            <w:tcMar>
              <w:top w:type="dxa" w:w="100"/>
              <w:left w:type="dxa" w:w="160"/>
              <w:bottom w:type="dxa" w:w="100"/>
              <w:right w:type="dxa" w:w="160"/>
            </w:tcMar>
          </w:tcPr>
          <w:p>
            <w:r>
              <w:rPr>
                <w:rFonts w:ascii="微軟正黑體" w:cs="微軟正黑體" w:eastAsia="微軟正黑體" w:hAnsi="微軟正黑體"/>
                <w:b/>
                <w:bCs/>
                <w:color w:val="FFFFFF"/>
                <w:sz w:val="20"/>
                <w:szCs w:val="20"/>
              </w:rPr>
              <w:t xml:space="preserve">違規情形</w:t>
            </w:r>
          </w:p>
        </w:tc>
        <w:tc>
          <w:tcPr>
            <w:tcBorders>
              <w:top w:val="single" w:color="AAAAAA" w:sz="1"/>
              <w:left w:val="single" w:color="AAAAAA" w:sz="1"/>
              <w:bottom w:val="single" w:color="AAAAAA" w:sz="1"/>
              <w:right w:val="single" w:color="AAAAAA" w:sz="1"/>
            </w:tcBorders>
            <w:shd w:fill="1B5E8C" w:val="clear"/>
            <w:tcMar>
              <w:top w:type="dxa" w:w="100"/>
              <w:left w:type="dxa" w:w="160"/>
              <w:bottom w:type="dxa" w:w="100"/>
              <w:right w:type="dxa" w:w="160"/>
            </w:tcMar>
          </w:tcPr>
          <w:p>
            <w:r>
              <w:rPr>
                <w:rFonts w:ascii="微軟正黑體" w:cs="微軟正黑體" w:eastAsia="微軟正黑體" w:hAnsi="微軟正黑體"/>
                <w:b/>
                <w:bCs/>
                <w:color w:val="FFFFFF"/>
                <w:sz w:val="20"/>
                <w:szCs w:val="20"/>
              </w:rPr>
              <w:t xml:space="preserve">行政罰則（建築法第91條）</w:t>
            </w:r>
          </w:p>
        </w:tc>
        <w:tc>
          <w:tcPr>
            <w:tcBorders>
              <w:top w:val="single" w:color="AAAAAA" w:sz="1"/>
              <w:left w:val="single" w:color="AAAAAA" w:sz="1"/>
              <w:bottom w:val="single" w:color="AAAAAA" w:sz="1"/>
              <w:right w:val="single" w:color="AAAAAA" w:sz="1"/>
            </w:tcBorders>
            <w:shd w:fill="1B5E8C" w:val="clear"/>
            <w:tcMar>
              <w:top w:type="dxa" w:w="100"/>
              <w:left w:type="dxa" w:w="160"/>
              <w:bottom w:type="dxa" w:w="100"/>
              <w:right w:type="dxa" w:w="160"/>
            </w:tcMar>
          </w:tcPr>
          <w:p>
            <w:r>
              <w:rPr>
                <w:rFonts w:ascii="微軟正黑體" w:cs="微軟正黑體" w:eastAsia="微軟正黑體" w:hAnsi="微軟正黑體"/>
                <w:b/>
                <w:bCs/>
                <w:color w:val="FFFFFF"/>
                <w:sz w:val="20"/>
                <w:szCs w:val="20"/>
              </w:rPr>
              <w:t xml:space="preserve">刑事責任（建築法第91條之1）</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未按規定申報（未委託或未送件）</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處所有權人、使用人
NT$6萬元以上30萬元以下罰鍰，限期改善或補辦手續</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屆期未改善或補辦，繼續使用</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得連續處罰，並限期停止使用
必要時停水停電、封閉或命限期自行拆除</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因未維護構造及設備安全
致人於死</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處1年以上7年以下有期徒刑
得併科NT$100萬元以上500萬元以下罰金</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因未維護構造及設備安全
致人重傷</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處6個月以上5年以下有期徒刑
得併科NT$50萬元以上250萬元以下罰金</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阻撓或拒絕主管機關人員檢查</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處NT$6萬元以上30萬元以下罰鍰
並令限期改善</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w:t>
            </w:r>
          </w:p>
        </w:tc>
      </w:tr>
    </w:tbl>
    <w:p>
      <w:pPr>
        <w:pStyle w:val="Heading1"/>
        <w:spacing w:after="180" w:before="360"/>
      </w:pPr>
      <w:r>
        <w:rPr>
          <w:rFonts w:ascii="微軟正黑體" w:cs="微軟正黑體" w:eastAsia="微軟正黑體" w:hAnsi="微軟正黑體"/>
          <w:b/>
          <w:bCs/>
          <w:color w:val="1B5E8C"/>
          <w:sz w:val="28"/>
          <w:szCs w:val="28"/>
        </w:rPr>
        <w:t xml:space="preserve">九、主管機關及申報對象</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Borders>
              <w:top w:val="single" w:color="AAAAAA" w:sz="1"/>
              <w:left w:val="single" w:color="AAAAAA" w:sz="1"/>
              <w:bottom w:val="single" w:color="AAAAAA" w:sz="1"/>
              <w:right w:val="single" w:color="AAAAAA" w:sz="1"/>
            </w:tcBorders>
            <w:shd w:fill="1B5E8C" w:val="clear"/>
            <w:tcMar>
              <w:top w:type="dxa" w:w="100"/>
              <w:left w:type="dxa" w:w="160"/>
              <w:bottom w:type="dxa" w:w="100"/>
              <w:right w:type="dxa" w:w="160"/>
            </w:tcMar>
          </w:tcPr>
          <w:p>
            <w:r>
              <w:rPr>
                <w:rFonts w:ascii="微軟正黑體" w:cs="微軟正黑體" w:eastAsia="微軟正黑體" w:hAnsi="微軟正黑體"/>
                <w:b/>
                <w:bCs/>
                <w:color w:val="FFFFFF"/>
                <w:sz w:val="20"/>
                <w:szCs w:val="20"/>
              </w:rPr>
              <w:t xml:space="preserve">層級</w:t>
            </w:r>
          </w:p>
        </w:tc>
        <w:tc>
          <w:tcPr>
            <w:tcBorders>
              <w:top w:val="single" w:color="AAAAAA" w:sz="1"/>
              <w:left w:val="single" w:color="AAAAAA" w:sz="1"/>
              <w:bottom w:val="single" w:color="AAAAAA" w:sz="1"/>
              <w:right w:val="single" w:color="AAAAAA" w:sz="1"/>
            </w:tcBorders>
            <w:shd w:fill="1B5E8C" w:val="clear"/>
            <w:tcMar>
              <w:top w:type="dxa" w:w="100"/>
              <w:left w:type="dxa" w:w="160"/>
              <w:bottom w:type="dxa" w:w="100"/>
              <w:right w:type="dxa" w:w="160"/>
            </w:tcMar>
          </w:tcPr>
          <w:p>
            <w:r>
              <w:rPr>
                <w:rFonts w:ascii="微軟正黑體" w:cs="微軟正黑體" w:eastAsia="微軟正黑體" w:hAnsi="微軟正黑體"/>
                <w:b/>
                <w:bCs/>
                <w:color w:val="FFFFFF"/>
                <w:sz w:val="20"/>
                <w:szCs w:val="20"/>
              </w:rPr>
              <w:t xml:space="preserve">機關名稱</w:t>
            </w:r>
          </w:p>
        </w:tc>
        <w:tc>
          <w:tcPr>
            <w:tcBorders>
              <w:top w:val="single" w:color="AAAAAA" w:sz="1"/>
              <w:left w:val="single" w:color="AAAAAA" w:sz="1"/>
              <w:bottom w:val="single" w:color="AAAAAA" w:sz="1"/>
              <w:right w:val="single" w:color="AAAAAA" w:sz="1"/>
            </w:tcBorders>
            <w:shd w:fill="1B5E8C" w:val="clear"/>
            <w:tcMar>
              <w:top w:type="dxa" w:w="100"/>
              <w:left w:type="dxa" w:w="160"/>
              <w:bottom w:type="dxa" w:w="100"/>
              <w:right w:type="dxa" w:w="160"/>
            </w:tcMar>
          </w:tcPr>
          <w:p>
            <w:r>
              <w:rPr>
                <w:rFonts w:ascii="微軟正黑體" w:cs="微軟正黑體" w:eastAsia="微軟正黑體" w:hAnsi="微軟正黑體"/>
                <w:b/>
                <w:bCs/>
                <w:color w:val="FFFFFF"/>
                <w:sz w:val="20"/>
                <w:szCs w:val="20"/>
              </w:rPr>
              <w:t xml:space="preserve">主要職掌</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中央</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內政部（國土管理署）</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訂定辦法、認可專業機構及人員、督導地方執行</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直轄市</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各直轄市政府工務局（建管處）</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受理申報、查核、複查、開罰</w:t>
            </w:r>
          </w:p>
        </w:tc>
      </w:tr>
      <w:tr>
        <w:trPr>
          <w:tblHeader w:val="false"/>
        </w:trPr>
        <w:tc>
          <w:tcPr>
            <w:tcBorders>
              <w:top w:val="single" w:color="AAAAAA" w:sz="1"/>
              <w:left w:val="single" w:color="AAAAAA" w:sz="1"/>
              <w:bottom w:val="single" w:color="AAAAAA" w:sz="1"/>
              <w:right w:val="single" w:color="AAAAAA" w:sz="1"/>
            </w:tcBorders>
            <w:shd w:fill="E8F0F8"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縣（市）</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各縣市政府工務局或建管單位</w:t>
            </w:r>
          </w:p>
        </w:tc>
        <w:tc>
          <w:tcPr>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微軟正黑體" w:cs="微軟正黑體" w:eastAsia="微軟正黑體" w:hAnsi="微軟正黑體"/>
                <w:b w:val="false"/>
                <w:bCs w:val="false"/>
                <w:color w:val="000000"/>
                <w:sz w:val="20"/>
                <w:szCs w:val="20"/>
              </w:rPr>
              <w:t xml:space="preserve">受理申報、查核、複查、開罰</w:t>
            </w:r>
          </w:p>
        </w:tc>
      </w:tr>
    </w:tbl>
    <w:p>
      <w:pPr>
        <w:spacing w:after="120" w:before="120"/>
      </w:pPr>
    </w:p>
    <w:p>
      <w:pPr>
        <w:spacing w:after="80" w:before="80"/>
      </w:pPr>
      <w:r>
        <w:rPr>
          <w:rFonts w:ascii="微軟正黑體" w:cs="微軟正黑體" w:eastAsia="微軟正黑體" w:hAnsi="微軟正黑體"/>
          <w:b/>
          <w:bCs/>
          <w:sz w:val="22"/>
          <w:szCs w:val="22"/>
        </w:rPr>
        <w:t xml:space="preserve">申報對象一覽：</w:t>
      </w:r>
    </w:p>
    <w:p>
      <w:pPr>
        <w:pStyle w:val="ListParagraph"/>
        <w:numPr>
          <w:ilvl w:val="0"/>
          <w:numId w:val="2"/>
        </w:numPr>
        <w:spacing w:after="60" w:before="60"/>
      </w:pPr>
      <w:r>
        <w:rPr>
          <w:rFonts w:ascii="微軟正黑體" w:cs="微軟正黑體" w:eastAsia="微軟正黑體" w:hAnsi="微軟正黑體"/>
          <w:sz w:val="22"/>
          <w:szCs w:val="22"/>
        </w:rPr>
        <w:t xml:space="preserve">一般建築物：建築物所有權人或使用人</w:t>
      </w:r>
    </w:p>
    <w:p>
      <w:pPr>
        <w:pStyle w:val="ListParagraph"/>
        <w:numPr>
          <w:ilvl w:val="0"/>
          <w:numId w:val="2"/>
        </w:numPr>
        <w:spacing w:after="60" w:before="60"/>
      </w:pPr>
      <w:r>
        <w:rPr>
          <w:rFonts w:ascii="微軟正黑體" w:cs="微軟正黑體" w:eastAsia="微軟正黑體" w:hAnsi="微軟正黑體"/>
          <w:sz w:val="22"/>
          <w:szCs w:val="22"/>
        </w:rPr>
        <w:t xml:space="preserve">公寓大廈：得由管理委員會主任委員或管理負責人代為申報</w:t>
      </w:r>
    </w:p>
    <w:p>
      <w:pPr>
        <w:pStyle w:val="ListParagraph"/>
        <w:numPr>
          <w:ilvl w:val="0"/>
          <w:numId w:val="2"/>
        </w:numPr>
        <w:spacing w:after="60" w:before="60"/>
      </w:pPr>
      <w:r>
        <w:rPr>
          <w:rFonts w:ascii="微軟正黑體" w:cs="微軟正黑體" w:eastAsia="微軟正黑體" w:hAnsi="微軟正黑體"/>
          <w:sz w:val="22"/>
          <w:szCs w:val="22"/>
        </w:rPr>
        <w:t xml:space="preserve">同一使用人之建築物：使用人得代為申報耐震能力評估檢查</w:t>
      </w:r>
    </w:p>
    <w:p>
      <w:pPr>
        <w:pStyle w:val="ListParagraph"/>
        <w:numPr>
          <w:ilvl w:val="0"/>
          <w:numId w:val="2"/>
        </w:numPr>
        <w:spacing w:after="60" w:before="60"/>
      </w:pPr>
      <w:r>
        <w:rPr>
          <w:rFonts w:ascii="微軟正黑體" w:cs="微軟正黑體" w:eastAsia="微軟正黑體" w:hAnsi="微軟正黑體"/>
          <w:sz w:val="22"/>
          <w:szCs w:val="22"/>
        </w:rPr>
        <w:t xml:space="preserve">整幢建築物供二種以上類組使用：以各類組面積分別合計，達規模者依各類組申報頻率辦理</w:t>
      </w:r>
    </w:p>
    <w:p>
      <w:pPr>
        <w:pStyle w:val="Heading1"/>
        <w:spacing w:after="180" w:before="360"/>
      </w:pPr>
      <w:r>
        <w:rPr>
          <w:rFonts w:ascii="微軟正黑體" w:cs="微軟正黑體" w:eastAsia="微軟正黑體" w:hAnsi="微軟正黑體"/>
          <w:b/>
          <w:bCs/>
          <w:color w:val="1B5E8C"/>
          <w:sz w:val="28"/>
          <w:szCs w:val="28"/>
        </w:rPr>
        <w:t xml:space="preserve">十、法規查詢資源</w:t>
      </w:r>
    </w:p>
    <w:p>
      <w:pPr>
        <w:spacing w:after="80" w:before="80"/>
      </w:pPr>
      <w:r>
        <w:rPr>
          <w:rFonts w:ascii="微軟正黑體" w:cs="微軟正黑體" w:eastAsia="微軟正黑體" w:hAnsi="微軟正黑體"/>
          <w:b w:val="false"/>
          <w:bCs w:val="false"/>
          <w:sz w:val="22"/>
          <w:szCs w:val="22"/>
        </w:rPr>
        <w:t xml:space="preserve">1. 全國法規資料庫（司法院）</w:t>
      </w:r>
    </w:p>
    <w:p>
      <w:pPr>
        <w:spacing w:after="80" w:before="80"/>
        <w:ind w:left="360"/>
      </w:pPr>
      <w:r>
        <w:rPr>
          <w:rFonts w:ascii="微軟正黑體" w:cs="微軟正黑體" w:eastAsia="微軟正黑體" w:hAnsi="微軟正黑體"/>
          <w:b w:val="false"/>
          <w:bCs w:val="false"/>
          <w:sz w:val="22"/>
          <w:szCs w:val="22"/>
        </w:rPr>
        <w:t xml:space="preserve">   https://law.moj.gov.tw  ← 母法及授權辦法正式版本</w:t>
      </w:r>
    </w:p>
    <w:p>
      <w:pPr>
        <w:spacing w:after="80" w:before="80"/>
      </w:pPr>
      <w:r>
        <w:rPr>
          <w:rFonts w:ascii="微軟正黑體" w:cs="微軟正黑體" w:eastAsia="微軟正黑體" w:hAnsi="微軟正黑體"/>
          <w:b w:val="false"/>
          <w:bCs w:val="false"/>
          <w:sz w:val="22"/>
          <w:szCs w:val="22"/>
        </w:rPr>
        <w:t xml:space="preserve">2. 內政部主管法規共用系統</w:t>
      </w:r>
    </w:p>
    <w:p>
      <w:pPr>
        <w:spacing w:after="80" w:before="80"/>
        <w:ind w:left="360"/>
      </w:pPr>
      <w:r>
        <w:rPr>
          <w:rFonts w:ascii="微軟正黑體" w:cs="微軟正黑體" w:eastAsia="微軟正黑體" w:hAnsi="微軟正黑體"/>
          <w:b w:val="false"/>
          <w:bCs w:val="false"/>
          <w:sz w:val="22"/>
          <w:szCs w:val="22"/>
        </w:rPr>
        <w:t xml:space="preserve">   https://glrs.moi.gov.tw  ← 內政部行政規則、要點、函令</w:t>
      </w:r>
    </w:p>
    <w:p>
      <w:pPr>
        <w:spacing w:after="80" w:before="80"/>
      </w:pPr>
      <w:r>
        <w:rPr>
          <w:rFonts w:ascii="微軟正黑體" w:cs="微軟正黑體" w:eastAsia="微軟正黑體" w:hAnsi="微軟正黑體"/>
          <w:b w:val="false"/>
          <w:bCs w:val="false"/>
          <w:sz w:val="22"/>
          <w:szCs w:val="22"/>
        </w:rPr>
        <w:t xml:space="preserve">3. 全國建築管理入口網</w:t>
      </w:r>
    </w:p>
    <w:p>
      <w:pPr>
        <w:spacing w:after="80" w:before="80"/>
        <w:ind w:left="360"/>
      </w:pPr>
      <w:r>
        <w:rPr>
          <w:rFonts w:ascii="微軟正黑體" w:cs="微軟正黑體" w:eastAsia="微軟正黑體" w:hAnsi="微軟正黑體"/>
          <w:b w:val="false"/>
          <w:bCs w:val="false"/>
          <w:sz w:val="22"/>
          <w:szCs w:val="22"/>
        </w:rPr>
        <w:t xml:space="preserve">   https://www.abri.gov.tw  ← 建築物公共安全標準檢查資訊</w:t>
      </w:r>
    </w:p>
    <w:p>
      <w:pPr>
        <w:spacing w:after="80" w:before="80"/>
      </w:pPr>
      <w:r>
        <w:rPr>
          <w:rFonts w:ascii="微軟正黑體" w:cs="微軟正黑體" w:eastAsia="微軟正黑體" w:hAnsi="微軟正黑體"/>
          <w:b w:val="false"/>
          <w:bCs w:val="false"/>
          <w:sz w:val="22"/>
          <w:szCs w:val="22"/>
        </w:rPr>
        <w:t xml:space="preserve">4. 內政部國土管理署全球資訊網</w:t>
      </w:r>
    </w:p>
    <w:p>
      <w:pPr>
        <w:spacing w:after="80" w:before="80"/>
        <w:ind w:left="360"/>
      </w:pPr>
      <w:r>
        <w:rPr>
          <w:rFonts w:ascii="微軟正黑體" w:cs="微軟正黑體" w:eastAsia="微軟正黑體" w:hAnsi="微軟正黑體"/>
          <w:b w:val="false"/>
          <w:bCs w:val="false"/>
          <w:sz w:val="22"/>
          <w:szCs w:val="22"/>
        </w:rPr>
        <w:t xml:space="preserve">   https://www.nlma.gov.tw  ← 法規公告、最新修正</w:t>
      </w:r>
    </w:p>
    <w:p>
      <w:pPr>
        <w:spacing w:after="80" w:before="80"/>
      </w:pPr>
      <w:r>
        <w:rPr>
          <w:rFonts w:ascii="微軟正黑體" w:cs="微軟正黑體" w:eastAsia="微軟正黑體" w:hAnsi="微軟正黑體"/>
          <w:b w:val="false"/>
          <w:bCs w:val="false"/>
          <w:sz w:val="22"/>
          <w:szCs w:val="22"/>
        </w:rPr>
        <w:t xml:space="preserve">5. 行政院公報資訊網</w:t>
      </w:r>
    </w:p>
    <w:p>
      <w:pPr>
        <w:spacing w:after="80" w:before="80"/>
        <w:ind w:left="360"/>
      </w:pPr>
      <w:r>
        <w:rPr>
          <w:rFonts w:ascii="微軟正黑體" w:cs="微軟正黑體" w:eastAsia="微軟正黑體" w:hAnsi="微軟正黑體"/>
          <w:b w:val="false"/>
          <w:bCs w:val="false"/>
          <w:sz w:val="22"/>
          <w:szCs w:val="22"/>
        </w:rPr>
        <w:t xml:space="preserve">   https://gazette.nat.gov.tw  ← 法規發布/修正原始令函</w:t>
      </w:r>
    </w:p>
    <w:p>
      <w:pPr>
        <w:spacing w:after="80" w:before="240"/>
      </w:pPr>
    </w:p>
    <w:p>
      <w:pPr>
        <w:pBdr>
          <w:top w:val="single" w:color="CCCCCC" w:sz="4" w:space="2"/>
        </w:pBdr>
        <w:spacing w:after="120" w:before="240"/>
      </w:pPr>
      <w:r>
        <w:rPr>
          <w:rFonts w:ascii="微軟正黑體" w:cs="微軟正黑體" w:eastAsia="微軟正黑體" w:hAnsi="微軟正黑體"/>
          <w:color w:val="666666"/>
          <w:sz w:val="18"/>
          <w:szCs w:val="18"/>
        </w:rPr>
        <w:t xml:space="preserve">【免責聲明】本文件係依公開資料整理彙編，供參考使用。法規如有修正，請以全國法規資料庫最新公布版本為準。如有申報疑義，請向當地主管建築機關洽詢。</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8C" w:sz="4" w:space="1"/>
      </w:pBdr>
      <w:spacing w:before="80"/>
      <w:jc w:val="center"/>
    </w:pPr>
    <w:r>
      <w:rPr>
        <w:rFonts w:ascii="微軟正黑體" w:cs="微軟正黑體" w:eastAsia="微軟正黑體" w:hAnsi="微軟正黑體"/>
        <w:color w:val="666666"/>
        <w:sz w:val="18"/>
        <w:szCs w:val="18"/>
      </w:rPr>
      <w:t xml:space="preserve">本文件依公開法規資料整理，最新修訂請以全國法規資料庫（law.moj.gov.tw）為準　　第 </w:t>
    </w:r>
    <w:r>
      <w:rPr>
        <w:rFonts w:ascii="微軟正黑體" w:cs="微軟正黑體" w:eastAsia="微軟正黑體" w:hAnsi="微軟正黑體"/>
        <w:color w:val="666666"/>
        <w:sz w:val="18"/>
        <w:szCs w:val="18"/>
      </w:rPr>
      <w:fldChar w:fldCharType="begin"/>
      <w:instrText xml:space="preserve">PAGE</w:instrText>
      <w:fldChar w:fldCharType="separate"/>
      <w:fldChar w:fldCharType="end"/>
    </w:r>
    <w:r>
      <w:rPr>
        <w:rFonts w:ascii="微軟正黑體" w:cs="微軟正黑體" w:eastAsia="微軟正黑體" w:hAnsi="微軟正黑體"/>
        <w:color w:val="666666"/>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8C" w:sz="6" w:space="1"/>
      </w:pBdr>
      <w:spacing w:after="100"/>
    </w:pPr>
    <w:r>
      <w:rPr>
        <w:rFonts w:ascii="微軟正黑體" w:cs="微軟正黑體" w:eastAsia="微軟正黑體" w:hAnsi="微軟正黑體"/>
        <w:b/>
        <w:bCs/>
        <w:color w:val="1B5E8C"/>
        <w:sz w:val="22"/>
        <w:szCs w:val="22"/>
      </w:rPr>
      <w:t xml:space="preserve">建築物公共安全檢查相關法規彙整</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軟正黑體" w:cs="微軟正黑體" w:eastAsia="微軟正黑體" w:hAnsi="微軟正黑體"/>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微軟正黑體" w:cs="微軟正黑體" w:eastAsia="微軟正黑體" w:hAnsi="微軟正黑體"/>
      <w:b/>
      <w:bCs/>
      <w:color w:val="1B5E8C"/>
      <w:sz w:val="28"/>
      <w:szCs w:val="28"/>
    </w:rPr>
  </w:style>
  <w:style w:type="paragraph" w:styleId="Heading2">
    <w:name w:val="Heading 2"/>
    <w:basedOn w:val="Normal"/>
    <w:next w:val="Normal"/>
    <w:qFormat/>
    <w:pPr>
      <w:spacing w:after="120" w:before="240"/>
      <w:outlineLvl w:val="1"/>
    </w:pPr>
    <w:rPr>
      <w:rFonts w:ascii="微軟正黑體" w:cs="微軟正黑體" w:eastAsia="微軟正黑體" w:hAnsi="微軟正黑體"/>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2026-04-21T10:29:28.160Z</dcterms:created>
  <dcterms:modified xsi:type="dcterms:W3CDTF">2026-04-21T10:29:28.162Z</dcterms:modified>
</cp:coreProperties>
</file>

<file path=docProps/custom.xml><?xml version="1.0" encoding="utf-8"?>
<Properties xmlns="http://schemas.openxmlformats.org/officeDocument/2006/custom-properties" xmlns:vt="http://schemas.openxmlformats.org/officeDocument/2006/docPropsVTypes"/>
</file>