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</w:rPr>
      </w:pPr>
      <w:r>
        <w:rPr>
          <w:rFonts w:hint="eastAsia" w:ascii="宋体" w:hAnsi="宋体" w:cs="宋体"/>
        </w:rPr>
        <w:t>软性亲水接触镜使用说明书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  <w:b/>
          <w:bCs/>
        </w:rPr>
        <w:t>敬告：</w:t>
      </w:r>
      <w:r>
        <w:rPr>
          <w:rFonts w:hint="eastAsia" w:ascii="宋体" w:hAnsi="宋体" w:cs="宋体"/>
        </w:rPr>
        <w:t>本说明书的目的在于指导配戴者如何正确配戴、护理软性亲水接触镜（以下简称：镜片或接触镜或软性镜）。请您在配戴前务必仔细阅读，并按照眼科医生或眼视光专业人士的指导下进行使用本产品。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【注册证编号】国械注准20193160242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【产品技术要求编号】国械注准20193160242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【产品名称】软性亲水接触镜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【商品名称】无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【英文名称】无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【型    号】</w:t>
      </w:r>
      <w:r>
        <w:rPr>
          <w:rFonts w:hint="eastAsia"/>
        </w:rPr>
        <w:t>单彩</w:t>
      </w:r>
      <w:r>
        <w:t>(H1C)</w:t>
      </w:r>
      <w:r>
        <w:rPr>
          <w:rFonts w:hint="eastAsia"/>
        </w:rPr>
        <w:t>、双彩</w:t>
      </w:r>
      <w:r>
        <w:t>(H2C)</w:t>
      </w:r>
      <w:r>
        <w:rPr>
          <w:rFonts w:hint="eastAsia"/>
        </w:rPr>
        <w:t>、三彩</w:t>
      </w:r>
      <w:r>
        <w:t>(H3C)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【规    格】无</w:t>
      </w:r>
    </w:p>
    <w:p>
      <w:pPr>
        <w:spacing w:line="36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【说明书批准及修改日期】</w:t>
      </w:r>
      <w:r>
        <w:rPr>
          <w:rFonts w:hint="eastAsia" w:ascii="宋体" w:hAnsi="宋体" w:cs="宋体"/>
          <w:b/>
          <w:bCs/>
        </w:rPr>
        <w:t>20190416修</w:t>
      </w:r>
      <w:r>
        <w:rPr>
          <w:rFonts w:hint="eastAsia" w:ascii="宋体" w:hAnsi="宋体" w:cs="宋体"/>
          <w:b/>
          <w:bCs/>
          <w:lang w:val="en-US" w:eastAsia="zh-CN"/>
        </w:rPr>
        <w:t>4</w:t>
      </w:r>
      <w:r>
        <w:rPr>
          <w:rFonts w:hint="eastAsia" w:ascii="宋体" w:hAnsi="宋体" w:cs="宋体"/>
          <w:b/>
          <w:bCs/>
        </w:rPr>
        <w:t>-20</w:t>
      </w:r>
      <w:r>
        <w:rPr>
          <w:rFonts w:hint="eastAsia" w:ascii="宋体" w:hAnsi="宋体" w:cs="宋体"/>
          <w:b/>
          <w:bCs/>
          <w:lang w:val="en-US" w:eastAsia="zh-CN"/>
        </w:rPr>
        <w:t>230101</w:t>
      </w:r>
    </w:p>
    <w:p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</w:rPr>
        <w:t>【版本号】</w:t>
      </w:r>
      <w:r>
        <w:rPr>
          <w:rFonts w:ascii="宋体" w:hAnsi="宋体" w:cs="宋体"/>
          <w:b/>
          <w:bCs/>
        </w:rPr>
        <w:t>1.</w:t>
      </w:r>
      <w:r>
        <w:rPr>
          <w:rFonts w:hint="eastAsia" w:ascii="宋体" w:hAnsi="宋体" w:cs="宋体" w:eastAsiaTheme="minorEastAsia"/>
          <w:b/>
          <w:bCs/>
          <w:lang w:val="en-US" w:eastAsia="zh-CN"/>
        </w:rPr>
        <w:t>5</w:t>
      </w:r>
    </w:p>
    <w:p>
      <w:pPr>
        <w:spacing w:before="120" w:beforeLines="5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【警示】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1.</w:t>
      </w:r>
      <w:r>
        <w:rPr>
          <w:rFonts w:hint="eastAsia" w:ascii="黑体" w:hAnsi="黑体" w:eastAsia="黑体" w:cs="黑体"/>
          <w:sz w:val="24"/>
          <w:szCs w:val="24"/>
        </w:rPr>
        <w:t>本产品直接接触角膜，若不遵守使用方法或相关注意事项，则可能造成多种眼疾，甚至失明。使用前请务必认真阅读本说明书，遵从医嘱，按照正确的使用方法使用。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2.</w:t>
      </w:r>
      <w:r>
        <w:rPr>
          <w:rFonts w:hint="eastAsia" w:ascii="黑体" w:hAnsi="黑体" w:eastAsia="黑体" w:cs="黑体"/>
          <w:sz w:val="24"/>
          <w:szCs w:val="24"/>
        </w:rPr>
        <w:t>建议经眼科医生检查评估后，再决定是否配戴本产品。配戴本产品，应由眼视光专业人士进行验配。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3.</w:t>
      </w:r>
      <w:r>
        <w:rPr>
          <w:rFonts w:hint="eastAsia" w:ascii="黑体" w:hAnsi="黑体" w:eastAsia="黑体" w:cs="黑体"/>
          <w:sz w:val="24"/>
          <w:szCs w:val="24"/>
        </w:rPr>
        <w:t>由于配戴本品可使配戴者发生角、结膜损害危险性增高，甚至出现角膜炎、角膜溃疡等眼部疾病，因此当出现眼分泌物增加、眼红、眼痛、畏光、异物感、流泪、视力下降等异常现象时，应立刻中止配戴，并尽快去医院接受眼科医师的检查，延误治疗可能会发生永久性视力损害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4.</w:t>
      </w:r>
      <w:r>
        <w:rPr>
          <w:rFonts w:hint="eastAsia" w:ascii="黑体" w:hAnsi="黑体" w:eastAsia="黑体" w:cs="黑体"/>
          <w:sz w:val="24"/>
          <w:szCs w:val="24"/>
        </w:rPr>
        <w:t>即使正确使用本产品，由于存在个体差异仍可能产生如角膜内皮细胞减少、角膜新生血管形成等改变。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5.</w:t>
      </w:r>
      <w:r>
        <w:rPr>
          <w:rFonts w:hint="eastAsia" w:ascii="黑体" w:hAnsi="黑体" w:eastAsia="黑体" w:cs="黑体"/>
          <w:sz w:val="24"/>
          <w:szCs w:val="24"/>
        </w:rPr>
        <w:t>配戴者必须遵循眼科专业人员的指导及产品使用说明。禁用洗涤液、肥皂等其他代用品清洁镜片，禁用酒精等其他代用品消毒镜片。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6.</w:t>
      </w:r>
      <w:r>
        <w:rPr>
          <w:rFonts w:hint="eastAsia" w:ascii="黑体" w:hAnsi="黑体" w:eastAsia="黑体" w:cs="黑体"/>
          <w:sz w:val="24"/>
          <w:szCs w:val="24"/>
        </w:rPr>
        <w:t>严格按【配戴时间表】配戴。日戴镜片不能用于睡眠配戴。临床已经证明：日戴镜片睡眠配戴，发生严重不良事件的危险性将大幅提高。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7.</w:t>
      </w:r>
      <w:r>
        <w:rPr>
          <w:rFonts w:hint="eastAsia" w:ascii="黑体" w:hAnsi="黑体" w:eastAsia="黑体" w:cs="黑体"/>
          <w:sz w:val="24"/>
          <w:szCs w:val="24"/>
        </w:rPr>
        <w:t>初次戴镜者应在配镜后第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天、第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周、第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月、第</w:t>
      </w:r>
      <w:r>
        <w:rPr>
          <w:rFonts w:ascii="黑体" w:hAnsi="黑体" w:eastAsia="黑体" w:cs="黑体"/>
          <w:sz w:val="24"/>
          <w:szCs w:val="24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月定期到医院复查，随后即使无任何不适亦建议定期（或遵医嘱）去医院进行眼部检查。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>.已灭菌，开封前确认包装是否破损。如包装破损，请勿使用本产品。</w:t>
      </w:r>
    </w:p>
    <w:p>
      <w:pPr>
        <w:spacing w:line="480" w:lineRule="exact"/>
        <w:ind w:left="426" w:leftChars="67" w:hanging="285" w:hangingChars="11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9.</w:t>
      </w:r>
      <w:r>
        <w:rPr>
          <w:rFonts w:hint="eastAsia" w:ascii="黑体" w:hAnsi="黑体" w:eastAsia="黑体" w:cs="黑体"/>
          <w:sz w:val="24"/>
          <w:szCs w:val="24"/>
        </w:rPr>
        <w:t>本品属于医疗器械，购买使用前请确认产品标签上是否印有医疗器械注册号。</w:t>
      </w:r>
    </w:p>
    <w:p>
      <w:pPr>
        <w:spacing w:line="480" w:lineRule="exact"/>
        <w:ind w:left="286" w:hanging="285" w:hangingChars="119"/>
        <w:rPr>
          <w:rFonts w:ascii="黑体" w:hAnsi="黑体" w:cs="黑体" w:eastAsiaTheme="minorEastAsia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0</w:t>
      </w:r>
      <w:r>
        <w:rPr>
          <w:rFonts w:ascii="黑体" w:hAnsi="黑体" w:eastAsia="黑体" w:cs="黑体"/>
          <w:sz w:val="24"/>
          <w:szCs w:val="24"/>
        </w:rPr>
        <w:t>.</w:t>
      </w:r>
      <w:r>
        <w:rPr>
          <w:rFonts w:hint="eastAsia" w:ascii="黑体" w:hAnsi="黑体" w:eastAsia="黑体" w:cs="黑体"/>
          <w:sz w:val="24"/>
          <w:szCs w:val="24"/>
        </w:rPr>
        <w:t>平光装饰性镜片，不具矫正屈光不正功能，但与矫正功能镜片具有同样风险，应谨慎使用。</w:t>
      </w:r>
    </w:p>
    <w:p>
      <w:pPr>
        <w:spacing w:line="360" w:lineRule="auto"/>
        <w:rPr>
          <w:rFonts w:ascii="宋体" w:hAnsi="宋体" w:cs="宋体" w:eastAsiaTheme="minorEastAsia"/>
        </w:rPr>
      </w:pPr>
    </w:p>
    <w:p>
      <w:pPr>
        <w:spacing w:after="120" w:afterLines="50"/>
        <w:rPr>
          <w:rFonts w:ascii="宋体" w:hAnsi="宋体" w:cs="宋体"/>
        </w:rPr>
      </w:pPr>
      <w:r>
        <w:rPr>
          <w:rFonts w:hint="eastAsia" w:ascii="宋体" w:hAnsi="宋体" w:cs="宋体"/>
        </w:rPr>
        <w:t>【特别说明】本产品由消费者个人使用，望消费者在采购前务必咨询销售商及学会使用配戴及护理方法。</w:t>
      </w:r>
    </w:p>
    <w:p>
      <w:pPr>
        <w:spacing w:after="120" w:afterLines="50"/>
        <w:rPr>
          <w:rFonts w:ascii="宋体" w:hAnsi="宋体" w:cs="宋体"/>
        </w:rPr>
      </w:pPr>
      <w:r>
        <w:rPr>
          <w:rFonts w:hint="eastAsia" w:ascii="宋体" w:hAnsi="宋体" w:cs="宋体"/>
        </w:rPr>
        <w:t>【适用范围】本产品为日戴、月抛型镜片，用于无禁忌症患者矫正近视。</w:t>
      </w:r>
    </w:p>
    <w:p>
      <w:pPr>
        <w:spacing w:after="120" w:afterLines="50"/>
        <w:rPr>
          <w:rFonts w:ascii="宋体"/>
          <w:color w:val="000000"/>
        </w:rPr>
      </w:pPr>
      <w:r>
        <w:rPr>
          <w:rFonts w:hint="eastAsia" w:ascii="宋体" w:hAnsi="宋体" w:cs="宋体"/>
        </w:rPr>
        <w:t>【禁忌】</w:t>
      </w:r>
    </w:p>
    <w:p>
      <w:pPr>
        <w:spacing w:after="120" w:afterLines="50"/>
        <w:rPr>
          <w:rFonts w:hint="eastAsia"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1.</w:t>
      </w:r>
      <w:r>
        <w:rPr>
          <w:rFonts w:hint="eastAsia" w:ascii="宋体" w:hAnsi="宋体" w:cs="宋体"/>
        </w:rPr>
        <w:t>患有各种眼部疾患：如眼部急性或慢性炎症、青光眼、角膜知觉异常、角膜上皮缺损、角膜内皮细胞减少、干眼症等，经眼科医生判断不能配戴。</w:t>
      </w:r>
    </w:p>
    <w:p>
      <w:pPr>
        <w:spacing w:after="120" w:afterLines="50"/>
        <w:rPr>
          <w:rFonts w:hint="eastAsia"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2.</w:t>
      </w:r>
      <w:r>
        <w:rPr>
          <w:rFonts w:hint="eastAsia" w:ascii="宋体" w:hAnsi="宋体" w:cs="宋体"/>
        </w:rPr>
        <w:t>患有可能影响眼部的全身性疾病，经眼科医生判断不能配戴。</w:t>
      </w:r>
    </w:p>
    <w:p>
      <w:pPr>
        <w:spacing w:after="120" w:afterLines="50"/>
        <w:rPr>
          <w:rFonts w:hint="eastAsia"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3.</w:t>
      </w:r>
      <w:r>
        <w:rPr>
          <w:rFonts w:hint="eastAsia" w:ascii="宋体" w:hAnsi="宋体" w:cs="宋体"/>
        </w:rPr>
        <w:t>有接触镜过敏史或接触镜护理产品过敏史。</w:t>
      </w:r>
    </w:p>
    <w:p>
      <w:pPr>
        <w:spacing w:after="120" w:afterLines="50"/>
        <w:rPr>
          <w:rFonts w:hint="eastAsia"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4.</w:t>
      </w:r>
      <w:r>
        <w:rPr>
          <w:rFonts w:hint="eastAsia" w:ascii="宋体" w:hAnsi="宋体" w:cs="宋体"/>
        </w:rPr>
        <w:t>生活或工作环境不适宜配戴软性镜,例如空气中弥散粉尘、药品、气雾剂（如发胶、挥发性化学物）、灰尘等。</w:t>
      </w:r>
    </w:p>
    <w:p>
      <w:pPr>
        <w:spacing w:after="120" w:afterLines="50"/>
        <w:rPr>
          <w:rFonts w:hint="eastAsia"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5.</w:t>
      </w:r>
      <w:r>
        <w:rPr>
          <w:rFonts w:hint="eastAsia" w:ascii="宋体" w:hAnsi="宋体" w:cs="宋体"/>
        </w:rPr>
        <w:t>不能按要求使用软性镜者。</w:t>
      </w:r>
    </w:p>
    <w:p>
      <w:pPr>
        <w:spacing w:after="120" w:afterLines="50"/>
        <w:rPr>
          <w:rFonts w:hint="eastAsia"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6.</w:t>
      </w:r>
      <w:r>
        <w:rPr>
          <w:rFonts w:hint="eastAsia" w:ascii="宋体" w:hAnsi="宋体" w:cs="宋体"/>
        </w:rPr>
        <w:t>不能定期进行眼部检查者。</w:t>
      </w:r>
    </w:p>
    <w:p>
      <w:pPr>
        <w:spacing w:after="120" w:afterLines="50"/>
        <w:rPr>
          <w:rFonts w:hint="eastAsia"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7.</w:t>
      </w:r>
      <w:r>
        <w:rPr>
          <w:rFonts w:hint="eastAsia" w:ascii="宋体" w:hAnsi="宋体" w:cs="宋体"/>
        </w:rPr>
        <w:t>个人卫生条件不具备配戴软性镜所必需的卫生条件者。</w:t>
      </w:r>
    </w:p>
    <w:p>
      <w:pPr>
        <w:spacing w:before="120" w:beforeLines="50" w:after="120" w:afterLines="5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</w:rPr>
        <w:t>【注意事项】</w:t>
      </w:r>
    </w:p>
    <w:p>
      <w:pPr>
        <w:spacing w:after="120" w:afterLines="50"/>
        <w:rPr>
          <w:color w:val="333333"/>
        </w:rPr>
      </w:pPr>
      <w:r>
        <w:rPr>
          <w:rFonts w:hint="eastAsia" w:ascii="宋体" w:hAnsi="宋体" w:cs="宋体"/>
          <w:lang w:val="en-US" w:eastAsia="zh-CN"/>
        </w:rPr>
        <w:t>1.</w:t>
      </w:r>
      <w:r>
        <w:rPr>
          <w:rFonts w:hint="eastAsia" w:hAnsi="宋体" w:cs="宋体"/>
        </w:rPr>
        <w:t>每天配戴养成习惯，始终首先拿取、摘戴同一眼镜片以免混淆，建议按先右后左顺序。</w:t>
      </w:r>
      <w:r>
        <w:rPr>
          <w:rFonts w:hint="eastAsia" w:cs="宋体"/>
        </w:rPr>
        <w:t>摘下镜片放在对应标示的镜片盒中，若左右混淆，不能区分，请寻求</w:t>
      </w:r>
      <w:r>
        <w:rPr>
          <w:rFonts w:hint="eastAsia" w:ascii="宋体" w:hAnsi="宋体" w:cs="宋体"/>
        </w:rPr>
        <w:t>眼科医生或眼视光专业人士的帮助</w:t>
      </w:r>
      <w:r>
        <w:rPr>
          <w:rFonts w:hint="eastAsia" w:cs="宋体"/>
        </w:rPr>
        <w:t>。若</w:t>
      </w:r>
      <w:r>
        <w:rPr>
          <w:rFonts w:hint="eastAsia" w:cs="宋体"/>
          <w:color w:val="333333"/>
        </w:rPr>
        <w:t>软性镜配戴反了，眼睛会有明显的不适、刺痛的感觉。常用下述方法区分镜片的正反面</w:t>
      </w:r>
      <w:bookmarkStart w:id="0" w:name="section_2"/>
      <w:bookmarkEnd w:id="0"/>
      <w:r>
        <w:rPr>
          <w:rFonts w:hint="eastAsia" w:cs="宋体"/>
          <w:color w:val="333333"/>
        </w:rPr>
        <w:t>（外观法）。把镜片放在手指上，如果边缘内扣像碗（如下图</w:t>
      </w:r>
      <w:r>
        <w:rPr>
          <w:color w:val="333333"/>
        </w:rPr>
        <w:t>1</w:t>
      </w:r>
      <w:r>
        <w:rPr>
          <w:rFonts w:hint="eastAsia" w:cs="宋体"/>
          <w:color w:val="333333"/>
        </w:rPr>
        <w:t>）就是正面，如果像碟子一样摊开（如下图</w:t>
      </w:r>
      <w:r>
        <w:rPr>
          <w:color w:val="333333"/>
        </w:rPr>
        <w:t>2</w:t>
      </w:r>
      <w:r>
        <w:rPr>
          <w:rFonts w:hint="eastAsia" w:cs="宋体"/>
          <w:color w:val="333333"/>
        </w:rPr>
        <w:t>）就是反面。</w:t>
      </w:r>
    </w:p>
    <w:p>
      <w:pPr>
        <w:widowControl/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ascii="宋体" w:eastAsiaTheme="minorEastAsia"/>
          <w:color w:val="333333"/>
          <w:kern w:val="0"/>
          <w:lang w:eastAsia="zh-TW"/>
        </w:rPr>
      </w:pPr>
      <w:r>
        <w:rPr>
          <w:rFonts w:ascii="宋体"/>
          <w:color w:val="333333"/>
          <w:kern w:val="0"/>
        </w:rPr>
        <w:drawing>
          <wp:inline distT="0" distB="0" distL="0" distR="0">
            <wp:extent cx="2705100" cy="1356360"/>
            <wp:effectExtent l="0" t="0" r="0" b="0"/>
            <wp:docPr id="1" name="图片 9" descr="怎么区分隐形眼镜正反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怎么区分隐形眼镜正反面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151" cy="136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120" w:afterLines="50"/>
        <w:rPr>
          <w:rFonts w:hAnsi="宋体"/>
        </w:rPr>
      </w:pPr>
      <w:r>
        <w:rPr>
          <w:rFonts w:hint="eastAsia" w:ascii="宋体" w:hAnsi="宋体" w:cs="宋体"/>
          <w:lang w:val="en-US" w:eastAsia="zh-CN"/>
        </w:rPr>
        <w:t>2.</w:t>
      </w:r>
      <w:r>
        <w:rPr>
          <w:rFonts w:hint="eastAsia" w:hAnsi="宋体"/>
        </w:rPr>
        <w:t>初次配戴</w:t>
      </w:r>
      <w:r>
        <w:rPr>
          <w:rFonts w:hint="eastAsia" w:ascii="宋体" w:hAnsi="宋体" w:cs="宋体"/>
        </w:rPr>
        <w:t>软性</w:t>
      </w:r>
      <w:r>
        <w:rPr>
          <w:rFonts w:hint="eastAsia" w:hAnsi="宋体"/>
        </w:rPr>
        <w:t>镜在最初的</w:t>
      </w:r>
      <w:r>
        <w:rPr>
          <w:rFonts w:hAnsi="宋体"/>
        </w:rPr>
        <w:t>1</w:t>
      </w:r>
      <w:r>
        <w:rPr>
          <w:rFonts w:hint="eastAsia" w:hAnsi="宋体"/>
        </w:rPr>
        <w:t>～</w:t>
      </w:r>
      <w:r>
        <w:rPr>
          <w:rFonts w:hAnsi="宋体"/>
        </w:rPr>
        <w:t>2</w:t>
      </w:r>
      <w:r>
        <w:rPr>
          <w:rFonts w:hint="eastAsia" w:hAnsi="宋体"/>
        </w:rPr>
        <w:t>周内可能有轻微的镜片移动感或不适感，一般可以自行消失。如果异物感较为明显，或者出现视物模糊、眼红、畏光、流泪等刺激症状则应及时摘下镜片寻找原因。导致上述问题的可能原因有：①镜片未居眼角膜中央；②镜片污浊破损；③左右戴反；④其他原因。若症状持续，应及时去医院接受眼科医师检查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3.本产品严禁加热或冰冻。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4.戴镜期间如需使用药品，尤其是滴眼液，须咨询医生。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5.如处于孕期、哺乳期或近期计划怀孕者请慎用，并须咨询医生。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6.如有角膜塑形镜配戴史，配戴软性镜前请咨询医生。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7.配戴软性镜进行洗浴、游泳及冲浪等水上或潜水活动时,软性镜有可能脱落，同时眼部感染的风险可能增高,因此不建议配戴。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8.不要在患病期间如感冒、发热和过度疲劳等情况下配戴软性镜。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9.请先戴上镜片后再上妆，先取下镜片后再卸妆。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10.如配戴软性镜时使用定型水、香水等喷雾剂，请小心使用并且紧闭双眼至烟雾消失,避免进入眼内。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11.请完全适应配戴软性镜后再从事机动车驾驶等操作。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12.不得与他人共用镜片。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13.不要放置于儿童易于触及的场所。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14.镜片离开眼睛暴露于空气中一定时间变干后，禁止再次使用该镜片。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15.在配戴期间请勿从事激烈的碰撞性及身体对抗性运动。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16.可以吸收紫外线的软性亲水接触</w:t>
      </w:r>
      <w:r>
        <w:rPr>
          <w:rFonts w:hint="cs" w:ascii="宋体" w:hAnsi="宋体" w:cs="宋体"/>
          <w:lang w:val="en-US" w:eastAsia="zh-CN"/>
        </w:rPr>
        <w:t>镜</w:t>
      </w:r>
      <w:r>
        <w:rPr>
          <w:rFonts w:hint="eastAsia" w:ascii="宋体" w:hAnsi="宋体" w:cs="宋体"/>
          <w:lang w:val="en-US" w:eastAsia="zh-CN"/>
        </w:rPr>
        <w:t>并不可用以替代其他必备的紫外线眼部护具，例如护目镜或太阳镜，因为软性亲水接触镜无法完全遮盖眼睛。</w:t>
      </w:r>
    </w:p>
    <w:p>
      <w:pPr>
        <w:spacing w:before="120" w:beforeLines="5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【配戴时间表】</w:t>
      </w:r>
    </w:p>
    <w:p>
      <w:pPr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本镜片为日戴型镜片。初次配戴时，可能会有不同程度的异物感，参照以下表</w:t>
      </w:r>
      <w:r>
        <w:rPr>
          <w:rFonts w:ascii="宋体" w:hAnsi="宋体" w:cs="宋体"/>
          <w:color w:val="000000"/>
        </w:rPr>
        <w:t>1</w:t>
      </w:r>
      <w:r>
        <w:rPr>
          <w:rFonts w:hint="eastAsia" w:ascii="宋体" w:hAnsi="宋体" w:cs="宋体"/>
          <w:color w:val="000000"/>
        </w:rPr>
        <w:t>时间进行配戴，可以使眼睛逐步适应软性镜。</w:t>
      </w:r>
    </w:p>
    <w:p>
      <w:pPr>
        <w:spacing w:line="360" w:lineRule="auto"/>
        <w:ind w:right="-52"/>
        <w:jc w:val="center"/>
        <w:rPr>
          <w:rFonts w:ascii="宋体"/>
        </w:rPr>
      </w:pPr>
      <w:r>
        <w:rPr>
          <w:rFonts w:hint="eastAsia" w:ascii="宋体" w:hAnsi="宋体" w:cs="宋体"/>
        </w:rPr>
        <w:t>表</w:t>
      </w:r>
      <w:r>
        <w:rPr>
          <w:rFonts w:ascii="宋体" w:hAnsi="宋体" w:cs="宋体"/>
        </w:rPr>
        <w:t xml:space="preserve">1 </w:t>
      </w:r>
      <w:r>
        <w:rPr>
          <w:rFonts w:hint="eastAsia" w:ascii="宋体" w:hAnsi="宋体" w:cs="宋体"/>
        </w:rPr>
        <w:t>配戴时间表</w:t>
      </w:r>
    </w:p>
    <w:tbl>
      <w:tblPr>
        <w:tblStyle w:val="1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080"/>
        <w:gridCol w:w="1080"/>
        <w:gridCol w:w="1080"/>
        <w:gridCol w:w="1080"/>
        <w:gridCol w:w="108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vAlign w:val="center"/>
          </w:tcPr>
          <w:p>
            <w:pPr>
              <w:ind w:right="-51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开始戴镜天数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1034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vAlign w:val="center"/>
          </w:tcPr>
          <w:p>
            <w:pPr>
              <w:ind w:right="-51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戴用时间（小时）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8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  <w:tc>
          <w:tcPr>
            <w:tcW w:w="1080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  <w:tc>
          <w:tcPr>
            <w:tcW w:w="1034" w:type="dxa"/>
            <w:vAlign w:val="center"/>
          </w:tcPr>
          <w:p>
            <w:pPr>
              <w:ind w:right="-51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</w:tr>
    </w:tbl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1.遵守配戴时间。初戴或长时间停戴后再戴者，从每天戴 4小时开始，每天增加 2 小时。日戴镜片勿戴镜睡眠。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2.建议一次配戴最长不超过表1中最长时间。配戴时间因人而异，不要超时配戴。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3.如果中途因停戴而间断配戴，则应按首次配戴时间重新适应。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4.镜片建议更换周期见表2，实际使用寿命请遵照眼科医生建议。</w:t>
      </w:r>
    </w:p>
    <w:p>
      <w:pPr>
        <w:spacing w:before="120" w:beforeLines="5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【性能结构及组成】</w:t>
      </w:r>
    </w:p>
    <w:p>
      <w:pPr>
        <w:rPr>
          <w:rFonts w:ascii="宋体"/>
        </w:rPr>
      </w:pPr>
      <w:r>
        <w:rPr>
          <w:rFonts w:hint="eastAsia" w:ascii="宋体" w:hAnsi="宋体" w:cs="宋体"/>
        </w:rPr>
        <w:t>镜片设计描述：镜片为单焦，球面镜片。</w:t>
      </w:r>
    </w:p>
    <w:p>
      <w:pPr>
        <w:spacing w:line="360" w:lineRule="auto"/>
        <w:rPr>
          <w:rFonts w:ascii="宋体"/>
        </w:rPr>
      </w:pPr>
      <w:bookmarkStart w:id="1" w:name="_GoBack"/>
      <w:r>
        <w:rPr>
          <w:rFonts w:hint="eastAsia" w:ascii="宋体" w:hAnsi="宋体" w:cs="宋体"/>
        </w:rPr>
        <w:t>镜片相关信息见下表</w:t>
      </w:r>
      <w:r>
        <w:rPr>
          <w:rFonts w:ascii="宋体" w:hAnsi="宋体" w:cs="宋体"/>
        </w:rPr>
        <w:t>2</w:t>
      </w:r>
    </w:p>
    <w:bookmarkEnd w:id="1"/>
    <w:p>
      <w:pPr>
        <w:spacing w:line="360" w:lineRule="auto"/>
        <w:jc w:val="center"/>
        <w:rPr>
          <w:rFonts w:ascii="宋体"/>
        </w:rPr>
      </w:pPr>
      <w:r>
        <w:rPr>
          <w:rFonts w:hint="eastAsia" w:ascii="宋体" w:hAnsi="宋体" w:cs="宋体"/>
        </w:rPr>
        <w:t>表</w:t>
      </w:r>
      <w:r>
        <w:rPr>
          <w:rFonts w:ascii="宋体" w:hAnsi="宋体" w:cs="宋体"/>
        </w:rPr>
        <w:t xml:space="preserve">2 </w:t>
      </w:r>
      <w:r>
        <w:rPr>
          <w:rFonts w:hint="eastAsia" w:ascii="宋体" w:hAnsi="宋体" w:cs="宋体"/>
        </w:rPr>
        <w:t>镜片相关信息</w:t>
      </w:r>
    </w:p>
    <w:tbl>
      <w:tblPr>
        <w:tblStyle w:val="11"/>
        <w:tblW w:w="9759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7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内容名称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内容或单位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镜片材料</w:t>
            </w:r>
          </w:p>
        </w:tc>
        <w:tc>
          <w:tcPr>
            <w:tcW w:w="79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/>
                <w:color w:val="FF0000"/>
              </w:rPr>
            </w:pPr>
            <w:r>
              <w:rPr>
                <w:rFonts w:ascii="宋体" w:hAnsi="宋体" w:cs="宋体"/>
              </w:rPr>
              <w:t>HEMA</w:t>
            </w:r>
            <w:r>
              <w:rPr>
                <w:rFonts w:hint="eastAsia" w:ascii="宋体" w:hAnsi="宋体" w:cs="宋体"/>
              </w:rPr>
              <w:t>、EGDMA、2-羟基-2-甲基-1-苯基-1-丙酮</w:t>
            </w:r>
            <w:r>
              <w:rPr>
                <w:rFonts w:hint="eastAsia" w:ascii="宋体" w:hAnsi="宋体" w:eastAsiaTheme="minorEastAsia"/>
                <w:sz w:val="18"/>
                <w:szCs w:val="18"/>
              </w:rPr>
              <w:t>(</w:t>
            </w:r>
            <w:r>
              <w:rPr>
                <w:rFonts w:hint="eastAsia" w:ascii="宋体" w:hAnsi="宋体" w:cs="宋体"/>
              </w:rPr>
              <w:t>1173</w:t>
            </w:r>
            <w:r>
              <w:rPr>
                <w:rFonts w:ascii="宋体" w:hAnsi="宋体" w:cs="宋体"/>
              </w:rPr>
              <w:t>)</w:t>
            </w:r>
            <w:r>
              <w:rPr>
                <w:rFonts w:hint="eastAsia" w:ascii="宋体" w:hAnsi="宋体" w:cs="宋体"/>
              </w:rPr>
              <w:t>及着色剂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保存液类型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氯化钠、磷酸二氢钠、磷酸一氢钠及纯化水调配而成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后顶焦度范围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0.00D</w:t>
            </w:r>
            <w:r>
              <w:rPr>
                <w:rFonts w:hint="eastAsia" w:ascii="宋体" w:hAnsi="宋体" w:cs="宋体"/>
              </w:rPr>
              <w:t>至</w:t>
            </w:r>
            <w:r>
              <w:rPr>
                <w:rFonts w:ascii="宋体" w:hAnsi="宋体" w:cs="宋体"/>
              </w:rPr>
              <w:t>-12.00D</w:t>
            </w:r>
            <w:r>
              <w:rPr>
                <w:rFonts w:hint="eastAsia" w:ascii="宋体" w:hAnsi="宋体" w:cs="宋体"/>
              </w:rPr>
              <w:t>，步长</w:t>
            </w:r>
            <w:r>
              <w:rPr>
                <w:rFonts w:ascii="宋体" w:hAnsi="宋体" w:cs="宋体"/>
              </w:rPr>
              <w:t>0.25D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折射率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1.4</w:t>
            </w:r>
            <w:r>
              <w:rPr>
                <w:rFonts w:hint="eastAsia" w:ascii="宋体" w:hAnsi="宋体" w:cs="宋体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含水量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 w:eastAsiaTheme="minorEastAsia"/>
                <w:lang w:eastAsia="zh-TW"/>
              </w:rPr>
              <w:t>38</w:t>
            </w:r>
            <w:r>
              <w:rPr>
                <w:rFonts w:ascii="宋体" w:hAnsi="宋体" w:cs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光透过率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/>
              </w:rPr>
              <w:t>模拟使用状态下，光透过率在标准照明体</w:t>
            </w:r>
            <w:r>
              <w:rPr>
                <w:rFonts w:ascii="宋体" w:hAnsi="宋体"/>
              </w:rPr>
              <w:t>D65</w:t>
            </w:r>
            <w:r>
              <w:rPr>
                <w:rFonts w:hint="eastAsia" w:ascii="宋体" w:hAnsi="宋体"/>
              </w:rPr>
              <w:t>和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下分别测定，其结果应都是</w:t>
            </w:r>
            <w:r>
              <w:rPr>
                <w:rFonts w:hint="eastAsia" w:ascii="宋体" w:hAnsi="宋体" w:cs="宋体"/>
                <w:lang w:val="en-GB"/>
              </w:rPr>
              <w:t>≥</w:t>
            </w:r>
            <w:r>
              <w:rPr>
                <w:rFonts w:ascii="宋体" w:hAnsi="宋体" w:cs="宋体"/>
              </w:rPr>
              <w:t>89%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5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颜色</w:t>
            </w:r>
          </w:p>
        </w:tc>
        <w:tc>
          <w:tcPr>
            <w:tcW w:w="7909" w:type="dxa"/>
          </w:tcPr>
          <w:p>
            <w:pPr>
              <w:jc w:val="left"/>
            </w:pPr>
            <w:r>
              <w:rPr>
                <w:rFonts w:hint="eastAsia"/>
              </w:rPr>
              <w:t>单彩：黑色、金色、蓝色、绿色、灰色、棕色、紫色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双彩及三彩：金色、</w:t>
            </w:r>
            <w:r>
              <w:rPr>
                <w:rFonts w:hint="eastAsia" w:ascii="宋体" w:hAnsi="宋体" w:cs="宋体"/>
              </w:rPr>
              <w:t>蓝色</w:t>
            </w:r>
            <w:r>
              <w:rPr>
                <w:rFonts w:hint="eastAsia"/>
              </w:rPr>
              <w:t>、绿色、灰色、棕色、紫色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基弧半径</w:t>
            </w:r>
          </w:p>
        </w:tc>
        <w:tc>
          <w:tcPr>
            <w:tcW w:w="7909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 w:hAnsi="宋体" w:cs="宋体"/>
              </w:rPr>
              <w:t>8.00mm</w:t>
            </w:r>
            <w:r>
              <w:rPr>
                <w:rFonts w:hint="eastAsia" w:ascii="宋体" w:hAnsi="宋体" w:cs="宋体"/>
              </w:rPr>
              <w:t>~</w:t>
            </w:r>
            <w:r>
              <w:rPr>
                <w:rFonts w:ascii="宋体" w:hAnsi="宋体" w:cs="宋体"/>
              </w:rPr>
              <w:t>9.00mm</w:t>
            </w:r>
            <w:r>
              <w:rPr>
                <w:rFonts w:hint="eastAsia" w:ascii="宋体" w:hAnsi="宋体" w:cs="宋体"/>
              </w:rPr>
              <w:t>，步长</w:t>
            </w:r>
            <w:r>
              <w:rPr>
                <w:rFonts w:ascii="宋体" w:hAnsi="宋体" w:cs="宋体"/>
              </w:rPr>
              <w:t>0.1</w:t>
            </w:r>
            <w:r>
              <w:rPr>
                <w:rFonts w:hint="eastAsia" w:ascii="宋体" w:hAnsi="宋体" w:cs="宋体"/>
              </w:rPr>
              <w:t>0</w:t>
            </w:r>
            <w:r>
              <w:rPr>
                <w:rFonts w:ascii="宋体" w:hAnsi="宋体" w:cs="宋体"/>
              </w:rPr>
              <w:t>mm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/>
              </w:rPr>
              <w:t>具体标称值详见无菌包装标签。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总直径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12.9mm~14.5mm</w:t>
            </w:r>
            <w:r>
              <w:rPr>
                <w:rFonts w:hint="eastAsia"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</w:rPr>
              <w:t>步长</w:t>
            </w:r>
            <w:r>
              <w:rPr>
                <w:rFonts w:ascii="宋体" w:hAnsi="宋体" w:cs="宋体"/>
              </w:rPr>
              <w:t>0.10mm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/>
              </w:rPr>
              <w:t>具体标称值详见无菌包装标签。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中心厚度</w:t>
            </w:r>
          </w:p>
        </w:tc>
        <w:tc>
          <w:tcPr>
            <w:tcW w:w="7909" w:type="dxa"/>
          </w:tcPr>
          <w:p>
            <w:pPr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</w:rPr>
              <w:t>0.08~0.10mm，步长0.01mm，</w:t>
            </w:r>
            <w:r>
              <w:rPr>
                <w:rFonts w:hint="eastAsia"/>
              </w:rPr>
              <w:t>具体标称值详见无菌包装标签</w:t>
            </w:r>
            <w:r>
              <w:rPr>
                <w:rFonts w:hint="eastAsia"/>
                <w:b/>
                <w:bCs/>
                <w:lang w:val="en-US" w:eastAsia="zh-CN"/>
              </w:rPr>
              <w:t>或最小销售包装上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透氧系数</w:t>
            </w:r>
          </w:p>
        </w:tc>
        <w:tc>
          <w:tcPr>
            <w:tcW w:w="7909" w:type="dxa"/>
            <w:vAlign w:val="center"/>
          </w:tcPr>
          <w:p>
            <w:pPr>
              <w:rPr>
                <w:rFonts w:hint="eastAsia" w:ascii="宋体" w:eastAsia="宋体"/>
                <w:i w:val="0"/>
                <w:iCs w:val="0"/>
                <w:color w:val="FF0000"/>
                <w:lang w:val="en-US" w:eastAsia="zh-CN"/>
              </w:rPr>
            </w:pPr>
            <w:r>
              <w:rPr>
                <w:i w:val="0"/>
                <w:iCs w:val="0"/>
              </w:rPr>
              <w:t>8.6×10</w:t>
            </w:r>
            <w:r>
              <w:rPr>
                <w:i w:val="0"/>
                <w:iCs w:val="0"/>
                <w:vertAlign w:val="superscript"/>
              </w:rPr>
              <w:t>-11</w:t>
            </w:r>
            <w:r>
              <w:rPr>
                <w:rFonts w:hint="eastAsia"/>
                <w:i w:val="0"/>
                <w:iCs w:val="0"/>
              </w:rPr>
              <w:t>(</w:t>
            </w:r>
            <w:r>
              <w:rPr>
                <w:i w:val="0"/>
                <w:iCs w:val="0"/>
              </w:rPr>
              <w:t>cm</w:t>
            </w:r>
            <w:r>
              <w:rPr>
                <w:i w:val="0"/>
                <w:iCs w:val="0"/>
                <w:vertAlign w:val="superscript"/>
              </w:rPr>
              <w:t>2</w:t>
            </w:r>
            <w:r>
              <w:rPr>
                <w:i w:val="0"/>
                <w:iCs w:val="0"/>
              </w:rPr>
              <w:t>/s) [mlO</w:t>
            </w:r>
            <w:r>
              <w:rPr>
                <w:i w:val="0"/>
                <w:iCs w:val="0"/>
                <w:vertAlign w:val="subscript"/>
              </w:rPr>
              <w:t>2</w:t>
            </w:r>
            <w:r>
              <w:rPr>
                <w:i w:val="0"/>
                <w:iCs w:val="0"/>
              </w:rPr>
              <w:t>/(ml</w:t>
            </w:r>
            <w:r>
              <w:rPr>
                <w:i w:val="0"/>
                <w:iCs w:val="0"/>
              </w:rPr>
              <w:object>
                <v:shape id="_x0000_i1025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7">
                  <o:LockedField>false</o:LockedField>
                </o:OLEObject>
              </w:object>
            </w:r>
            <w:r>
              <w:rPr>
                <w:i w:val="0"/>
                <w:iCs w:val="0"/>
              </w:rPr>
              <w:t>hPa)]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或 11.5</w:t>
            </w:r>
            <w:r>
              <w:rPr>
                <w:i w:val="0"/>
                <w:iCs w:val="0"/>
              </w:rPr>
              <w:t>×10</w:t>
            </w:r>
            <w:r>
              <w:rPr>
                <w:i w:val="0"/>
                <w:iCs w:val="0"/>
                <w:vertAlign w:val="superscript"/>
              </w:rPr>
              <w:t>-11</w:t>
            </w:r>
            <w:r>
              <w:rPr>
                <w:rFonts w:hint="eastAsia"/>
                <w:i w:val="0"/>
                <w:iCs w:val="0"/>
              </w:rPr>
              <w:t>(</w:t>
            </w:r>
            <w:r>
              <w:rPr>
                <w:i w:val="0"/>
                <w:iCs w:val="0"/>
              </w:rPr>
              <w:t>cm</w:t>
            </w:r>
            <w:r>
              <w:rPr>
                <w:i w:val="0"/>
                <w:iCs w:val="0"/>
                <w:vertAlign w:val="superscript"/>
              </w:rPr>
              <w:t>2</w:t>
            </w:r>
            <w:r>
              <w:rPr>
                <w:i w:val="0"/>
                <w:iCs w:val="0"/>
              </w:rPr>
              <w:t>/s) [mlO</w:t>
            </w:r>
            <w:r>
              <w:rPr>
                <w:i w:val="0"/>
                <w:iCs w:val="0"/>
                <w:vertAlign w:val="subscript"/>
              </w:rPr>
              <w:t>2</w:t>
            </w:r>
            <w:r>
              <w:rPr>
                <w:i w:val="0"/>
                <w:iCs w:val="0"/>
              </w:rPr>
              <w:t>/(ml</w:t>
            </w:r>
            <w:r>
              <w:rPr>
                <w:i w:val="0"/>
                <w:iCs w:val="0"/>
              </w:rPr>
              <w:object>
                <v:shape id="_x0000_i1026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9">
                  <o:LockedField>false</o:LockedField>
                </o:OLEObject>
              </w:object>
            </w:r>
            <w:r>
              <w:rPr>
                <w:rFonts w:hint="eastAsia"/>
                <w:i w:val="0"/>
                <w:iCs w:val="0"/>
                <w:lang w:val="en-US" w:eastAsia="zh-CN"/>
              </w:rPr>
              <w:t>mmHg</w:t>
            </w:r>
            <w:r>
              <w:rPr>
                <w:i w:val="0"/>
                <w:iCs w:val="0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透氧量</w:t>
            </w:r>
          </w:p>
        </w:tc>
        <w:tc>
          <w:tcPr>
            <w:tcW w:w="7909" w:type="dxa"/>
          </w:tcPr>
          <w:p>
            <w:pPr>
              <w:rPr>
                <w:rFonts w:ascii="宋体"/>
                <w:i w:val="0"/>
                <w:iCs w:val="0"/>
                <w:color w:val="FF0000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10.8</w:t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×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b/>
                <w:bCs/>
                <w:i w:val="0"/>
                <w:iCs w:val="0"/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-9</w: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cm/s) [mlO</w:t>
            </w:r>
            <w:r>
              <w:rPr>
                <w:b/>
                <w:bCs/>
                <w:i w:val="0"/>
                <w:iCs w:val="0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/(ml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object>
                <v:shape id="_x0000_i1027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hPa)]</w: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或 14.4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×10</w:t>
            </w:r>
            <w:r>
              <w:rPr>
                <w:b/>
                <w:bCs/>
                <w:i w:val="0"/>
                <w:iCs w:val="0"/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cm/s) [mlO</w:t>
            </w:r>
            <w:r>
              <w:rPr>
                <w:b/>
                <w:bCs/>
                <w:i w:val="0"/>
                <w:iCs w:val="0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/(ml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object>
                <v:shape id="_x0000_i1028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1">
                  <o:LockedField>false</o:LockedField>
                </o:OLEObject>
              </w:objec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mmHg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)]</w: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-3.00D</w:t>
            </w: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配戴方式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日戴</w:t>
            </w:r>
            <w:r>
              <w:rPr>
                <w:rFonts w:ascii="宋体" w:hAnsi="宋体" w:cs="宋体"/>
              </w:rPr>
              <w:t>月抛</w:t>
            </w:r>
            <w:r>
              <w:rPr>
                <w:rFonts w:hint="eastAsia" w:ascii="宋体" w:hAnsi="宋体" w:cs="宋体"/>
              </w:rPr>
              <w:t>型，每一天最长戴镜时间不超过表</w:t>
            </w: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t>中最长时间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hint="eastAsia" w:ascii="宋体" w:hAnsi="宋体" w:cs="宋体"/>
              </w:rPr>
              <w:t>建议更换周期</w:t>
            </w:r>
          </w:p>
        </w:tc>
        <w:tc>
          <w:tcPr>
            <w:tcW w:w="7909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hint="eastAsia" w:ascii="宋体" w:hAnsi="宋体" w:cs="宋体"/>
              </w:rPr>
              <w:t>最长更换周期为</w:t>
            </w:r>
            <w:r>
              <w:rPr>
                <w:rFonts w:ascii="宋体" w:hAnsi="宋体" w:cs="宋体"/>
              </w:rPr>
              <w:t>1月</w:t>
            </w:r>
            <w:r>
              <w:rPr>
                <w:rFonts w:hint="eastAsia" w:ascii="宋体" w:hAnsi="宋体" w:cs="宋体"/>
              </w:rPr>
              <w:t>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灭菌方式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蒸汽湿热灭菌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生产日期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见标签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有效期</w:t>
            </w:r>
          </w:p>
        </w:tc>
        <w:tc>
          <w:tcPr>
            <w:tcW w:w="7909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 w:eastAsiaTheme="minorEastAsia"/>
                <w:lang w:eastAsia="zh-TW"/>
              </w:rPr>
              <w:t>5</w:t>
            </w:r>
            <w:r>
              <w:rPr>
                <w:rFonts w:hint="eastAsia" w:ascii="宋体" w:hAnsi="宋体" w:cs="宋体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50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hint="eastAsia" w:ascii="宋体" w:hAnsi="宋体" w:cs="宋体"/>
              </w:rPr>
              <w:t>初包装材料</w:t>
            </w:r>
          </w:p>
        </w:tc>
        <w:tc>
          <w:tcPr>
            <w:tcW w:w="7909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hint="eastAsia" w:ascii="宋体" w:hAnsi="宋体" w:cs="宋体"/>
              </w:rPr>
              <w:t>聚丙烯盒</w:t>
            </w:r>
            <w:r>
              <w:rPr>
                <w:rFonts w:ascii="宋体" w:hAnsi="宋体" w:cs="宋体"/>
              </w:rPr>
              <w:t>+</w:t>
            </w:r>
            <w:r>
              <w:rPr>
                <w:rFonts w:hint="eastAsia" w:ascii="宋体" w:hAnsi="宋体" w:cs="宋体"/>
              </w:rPr>
              <w:t>铝箔纸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0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贮存条件</w:t>
            </w:r>
          </w:p>
        </w:tc>
        <w:tc>
          <w:tcPr>
            <w:tcW w:w="7909" w:type="dxa"/>
          </w:tcPr>
          <w:p>
            <w:pPr>
              <w:rPr>
                <w:rFonts w:ascii="宋体" w:eastAsia="PMingLiU"/>
              </w:rPr>
            </w:pPr>
            <w:r>
              <w:rPr>
                <w:rFonts w:hint="eastAsia" w:ascii="宋体" w:hAnsi="宋体" w:cs="宋体"/>
              </w:rPr>
              <w:t>镜片应贮存于无腐蚀气体环境中，贮存温度5</w:t>
            </w:r>
            <w:r>
              <w:rPr>
                <w:rFonts w:hint="eastAsia"/>
              </w:rPr>
              <w:t>～</w:t>
            </w:r>
            <w:r>
              <w:rPr>
                <w:rFonts w:hint="eastAsia" w:ascii="宋体" w:hAnsi="宋体" w:cs="宋体"/>
              </w:rPr>
              <w:t>30℃、相对湿度40</w:t>
            </w:r>
            <w:r>
              <w:rPr>
                <w:rFonts w:hint="eastAsia"/>
              </w:rPr>
              <w:t>～</w:t>
            </w:r>
            <w:r>
              <w:rPr>
                <w:rFonts w:hint="eastAsia" w:ascii="宋体" w:hAnsi="宋体" w:cs="宋体"/>
              </w:rPr>
              <w:t>70%</w:t>
            </w:r>
          </w:p>
        </w:tc>
      </w:tr>
    </w:tbl>
    <w:p>
      <w:pPr>
        <w:rPr>
          <w:rFonts w:ascii="宋体" w:hAnsi="宋体" w:cs="宋体"/>
          <w:color w:val="000000"/>
        </w:rPr>
      </w:pPr>
    </w:p>
    <w:p>
      <w:pPr>
        <w:spacing w:before="240" w:beforeLines="10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【工作原理或作用机理】</w:t>
      </w:r>
    </w:p>
    <w:p>
      <w:pPr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软性亲水接触镜主要是用于矫正因近视引起的屈光不正。在上述这些屈光不正中，光线不能恰当地聚焦在视网膜上，从而导致视力模糊。当镜片置于角膜上时，就作为眼睛前面的光学元件，其光学作用与眼睛结合起来，光线将恰好聚焦在视网膜上，从而带来了清晰的视力。</w:t>
      </w:r>
    </w:p>
    <w:p>
      <w:pPr>
        <w:rPr>
          <w:rFonts w:ascii="宋体"/>
          <w:color w:val="000000"/>
        </w:rPr>
      </w:pPr>
    </w:p>
    <w:p>
      <w:pPr>
        <w:spacing w:before="120" w:beforeLines="5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【包装内部件】</w:t>
      </w:r>
    </w:p>
    <w:p>
      <w:pPr>
        <w:rPr>
          <w:rFonts w:ascii="宋体" w:hAnsi="宋体" w:cs="宋体" w:eastAsiaTheme="minorEastAsia"/>
        </w:rPr>
      </w:pPr>
      <w:r>
        <w:rPr>
          <w:rFonts w:hint="eastAsia" w:ascii="宋体" w:hAnsi="宋体" w:cs="宋体"/>
        </w:rPr>
        <w:t>盒装：初包装每盒一片，最小销售包装内的初包装片数会显示于包装上，并附有此使用说明书</w:t>
      </w:r>
    </w:p>
    <w:p>
      <w:pPr>
        <w:spacing w:before="120" w:beforeLines="5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【护理液使用注意事项】</w:t>
      </w:r>
    </w:p>
    <w:p>
      <w:r>
        <w:rPr>
          <w:rFonts w:hint="eastAsia"/>
        </w:rPr>
        <w:t>使用注意事项参考内容如下：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1.请严格按照不同类型护理液的说明书使用，使用顺序不得颠倒，不同的护理液不得混合或者替代使用，不建议使用双氧水系列护理液进行保养。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2.护理液须在货架有效期及开瓶有效期内使用，过期后必须丢弃。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3.手指、镜片或镜片盒等外界污物勿触及瓶口。打开瓶盖后，瓶盖内口向上放置。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4.常温、避光、干燥环境下保存。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5.护理液在正常使用期间发生混浊，或者使用过程中出现眼部不适，例如眼红、流泪等，应立即停止使用，并须咨询医生。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6.已经接触过镜片的护理液需抛弃，禁止重复使用。</w:t>
      </w:r>
    </w:p>
    <w:p>
      <w:pPr>
        <w:spacing w:before="240" w:beforeLines="10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【镜片配戴、摘取方法】</w:t>
      </w:r>
    </w:p>
    <w:p>
      <w:pPr>
        <w:spacing w:after="120" w:afterLines="50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1.注意：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fldChar w:fldCharType="begin"/>
      </w:r>
      <w:r>
        <w:rPr>
          <w:rFonts w:hint="eastAsia" w:ascii="宋体" w:hAnsi="宋体" w:cs="宋体"/>
          <w:lang w:val="en-US" w:eastAsia="zh-CN"/>
        </w:rPr>
        <w:instrText xml:space="preserve"> = 1 \* GB3 </w:instrText>
      </w:r>
      <w:r>
        <w:rPr>
          <w:rFonts w:hint="eastAsia" w:ascii="宋体" w:hAnsi="宋体" w:cs="宋体"/>
          <w:lang w:val="en-US" w:eastAsia="zh-CN"/>
        </w:rPr>
        <w:fldChar w:fldCharType="separate"/>
      </w:r>
      <w:r>
        <w:rPr>
          <w:rFonts w:hint="eastAsia" w:ascii="宋体" w:hAnsi="宋体" w:cs="宋体"/>
          <w:lang w:val="en-US" w:eastAsia="zh-CN"/>
        </w:rPr>
        <w:t>①</w:t>
      </w:r>
      <w:r>
        <w:rPr>
          <w:rFonts w:hint="eastAsia" w:ascii="宋体" w:hAnsi="宋体" w:cs="宋体"/>
          <w:lang w:val="en-US" w:eastAsia="zh-CN"/>
        </w:rPr>
        <w:fldChar w:fldCharType="end"/>
      </w:r>
      <w:r>
        <w:rPr>
          <w:rFonts w:hint="eastAsia" w:ascii="宋体" w:hAnsi="宋体" w:cs="宋体"/>
          <w:lang w:val="en-US" w:eastAsia="zh-CN"/>
        </w:rPr>
        <w:t>不要过度用力揉捏、摩擦镜片，以免损坏镜片；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②应严格依照规定的程序和要求清洁、去蛋白、冲洗、消毒、储存和配戴镜片,各步骤间不能相互替代；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③</w:t>
      </w:r>
      <w:r>
        <w:rPr>
          <w:rFonts w:hint="eastAsia" w:ascii="宋体" w:hAnsi="宋体" w:cs="宋体"/>
        </w:rPr>
        <w:t>镜</w:t>
      </w:r>
      <w:r>
        <w:rPr>
          <w:rFonts w:hint="eastAsia" w:ascii="宋体" w:hAnsi="宋体" w:cs="宋体"/>
          <w:lang w:val="en-US" w:eastAsia="zh-CN"/>
        </w:rPr>
        <w:t>片在配戴前必须用专用的具有消毒功能的护理液浸泡</w:t>
      </w:r>
      <w:r>
        <w:rPr>
          <w:rFonts w:hint="eastAsia" w:ascii="宋体" w:hAnsi="宋体" w:cs="宋体"/>
          <w:u w:val="single"/>
          <w:lang w:val="en-US" w:eastAsia="zh-CN"/>
        </w:rPr>
        <w:t xml:space="preserve"> 6 </w:t>
      </w:r>
      <w:r>
        <w:rPr>
          <w:rFonts w:hint="eastAsia" w:ascii="宋体" w:hAnsi="宋体" w:cs="宋体"/>
          <w:lang w:val="en-US" w:eastAsia="zh-CN"/>
        </w:rPr>
        <w:t>小时以上；</w:t>
      </w:r>
    </w:p>
    <w:p>
      <w:pPr>
        <w:spacing w:after="120" w:afterLines="50"/>
        <w:rPr>
          <w:rFonts w:eastAsiaTheme="minorEastAsia"/>
        </w:rPr>
      </w:pPr>
      <w:r>
        <w:rPr>
          <w:rFonts w:hint="eastAsia" w:ascii="宋体" w:hAnsi="宋体" w:cs="宋体"/>
          <w:lang w:val="en-US" w:eastAsia="zh-CN"/>
        </w:rPr>
        <w:t>④镜片保存未戴</w:t>
      </w:r>
      <w:r>
        <w:rPr>
          <w:rFonts w:hint="eastAsia" w:hAnsi="宋体"/>
        </w:rPr>
        <w:t>已超过</w:t>
      </w:r>
      <w:r>
        <w:rPr>
          <w:rFonts w:hint="eastAsia" w:hAnsi="宋体" w:eastAsiaTheme="minorEastAsia"/>
        </w:rPr>
        <w:t xml:space="preserve"> </w:t>
      </w:r>
      <w:r>
        <w:rPr>
          <w:rFonts w:hint="eastAsia" w:hAnsi="宋体" w:eastAsiaTheme="minorEastAsia"/>
          <w:color w:val="0000FF"/>
        </w:rPr>
        <w:t>24</w:t>
      </w:r>
      <w:r>
        <w:rPr>
          <w:rFonts w:hint="eastAsia" w:hAnsi="宋体" w:eastAsiaTheme="minorEastAsia"/>
          <w:color w:val="0000FF"/>
          <w:lang w:val="en-US" w:eastAsia="zh-CN"/>
        </w:rPr>
        <w:t>小</w:t>
      </w:r>
      <w:r>
        <w:rPr>
          <w:rFonts w:hint="eastAsia" w:hAnsi="宋体"/>
          <w:color w:val="0000FF"/>
        </w:rPr>
        <w:t>时</w:t>
      </w:r>
      <w:r>
        <w:rPr>
          <w:rFonts w:hint="eastAsia" w:hAnsi="宋体"/>
        </w:rPr>
        <w:t>，必须</w:t>
      </w:r>
      <w:r>
        <w:rPr>
          <w:rFonts w:hint="eastAsia" w:ascii="宋体" w:hAnsi="宋体" w:cs="宋体"/>
        </w:rPr>
        <w:t>重新</w:t>
      </w:r>
      <w:r>
        <w:rPr>
          <w:rFonts w:hint="eastAsia" w:hAnsi="宋体"/>
        </w:rPr>
        <w:t>清洗消毒后方能配戴。</w:t>
      </w:r>
    </w:p>
    <w:p>
      <w:pPr>
        <w:pStyle w:val="24"/>
        <w:numPr>
          <w:ilvl w:val="0"/>
          <w:numId w:val="0"/>
        </w:numPr>
        <w:spacing w:before="120" w:beforeLines="50"/>
        <w:rPr>
          <w:rFonts w:hAnsi="宋体"/>
          <w:b/>
          <w:bCs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2.准备</w:t>
      </w:r>
      <w:r>
        <w:rPr>
          <w:rFonts w:hint="eastAsia" w:hAnsi="宋体"/>
          <w:b/>
          <w:bCs/>
        </w:rPr>
        <w:t>阶段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①配戴方法要接受专业人员的具体指导；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②在每次触摸镜片前，都要用中性肥皂和流动的水充分洗手；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③保持指甲短而修剪齐整，在软性镜配戴、取出的过程中勿使指甲接触镜片；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④在干净、平整的桌面上戴摘镜片，以免脱落在地上或遗失，脱落在地上的镜片请不要再次使用；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⑤养成习惯，始终首先拿取、摘戴同一只镜片以免混淆，建议按先右后左顺序；</w:t>
      </w:r>
    </w:p>
    <w:p>
      <w:pPr>
        <w:spacing w:after="120" w:afterLines="50"/>
        <w:rPr>
          <w:rFonts w:hAnsi="宋体"/>
        </w:rPr>
      </w:pPr>
      <w:r>
        <w:rPr>
          <w:rFonts w:hint="eastAsia" w:ascii="宋体" w:hAnsi="宋体" w:cs="宋体"/>
          <w:lang w:val="en-US" w:eastAsia="zh-CN"/>
        </w:rPr>
        <w:t>⑥养成习惯，每次配戴前都要检查镜片外观是否符合要求，确认其湿润、清洁。镜片有斑点、残留杂物、气泡、裂</w:t>
      </w:r>
      <w:r>
        <w:rPr>
          <w:rFonts w:hint="eastAsia" w:hAnsi="宋体"/>
        </w:rPr>
        <w:t>纹、破损等外观出现异常情况时均不得使用。</w:t>
      </w:r>
    </w:p>
    <w:p>
      <w:pPr>
        <w:pStyle w:val="24"/>
        <w:numPr>
          <w:ilvl w:val="0"/>
          <w:numId w:val="0"/>
        </w:numPr>
        <w:spacing w:before="120" w:beforeLines="50"/>
        <w:rPr>
          <w:rFonts w:hAnsi="宋体"/>
          <w:b/>
          <w:bCs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3.镜片</w:t>
      </w:r>
      <w:r>
        <w:rPr>
          <w:rFonts w:hint="eastAsia" w:hAnsi="宋体"/>
          <w:b/>
          <w:bCs/>
        </w:rPr>
        <w:t>配戴步骤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①配戴前双手须保持清洁和干燥，将镜片内曲面向上托在指端；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②认准正反面；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③面向下俯视桌面上的镜子；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④用食指或中指按住配戴眼上眼皮边缘，将眼皮向上充分撑开，并按在眉弓上加以固定。用另一手的手指按住配戴眼下眼皮边缘，将下眼皮向下充分撑开；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⑤将镜片轻柔地放置在配戴眼暴露的角膜（黑眼球）中央部；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⑥轻轻眨眼数次，用纸巾拭去溢出眼外的液体（如有）。按上述方法先右后左依次配戴。在戴镜过程中，若镜片被挤出睑裂或掉落在桌面上，不要再次使用，重新取出新的镜片进行配戴。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</w:p>
    <w:p>
      <w:pPr>
        <w:pStyle w:val="24"/>
        <w:numPr>
          <w:ilvl w:val="0"/>
          <w:numId w:val="0"/>
        </w:numPr>
        <w:spacing w:before="120" w:beforeLines="50"/>
        <w:rPr>
          <w:rFonts w:hAnsi="宋体"/>
          <w:b/>
          <w:bCs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4.镜</w:t>
      </w:r>
      <w:r>
        <w:rPr>
          <w:rFonts w:hint="eastAsia" w:hAnsi="宋体"/>
          <w:b/>
          <w:bCs/>
        </w:rPr>
        <w:t>片摘取步骤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①按本节第2条准备阶段中要求做好准备；</w:t>
      </w:r>
    </w:p>
    <w:p>
      <w:pPr>
        <w:spacing w:after="120" w:after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②如同戴镜时的方法，充分撑开配戴眼的眼皮；</w:t>
      </w:r>
    </w:p>
    <w:p>
      <w:pPr>
        <w:spacing w:after="120" w:afterLines="50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③用拇指和食指的指腹轻捏镜片下</w:t>
      </w:r>
      <w:r>
        <w:rPr>
          <w:rFonts w:hint="eastAsia" w:ascii="宋体" w:hAnsi="宋体" w:cs="宋体"/>
        </w:rPr>
        <w:t>部，轻轻摘下镜片。</w:t>
      </w:r>
    </w:p>
    <w:p>
      <w:pPr>
        <w:spacing w:before="120" w:beforeLines="5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【镜片护理与存放】</w:t>
      </w:r>
    </w:p>
    <w:p>
      <w:pPr>
        <w:pStyle w:val="24"/>
        <w:numPr>
          <w:ilvl w:val="0"/>
          <w:numId w:val="0"/>
        </w:numPr>
        <w:spacing w:before="120" w:beforeLines="5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在镜片盒内事先注入</w:t>
      </w:r>
      <w:r>
        <w:t>2/3</w:t>
      </w:r>
      <w:r>
        <w:rPr>
          <w:rFonts w:hint="eastAsia"/>
        </w:rPr>
        <w:t>容量具消毒贮存功能的护理液。</w:t>
      </w:r>
    </w:p>
    <w:p>
      <w:pPr>
        <w:pStyle w:val="24"/>
        <w:numPr>
          <w:ilvl w:val="0"/>
          <w:numId w:val="0"/>
        </w:numPr>
        <w:spacing w:before="120" w:beforeLines="5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将摘下的镜片放置于手掌心，滴</w:t>
      </w:r>
      <w:r>
        <w:t>2</w:t>
      </w:r>
      <w:r>
        <w:rPr>
          <w:rFonts w:hint="eastAsia"/>
        </w:rPr>
        <w:t>～</w:t>
      </w:r>
      <w:r>
        <w:t>3</w:t>
      </w:r>
      <w:r>
        <w:rPr>
          <w:rFonts w:hint="eastAsia"/>
        </w:rPr>
        <w:t>滴推荐的具清洁功能护理液。</w:t>
      </w:r>
    </w:p>
    <w:p>
      <w:pPr>
        <w:pStyle w:val="24"/>
        <w:numPr>
          <w:ilvl w:val="0"/>
          <w:numId w:val="0"/>
        </w:numPr>
        <w:spacing w:before="120" w:beforeLines="5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用食指将镜片的正面和反面轻轻揉搓数次。</w:t>
      </w:r>
    </w:p>
    <w:p>
      <w:pPr>
        <w:pStyle w:val="24"/>
        <w:numPr>
          <w:ilvl w:val="0"/>
          <w:numId w:val="0"/>
        </w:numPr>
        <w:spacing w:before="120" w:beforeLines="5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用推荐的具冲洗功能护理液充分地冲洗镜片。冲洗过程中避免护理液瓶口与软性镜接触。</w:t>
      </w:r>
    </w:p>
    <w:p>
      <w:pPr>
        <w:pStyle w:val="24"/>
        <w:numPr>
          <w:ilvl w:val="0"/>
          <w:numId w:val="0"/>
        </w:numPr>
        <w:spacing w:before="120" w:beforeLines="5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将冲洗后的镜片，分别放入各自的镜片盒内，使用具有消毒功能的护理液浸泡6小时以上。</w:t>
      </w:r>
    </w:p>
    <w:p>
      <w:pPr>
        <w:pStyle w:val="24"/>
        <w:numPr>
          <w:ilvl w:val="0"/>
          <w:numId w:val="0"/>
        </w:numPr>
        <w:spacing w:before="120" w:beforeLines="5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镜片长期不用时，须经严格清洁、冲洗、消毒，并储存在具保存功能的护理液中，每天更换一次储存液。再次配戴前须充分地清洁、冲洗，并浸泡消毒6小时以上。</w:t>
      </w:r>
    </w:p>
    <w:p>
      <w:pPr>
        <w:pStyle w:val="24"/>
        <w:numPr>
          <w:ilvl w:val="0"/>
          <w:numId w:val="0"/>
        </w:numPr>
        <w:spacing w:before="120" w:beforeLines="50"/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清洁、去蛋白、冲洗、消毒各步骤不能相互替代。</w:t>
      </w:r>
    </w:p>
    <w:p>
      <w:pPr>
        <w:pStyle w:val="24"/>
        <w:numPr>
          <w:ilvl w:val="0"/>
          <w:numId w:val="0"/>
        </w:numPr>
        <w:spacing w:before="120" w:beforeLines="50"/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去蛋白酶片（液）清洗能够帮助除去镜片上的蛋白质沉积物。具有去蛋白功能的多功能护理液不能代替去蛋白酶片（液），去蛋白酶片（液）的使用也不能替代常规的清洁和消毒。一般建议每天使用去蛋白酶片（液）处理镜片一次，应认真按照去蛋白酶片（液）说明书进行操作。</w:t>
      </w:r>
    </w:p>
    <w:p>
      <w:pPr>
        <w:spacing w:before="240" w:beforeLines="10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【镜片盒的清洁】</w:t>
      </w:r>
    </w:p>
    <w:p>
      <w:pPr>
        <w:pStyle w:val="24"/>
        <w:numPr>
          <w:ilvl w:val="0"/>
          <w:numId w:val="0"/>
        </w:numPr>
        <w:spacing w:before="120" w:beforeLines="5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镜片盒是微生物污染的重要来源。为了防止眼部感染，应每日使用后对镜片盒进行清洁、冲洗、风干。</w:t>
      </w:r>
    </w:p>
    <w:p>
      <w:pPr>
        <w:pStyle w:val="24"/>
        <w:numPr>
          <w:ilvl w:val="0"/>
          <w:numId w:val="0"/>
        </w:numPr>
        <w:spacing w:before="120" w:beforeLines="5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每周用清洁的专用刷将镜片盒的内外用（此处填写推荐的溶液和方式）刷洗干净并风干，保持镜片盒清洁卫生。</w:t>
      </w:r>
    </w:p>
    <w:p>
      <w:pPr>
        <w:pStyle w:val="24"/>
        <w:numPr>
          <w:ilvl w:val="0"/>
          <w:numId w:val="0"/>
        </w:numPr>
        <w:spacing w:before="120" w:beforeLines="50"/>
        <w:rPr>
          <w:rFonts w:ascii="宋体" w:hAnsi="宋体" w:cs="宋体"/>
          <w:color w:val="000000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应按照镜片盒生产商或眼视光专业人员推荐的时间定期更换镜片盒。</w:t>
      </w:r>
    </w:p>
    <w:p>
      <w:pPr>
        <w:spacing w:before="240" w:beforeLines="100" w:after="120" w:afterLines="50" w:line="240" w:lineRule="exac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【紧急事件处理】</w:t>
      </w:r>
    </w:p>
    <w:p>
      <w:pPr>
        <w:pStyle w:val="24"/>
        <w:numPr>
          <w:ilvl w:val="0"/>
          <w:numId w:val="0"/>
        </w:numPr>
        <w:spacing w:before="120" w:beforeLines="50"/>
        <w:rPr>
          <w:rFonts w:hAnsi="宋体"/>
        </w:rPr>
      </w:pPr>
      <w:r>
        <w:rPr>
          <w:rFonts w:hint="eastAsia" w:hAnsi="宋体"/>
          <w:lang w:val="en-US" w:eastAsia="zh-CN"/>
        </w:rPr>
        <w:t>1.</w:t>
      </w:r>
      <w:r>
        <w:rPr>
          <w:rFonts w:hint="eastAsia" w:hAnsi="宋体"/>
        </w:rPr>
        <w:t>如果镜片粘附（停止活动）或无法取下，应直接滴数滴推荐的润</w:t>
      </w:r>
      <w:r>
        <w:rPr>
          <w:rFonts w:hint="eastAsia" w:ascii="PMingLiU" w:hAnsi="PMingLiU"/>
        </w:rPr>
        <w:t>眼</w:t>
      </w:r>
      <w:r>
        <w:rPr>
          <w:rFonts w:hint="eastAsia" w:hAnsi="宋体"/>
        </w:rPr>
        <w:t>液至眼内，待镜片能够在眼表面自由活动后将其取出。如果镜片仍不能取出，应立即到医院就诊。</w:t>
      </w:r>
    </w:p>
    <w:p>
      <w:pPr>
        <w:pStyle w:val="24"/>
        <w:numPr>
          <w:ilvl w:val="0"/>
          <w:numId w:val="0"/>
        </w:numPr>
        <w:spacing w:before="120" w:beforeLines="50"/>
        <w:rPr>
          <w:rFonts w:hint="eastAsia" w:hAnsi="宋体"/>
        </w:rPr>
      </w:pPr>
      <w:r>
        <w:rPr>
          <w:rFonts w:hint="eastAsia" w:hAnsi="宋体"/>
          <w:lang w:val="en-US" w:eastAsia="zh-CN"/>
        </w:rPr>
        <w:t>2.</w:t>
      </w:r>
      <w:r>
        <w:rPr>
          <w:rFonts w:hint="eastAsia" w:hAnsi="宋体"/>
        </w:rPr>
        <w:t>任何类型的化学物质（家用产品、各种溶液、实验室化学物质等）如溅入眼内，应用大量自来水冲洗眼睛，取下镜片，立即到医院就诊。</w:t>
      </w:r>
    </w:p>
    <w:p>
      <w:pPr>
        <w:pStyle w:val="24"/>
        <w:numPr>
          <w:ilvl w:val="0"/>
          <w:numId w:val="0"/>
        </w:numPr>
        <w:spacing w:before="120" w:beforeLines="50"/>
        <w:rPr>
          <w:rFonts w:hAnsi="宋体"/>
        </w:rPr>
      </w:pPr>
      <w:r>
        <w:rPr>
          <w:rFonts w:hint="eastAsia" w:hAnsi="宋体"/>
          <w:lang w:val="en-US" w:eastAsia="zh-CN"/>
        </w:rPr>
        <w:t>3.</w:t>
      </w:r>
      <w:r>
        <w:rPr>
          <w:rFonts w:hint="eastAsia" w:hAnsi="宋体"/>
        </w:rPr>
        <w:t>外界环境中的灰尘微粒进入眼内可能引起眼部不适，此时不得揉眼，可滴用润眼液，取出镜片后彻底清洗。如果不适感仍未消失，应立即到医院就诊。</w:t>
      </w:r>
    </w:p>
    <w:p>
      <w:pPr>
        <w:pStyle w:val="24"/>
        <w:numPr>
          <w:ilvl w:val="0"/>
          <w:numId w:val="0"/>
        </w:numPr>
        <w:spacing w:before="120" w:beforeLines="50" w:after="120" w:afterLines="50"/>
        <w:rPr>
          <w:rFonts w:ascii="宋体" w:hAnsi="宋体" w:cs="宋体"/>
          <w:color w:val="000000"/>
        </w:rPr>
      </w:pPr>
      <w:r>
        <w:rPr>
          <w:rFonts w:hint="eastAsia" w:hAnsi="宋体"/>
          <w:lang w:val="en-US" w:eastAsia="zh-CN"/>
        </w:rPr>
        <w:t>4.</w:t>
      </w:r>
      <w:r>
        <w:rPr>
          <w:rFonts w:hint="eastAsia" w:hAnsi="宋体"/>
        </w:rPr>
        <w:t>如果在配戴过程中镜片移位，可以对照镜子寻找移位的镜片，首先往镜片所在位置的相反方向看，用手指将移位镜片旁的眼皮固定，间接将镜片固定，但不要压住移位的镜片，慢慢往镜片方向看，这样移位的镜片可以重新回到角膜中央。如果上述方法不能使镜片复位，可将镜片取出后重新配戴。</w:t>
      </w:r>
    </w:p>
    <w:p>
      <w:pPr>
        <w:spacing w:before="120" w:beforeLines="50" w:after="120" w:afterLines="5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【储存条件、有效期】</w:t>
      </w:r>
    </w:p>
    <w:p>
      <w:pPr>
        <w:ind w:firstLine="420"/>
        <w:rPr>
          <w:rFonts w:ascii="宋体"/>
        </w:rPr>
      </w:pPr>
      <w:r>
        <w:rPr>
          <w:rFonts w:hint="eastAsia" w:ascii="宋体" w:hAnsi="宋体" w:cs="宋体"/>
        </w:rPr>
        <w:t>镜片贮存条件及自生产之日起有效期见表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。生产日期、批号及</w:t>
      </w:r>
      <w:r>
        <w:rPr>
          <w:rFonts w:hint="eastAsia" w:ascii="PMingLiU" w:hAnsi="PMingLiU" w:cs="宋体"/>
        </w:rPr>
        <w:t>失</w:t>
      </w:r>
      <w:r>
        <w:rPr>
          <w:rFonts w:hint="eastAsia" w:ascii="宋体" w:hAnsi="宋体" w:cs="宋体"/>
        </w:rPr>
        <w:t>效</w:t>
      </w:r>
      <w:r>
        <w:rPr>
          <w:rFonts w:hint="eastAsia" w:ascii="PMingLiU" w:hAnsi="PMingLiU" w:cs="宋体"/>
        </w:rPr>
        <w:t>日</w:t>
      </w:r>
      <w:r>
        <w:rPr>
          <w:rFonts w:hint="eastAsia" w:ascii="宋体" w:hAnsi="宋体" w:cs="宋体"/>
        </w:rPr>
        <w:t>期见标签。</w:t>
      </w:r>
    </w:p>
    <w:p>
      <w:pPr>
        <w:spacing w:line="380" w:lineRule="exact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请在无菌包装</w:t>
      </w:r>
      <w:r>
        <w:rPr>
          <w:rFonts w:hint="eastAsia" w:ascii="PMingLiU" w:hAnsi="PMingLiU" w:cs="宋体"/>
        </w:rPr>
        <w:t>（初包装）</w:t>
      </w:r>
      <w:r>
        <w:rPr>
          <w:rFonts w:hint="eastAsia" w:ascii="宋体" w:hAnsi="宋体" w:cs="宋体"/>
        </w:rPr>
        <w:t>（或外盒）所示的日期</w:t>
      </w:r>
      <w:r>
        <w:rPr>
          <w:rFonts w:hint="eastAsia" w:ascii="PMingLiU" w:hAnsi="PMingLiU" w:cs="宋体"/>
        </w:rPr>
        <w:t>（失效日期）</w:t>
      </w:r>
      <w:r>
        <w:rPr>
          <w:rFonts w:hint="eastAsia" w:ascii="宋体" w:hAnsi="宋体" w:cs="宋体"/>
        </w:rPr>
        <w:t>前使用。</w:t>
      </w:r>
    </w:p>
    <w:p>
      <w:pPr>
        <w:spacing w:line="380" w:lineRule="exact"/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>
      <w:pPr>
        <w:spacing w:before="120" w:beforeLines="50" w:after="120" w:afterLines="50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</w:rPr>
        <w:t>【图形、符号解释】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符号：以下符号可能出现在标签或外包装上</w:t>
      </w:r>
    </w:p>
    <w:p>
      <w:pPr>
        <w:ind w:firstLine="420"/>
        <w:rPr>
          <w:rFonts w:ascii="宋体"/>
        </w:rPr>
      </w:pPr>
    </w:p>
    <w:tbl>
      <w:tblPr>
        <w:tblStyle w:val="11"/>
        <w:tblW w:w="88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700"/>
        <w:gridCol w:w="1440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符号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说明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符号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  <w:sz w:val="24"/>
                <w:szCs w:val="24"/>
              </w:rPr>
              <w:drawing>
                <wp:inline distT="0" distB="0" distL="114300" distR="114300">
                  <wp:extent cx="762635" cy="273685"/>
                  <wp:effectExtent l="0" t="0" r="18415" b="12065"/>
                  <wp:docPr id="9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27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Times New Roman"/>
                <w:lang w:eastAsia="zh-TW"/>
              </w:rPr>
            </w:pPr>
            <w:r>
              <w:rPr>
                <w:rFonts w:hint="eastAsia" w:ascii="宋体" w:hAnsi="宋体" w:cs="宋体"/>
              </w:rPr>
              <w:t>蒸汽湿热灭菌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BC</w:t>
            </w:r>
            <w:r>
              <w:rPr>
                <w:rFonts w:hint="eastAsia" w:ascii="PMingLiU" w:hAnsi="PMingLiU" w:cs="宋体"/>
              </w:rPr>
              <w:t>或</w:t>
            </w:r>
            <w:r>
              <w:rPr>
                <w:rFonts w:ascii="PMingLiU" w:hAnsi="PMingLiU" w:cs="PMingLiU"/>
              </w:rPr>
              <w:t>r</w:t>
            </w:r>
            <w:r>
              <w:rPr>
                <w:rFonts w:ascii="PMingLiU" w:eastAsia="PMingLiU" w:cs="PMingLiU"/>
                <w:vertAlign w:val="subscript"/>
              </w:rPr>
              <w:t>0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基弧半径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drawing>
                <wp:inline distT="0" distB="0" distL="0" distR="0">
                  <wp:extent cx="381000" cy="342900"/>
                  <wp:effectExtent l="0" t="0" r="0" b="0"/>
                  <wp:docPr id="5" name="图片 3" descr="符號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符號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警告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F’v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后顶焦度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/>
                <w:color w:val="000000"/>
              </w:rPr>
              <w:drawing>
                <wp:inline distT="0" distB="0" distL="0" distR="0">
                  <wp:extent cx="571500" cy="295275"/>
                  <wp:effectExtent l="19050" t="0" r="0" b="0"/>
                  <wp:docPr id="6" name="图片 16" descr="符號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" descr="符號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批号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object>
                <v:shape id="_x0000_i1029" o:spt="75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5">
                  <o:LockedField>false</o:LockedField>
                </o:OLEObject>
              </w:objec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总直径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drawing>
                <wp:inline distT="0" distB="0" distL="0" distR="0">
                  <wp:extent cx="685800" cy="276225"/>
                  <wp:effectExtent l="19050" t="0" r="0" b="0"/>
                  <wp:docPr id="8" name="图片 2" descr="符號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 descr="符號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Times New Roman"/>
                <w:lang w:eastAsia="zh-TW"/>
              </w:rPr>
            </w:pPr>
            <w:r>
              <w:rPr>
                <w:rFonts w:hint="eastAsia" w:ascii="PMingLiU" w:hAnsi="PMingLiU" w:cs="宋体"/>
              </w:rPr>
              <w:t>失效日期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PMingLiU"/>
                <w:szCs w:val="24"/>
                <w:lang w:eastAsia="zh-TW"/>
              </w:rPr>
            </w:pPr>
            <w:r>
              <w:rPr>
                <w:position w:val="-12"/>
                <w:sz w:val="18"/>
                <w:szCs w:val="18"/>
              </w:rPr>
              <w:object>
                <v:shape id="_x0000_i1030" o:spt="75" type="#_x0000_t75" style="height:18pt;width:11.2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8">
                  <o:LockedField>false</o:LockedField>
                </o:OLEObject>
              </w:objec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PMingLiU" w:hAnsi="PMingLiU" w:cs="宋体"/>
              </w:rPr>
              <w:t>中心厚度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</w:tcPr>
          <w:p>
            <w:pPr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ascii="PMingLiU" w:eastAsia="PMingLiU" w:cs="PMingLiU"/>
                <w:color w:val="000000"/>
              </w:rPr>
              <w:drawing>
                <wp:inline distT="0" distB="0" distL="0" distR="0">
                  <wp:extent cx="276225" cy="276225"/>
                  <wp:effectExtent l="19050" t="0" r="9525" b="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hint="eastAsia" w:ascii="PMingLiU" w:hAnsi="PMingLiU" w:cs="宋体"/>
                <w:color w:val="000000"/>
              </w:rPr>
              <w:t>禁止二次使用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drawing>
                <wp:inline distT="0" distB="0" distL="0" distR="0">
                  <wp:extent cx="571500" cy="228600"/>
                  <wp:effectExtent l="19050" t="0" r="0" b="0"/>
                  <wp:docPr id="11" name="图片 1" descr="符號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 descr="符號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</w:tcPr>
          <w:p>
            <w:pPr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ascii="PMingLiU" w:eastAsia="Times New Roman"/>
                <w:color w:val="000000"/>
              </w:rPr>
              <w:drawing>
                <wp:inline distT="0" distB="0" distL="0" distR="0">
                  <wp:extent cx="285750" cy="171450"/>
                  <wp:effectExtent l="19050" t="0" r="0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color w:val="000000"/>
              </w:rPr>
              <w:t>或</w:t>
            </w:r>
            <w:r>
              <w:rPr>
                <w:color w:val="000000"/>
              </w:rPr>
              <w:t>MFGD</w:t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hint="eastAsia" w:ascii="PMingLiU" w:hAnsi="PMingLiU" w:cs="宋体"/>
                <w:color w:val="000000"/>
              </w:rPr>
              <w:t>生产日期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drawing>
                <wp:inline distT="0" distB="0" distL="0" distR="0">
                  <wp:extent cx="457200" cy="257175"/>
                  <wp:effectExtent l="19050" t="0" r="0" b="0"/>
                  <wp:docPr id="13" name="图片 22" descr="符號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2" descr="符號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需经医师处方指示使用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908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drawing>
                <wp:inline distT="0" distB="0" distL="0" distR="0">
                  <wp:extent cx="314325" cy="276225"/>
                  <wp:effectExtent l="19050" t="0" r="9525" b="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制造商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eastAsia="Times New Roman"/>
                <w:color w:val="000000"/>
                <w:lang w:eastAsia="zh-TW"/>
              </w:rPr>
            </w:pPr>
            <w:r>
              <w:rPr>
                <w:rFonts w:ascii="宋体"/>
                <w:color w:val="000000"/>
              </w:rPr>
              <w:drawing>
                <wp:inline distT="0" distB="0" distL="0" distR="0">
                  <wp:extent cx="352425" cy="238125"/>
                  <wp:effectExtent l="19050" t="0" r="9525" b="0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int="eastAsia" w:ascii="宋体" w:hAnsi="宋体" w:cs="宋体"/>
                <w:color w:val="000000"/>
              </w:rPr>
              <w:t>外盒可回收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1908" w:type="dxa"/>
          </w:tcPr>
          <w:p>
            <w:pPr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Ansi="Arial" w:cs="Arial"/>
                <w:sz w:val="20"/>
              </w:rPr>
              <w:drawing>
                <wp:inline distT="0" distB="0" distL="0" distR="0">
                  <wp:extent cx="400050" cy="400050"/>
                  <wp:effectExtent l="0" t="0" r="0" b="0"/>
                  <wp:docPr id="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</w:rPr>
              <w:t>如包装破损请勿使用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Ansi="Arial" w:cs="Arial"/>
                <w:sz w:val="22"/>
              </w:rPr>
              <w:drawing>
                <wp:inline distT="0" distB="0" distL="0" distR="0">
                  <wp:extent cx="428625" cy="381000"/>
                  <wp:effectExtent l="0" t="0" r="9525" b="0"/>
                  <wp:docPr id="7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55" t="8055" r="3146" b="11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查阅使用说明书</w:t>
            </w:r>
          </w:p>
        </w:tc>
      </w:tr>
    </w:tbl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【医疗器械生产许可证编号】</w:t>
      </w:r>
      <w:r>
        <w:rPr>
          <w:rFonts w:hint="eastAsia" w:ascii="宋体" w:hAnsi="宋体" w:cs="宋体"/>
          <w:b/>
          <w:bCs/>
        </w:rPr>
        <w:t>苏药监械生产许20190062号</w:t>
      </w:r>
    </w:p>
    <w:p>
      <w:pPr>
        <w:spacing w:line="360" w:lineRule="atLeast"/>
        <w:rPr>
          <w:rFonts w:ascii="宋体"/>
        </w:rPr>
      </w:pPr>
      <w:r>
        <w:rPr>
          <w:rFonts w:hint="eastAsia" w:ascii="宋体" w:hAnsi="宋体" w:cs="宋体"/>
        </w:rPr>
        <w:t>【生产企业</w:t>
      </w:r>
      <w:r>
        <w:rPr>
          <w:rFonts w:ascii="宋体" w:hAnsi="宋体" w:cs="宋体"/>
        </w:rPr>
        <w:t>/</w:t>
      </w:r>
      <w:r>
        <w:rPr>
          <w:rFonts w:hint="eastAsia" w:ascii="宋体" w:hAnsi="宋体" w:cs="宋体"/>
        </w:rPr>
        <w:t>注册人/售后服务机构】</w:t>
      </w:r>
    </w:p>
    <w:p>
      <w:pPr>
        <w:adjustRightInd w:val="0"/>
        <w:snapToGrid w:val="0"/>
        <w:spacing w:line="360" w:lineRule="atLeast"/>
        <w:ind w:right="-52"/>
        <w:rPr>
          <w:rFonts w:ascii="宋体"/>
        </w:rPr>
      </w:pPr>
      <w:r>
        <w:rPr>
          <w:rFonts w:hint="eastAsia" w:ascii="宋体" w:hAnsi="宋体" w:cs="宋体"/>
        </w:rPr>
        <w:t>企业名称：江苏视准医疗器械有限公司</w:t>
      </w:r>
    </w:p>
    <w:p>
      <w:pPr>
        <w:adjustRightInd w:val="0"/>
        <w:snapToGrid w:val="0"/>
        <w:spacing w:line="360" w:lineRule="atLeast"/>
        <w:ind w:right="-52"/>
        <w:rPr>
          <w:rFonts w:ascii="宋体"/>
        </w:rPr>
      </w:pPr>
      <w:r>
        <w:rPr>
          <w:rFonts w:hint="eastAsia" w:ascii="宋体" w:hAnsi="宋体" w:cs="宋体"/>
        </w:rPr>
        <w:t>住    所：丹阳市开发区高新技术创业园齐梁路19号</w:t>
      </w:r>
    </w:p>
    <w:p>
      <w:pPr>
        <w:adjustRightInd w:val="0"/>
        <w:snapToGrid w:val="0"/>
        <w:spacing w:line="360" w:lineRule="atLeast"/>
        <w:ind w:right="-52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生产地址：江苏省丹阳市生命科学产业园百胜路3号鱼跃医疗12&amp;15号楼</w:t>
      </w:r>
    </w:p>
    <w:p>
      <w:pPr>
        <w:adjustRightInd w:val="0"/>
        <w:snapToGrid w:val="0"/>
        <w:spacing w:line="360" w:lineRule="atLeast"/>
        <w:ind w:right="-52"/>
        <w:rPr>
          <w:rFonts w:ascii="宋体"/>
        </w:rPr>
      </w:pPr>
      <w:r>
        <w:rPr>
          <w:rFonts w:hint="eastAsia" w:ascii="宋体" w:hAnsi="宋体" w:cs="宋体"/>
        </w:rPr>
        <w:t>邮政编码：</w:t>
      </w:r>
      <w:r>
        <w:rPr>
          <w:rFonts w:ascii="宋体" w:hAnsi="宋体" w:cs="宋体"/>
        </w:rPr>
        <w:t>212300</w:t>
      </w:r>
    </w:p>
    <w:p>
      <w:pPr>
        <w:adjustRightInd w:val="0"/>
        <w:snapToGrid w:val="0"/>
        <w:spacing w:line="360" w:lineRule="atLeast"/>
        <w:ind w:right="-52"/>
        <w:rPr>
          <w:rFonts w:ascii="宋体"/>
        </w:rPr>
      </w:pPr>
      <w:r>
        <w:rPr>
          <w:rFonts w:hint="eastAsia" w:ascii="宋体" w:hAnsi="宋体" w:cs="宋体"/>
        </w:rPr>
        <w:t>电话号码：</w:t>
      </w:r>
      <w:r>
        <w:rPr>
          <w:rFonts w:ascii="宋体" w:hAnsi="宋体" w:cs="宋体"/>
        </w:rPr>
        <w:t>0511</w:t>
      </w:r>
      <w:r>
        <w:rPr>
          <w:rFonts w:hint="eastAsia" w:ascii="宋体" w:hAnsi="宋体" w:cs="宋体"/>
        </w:rPr>
        <w:t>-</w:t>
      </w:r>
      <w:r>
        <w:rPr>
          <w:rFonts w:ascii="宋体" w:hAnsi="宋体" w:cs="宋体"/>
        </w:rPr>
        <w:t>86055693</w:t>
      </w:r>
    </w:p>
    <w:p>
      <w:pPr>
        <w:adjustRightInd w:val="0"/>
        <w:snapToGrid w:val="0"/>
        <w:spacing w:line="360" w:lineRule="atLeast"/>
        <w:ind w:right="-52"/>
        <w:rPr>
          <w:rFonts w:ascii="宋体"/>
        </w:rPr>
      </w:pPr>
      <w:r>
        <w:rPr>
          <w:rFonts w:hint="eastAsia" w:ascii="宋体" w:hAnsi="宋体" w:cs="宋体"/>
        </w:rPr>
        <w:t>传真号码：</w:t>
      </w:r>
      <w:r>
        <w:rPr>
          <w:rFonts w:ascii="宋体" w:hAnsi="宋体" w:cs="宋体"/>
        </w:rPr>
        <w:t>0511</w:t>
      </w:r>
      <w:r>
        <w:rPr>
          <w:rFonts w:hint="eastAsia" w:ascii="宋体" w:hAnsi="宋体" w:cs="宋体"/>
        </w:rPr>
        <w:t>-80307375</w:t>
      </w:r>
    </w:p>
    <w:p>
      <w:pPr>
        <w:adjustRightInd w:val="0"/>
        <w:snapToGrid w:val="0"/>
        <w:spacing w:line="360" w:lineRule="atLeast"/>
        <w:ind w:right="-52"/>
        <w:rPr>
          <w:rFonts w:ascii="宋体" w:hAnsi="宋体" w:cs="宋体"/>
        </w:rPr>
      </w:pPr>
      <w:r>
        <w:rPr>
          <w:rFonts w:hint="eastAsia" w:ascii="宋体" w:hAnsi="宋体" w:cs="宋体"/>
        </w:rPr>
        <w:t>网    址：无</w:t>
      </w:r>
    </w:p>
    <w:p>
      <w:pPr>
        <w:adjustRightInd w:val="0"/>
        <w:snapToGrid w:val="0"/>
        <w:spacing w:line="360" w:lineRule="atLeast"/>
        <w:ind w:right="-52"/>
        <w:rPr>
          <w:rFonts w:ascii="宋体" w:hAnsi="宋体" w:cs="宋体"/>
        </w:rPr>
      </w:pPr>
    </w:p>
    <w:p>
      <w:pPr>
        <w:adjustRightInd w:val="0"/>
        <w:snapToGrid w:val="0"/>
        <w:spacing w:line="360" w:lineRule="atLeast"/>
        <w:ind w:right="-52"/>
        <w:rPr>
          <w:rFonts w:ascii="宋体" w:hAnsi="宋体" w:cs="宋体"/>
        </w:rPr>
      </w:pPr>
    </w:p>
    <w:p>
      <w:pPr>
        <w:adjustRightInd w:val="0"/>
        <w:snapToGrid w:val="0"/>
        <w:spacing w:line="360" w:lineRule="atLeast"/>
        <w:ind w:right="-52"/>
        <w:rPr>
          <w:rFonts w:ascii="宋体" w:hAnsi="宋体" w:cs="宋体"/>
        </w:rPr>
      </w:pPr>
    </w:p>
    <w:p>
      <w:pPr>
        <w:adjustRightInd w:val="0"/>
        <w:snapToGrid w:val="0"/>
        <w:spacing w:line="360" w:lineRule="atLeast"/>
        <w:ind w:right="-52"/>
        <w:rPr>
          <w:rFonts w:ascii="宋体" w:hAnsi="宋体" w:cs="宋体"/>
          <w:lang w:eastAsia="zh-TW"/>
        </w:rPr>
      </w:pPr>
    </w:p>
    <w:sectPr>
      <w:headerReference r:id="rId3" w:type="default"/>
      <w:footerReference r:id="rId4" w:type="default"/>
      <w:pgSz w:w="11906" w:h="16838"/>
      <w:pgMar w:top="851" w:right="851" w:bottom="1418" w:left="851" w:header="454" w:footer="284" w:gutter="0"/>
      <w:pgNumType w:fmt="numberInDash"/>
      <w:cols w:space="425" w:num="1"/>
      <w:docGrid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w w:val="150"/>
        <w:sz w:val="18"/>
        <w:szCs w:val="18"/>
      </w:rPr>
    </w:pPr>
    <w:r>
      <w:rPr>
        <w:w w:val="150"/>
        <w:sz w:val="18"/>
        <w:szCs w:val="18"/>
      </w:rPr>
      <w:t>___________________________________________________________________________</w:t>
    </w:r>
  </w:p>
  <w:p>
    <w:pPr>
      <w:jc w:val="center"/>
      <w:rPr>
        <w:w w:val="150"/>
        <w:sz w:val="15"/>
        <w:szCs w:val="15"/>
      </w:rPr>
    </w:pPr>
  </w:p>
  <w:p>
    <w:pPr>
      <w:jc w:val="center"/>
      <w:rPr>
        <w:w w:val="150"/>
        <w:sz w:val="18"/>
        <w:szCs w:val="18"/>
      </w:rPr>
    </w:pPr>
    <w:r>
      <w:rPr>
        <w:w w:val="150"/>
        <w:sz w:val="18"/>
        <w:szCs w:val="18"/>
      </w:rPr>
      <w:fldChar w:fldCharType="begin"/>
    </w:r>
    <w:r>
      <w:rPr>
        <w:w w:val="150"/>
        <w:sz w:val="18"/>
        <w:szCs w:val="18"/>
      </w:rPr>
      <w:instrText xml:space="preserve">PAGE   \* MERGEFORMAT</w:instrText>
    </w:r>
    <w:r>
      <w:rPr>
        <w:w w:val="150"/>
        <w:sz w:val="18"/>
        <w:szCs w:val="18"/>
      </w:rPr>
      <w:fldChar w:fldCharType="separate"/>
    </w:r>
    <w:r>
      <w:rPr>
        <w:w w:val="150"/>
        <w:sz w:val="18"/>
        <w:szCs w:val="18"/>
        <w:lang w:val="zh-CN"/>
      </w:rPr>
      <w:t>-</w:t>
    </w:r>
    <w:r>
      <w:rPr>
        <w:w w:val="150"/>
        <w:sz w:val="18"/>
        <w:szCs w:val="18"/>
      </w:rPr>
      <w:t xml:space="preserve"> 4 -</w:t>
    </w:r>
    <w:r>
      <w:rPr>
        <w:w w:val="150"/>
        <w:sz w:val="18"/>
        <w:szCs w:val="18"/>
      </w:rPr>
      <w:fldChar w:fldCharType="end"/>
    </w:r>
  </w:p>
  <w:p>
    <w:pPr>
      <w:jc w:val="center"/>
      <w:rPr>
        <w:b/>
        <w:bCs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bCs/>
        <w:color w:val="000000"/>
        <w:w w:val="150"/>
      </w:rPr>
    </w:pPr>
    <w:r>
      <w:rPr>
        <w:rFonts w:hint="eastAsia" w:cs="宋体"/>
        <w:b/>
        <w:bCs/>
      </w:rPr>
      <w:t>江苏视准医疗器械有限公司</w:t>
    </w:r>
  </w:p>
  <w:p>
    <w:pPr>
      <w:rPr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64135</wp:posOffset>
              </wp:positionV>
              <wp:extent cx="6520180" cy="0"/>
              <wp:effectExtent l="0" t="19050" r="13970" b="19050"/>
              <wp:wrapNone/>
              <wp:docPr id="2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018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8" o:spid="_x0000_s1026" o:spt="20" style="position:absolute;left:0pt;margin-left:0pt;margin-top:5.05pt;height:0pt;width:513.4pt;z-index:251659264;mso-width-relative:page;mso-height-relative:page;" filled="f" stroked="t" coordsize="21600,21600" o:gfxdata="UEsDBAoAAAAAAIdO4kAAAAAAAAAAAAAAAAAEAAAAZHJzL1BLAwQUAAAACACHTuJAU5jpTNMAAAAH&#10;AQAADwAAAGRycy9kb3ducmV2LnhtbE2PzU7DQAyE70i8w8pI3OhueqggZFNBpQpVcKHwAG7iJlGz&#10;3ijr/uTtccUBjp4Zjb8plpfQmxONqYvsIZs5MMRVrDtuPHx/rR8ewSRBrrGPTB4mSrAsb28KzOt4&#10;5k86baUxWsIpRw+tyJBbm6qWAqZZHIjV28cxoOg5NrYe8azlobdz5xY2YMf6ocWBVi1Vh+0xeJCD&#10;e3t/xfX0EvYbaZ6mKmxWH97f32XuGYzQRf7CcMVXdCiVaRePXCfTe9AhoqrLwFxdN1/okt2vYsvC&#10;/ucvfwBQSwMEFAAAAAgAh07iQPArQMvpAQAAtgMAAA4AAABkcnMvZTJvRG9jLnhtbK1TzW4TMRC+&#10;I/EOlu9kkyCqaJVND4nKpUCklgdwbG/WwvZYHiebvAQvgMQNThy58zaUx2Ds/FDaSw/dg2XPzzfz&#10;fTM7vdw5y7Y6ogHf8NFgyJn2EpTx64Z/vL16NeEMk/BKWPC64XuN/HL28sW0D7UeQwdW6cgIxGPd&#10;h4Z3KYW6qlB22gkcQNCenC1EJxI947pSUfSE7mw1Hg4vqh6iChGkRiTr4uDkR8T4FEBoWyP1AuTG&#10;aZ8OqFFbkYgSdiYgn5Vu21bL9KFtUSdmG05MUzmpCN1X+axmU1GvowidkccWxFNaeMDJCeOp6Blq&#10;IZJgm2geQTkjIyC0aSDBVQciRRFiMRo+0OamE0EXLiQ1hrPo+Hyw8v12GZlRDR9z5oWjgd99+fn7&#10;87c/v77SeffjO5tkkfqANcXO/TJmmnLnb8I1yE/IPMw74de6NHu7D4QwyhnVfyn5gYFKrfp3oChG&#10;bBIUxXZtdBmStGC7Mpj9eTB6l5gk48UbUmdCM5MnXyXqU2KImN5qcCxfGm6Nz5qJWmyvMeVGRH0K&#10;yWYPV8baMnfrWd/w15PRMEO7QCqolS3JCNaoHJhTMK5XcxvZVuQtKl9hSJ77YRE2Xh0KWn8UIHM+&#10;qLcCtV/GkzA0ztLZcfXyvtx/l+x/v9v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OY6UzTAAAA&#10;BwEAAA8AAAAAAAAAAQAgAAAAIgAAAGRycy9kb3ducmV2LnhtbFBLAQIUABQAAAAIAIdO4kDwK0DL&#10;6QEAALYDAAAOAAAAAAAAAAEAIAAAACIBAABkcnMvZTJvRG9jLnhtbFBLBQYAAAAABgAGAFkBAAB9&#10;BQAAAAA=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([{£¥‘“‵〈《「『【〔〝︵︷︹︻︽︿﹁﹃﹙﹛﹝（｛"/>
  <w:noLineBreaksBefore w:lang="zh-CN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3N2ZiOTRkNzQyNDFmYWMyMDc2MmUxMjlmOTg4OTEifQ=="/>
  </w:docVars>
  <w:rsids>
    <w:rsidRoot w:val="007A5F7D"/>
    <w:rsid w:val="00001D4F"/>
    <w:rsid w:val="000030A4"/>
    <w:rsid w:val="00003877"/>
    <w:rsid w:val="00004628"/>
    <w:rsid w:val="00031469"/>
    <w:rsid w:val="00033FF6"/>
    <w:rsid w:val="00040108"/>
    <w:rsid w:val="000451CB"/>
    <w:rsid w:val="00054D5E"/>
    <w:rsid w:val="00060D94"/>
    <w:rsid w:val="0006601A"/>
    <w:rsid w:val="00080115"/>
    <w:rsid w:val="00082484"/>
    <w:rsid w:val="00083DF9"/>
    <w:rsid w:val="000A1983"/>
    <w:rsid w:val="000B2A09"/>
    <w:rsid w:val="000C5544"/>
    <w:rsid w:val="000D6CEA"/>
    <w:rsid w:val="000D6DFB"/>
    <w:rsid w:val="000F0ED5"/>
    <w:rsid w:val="000F76B6"/>
    <w:rsid w:val="00100A00"/>
    <w:rsid w:val="00111BD7"/>
    <w:rsid w:val="00120028"/>
    <w:rsid w:val="00120DC1"/>
    <w:rsid w:val="00123097"/>
    <w:rsid w:val="001308C0"/>
    <w:rsid w:val="001454F2"/>
    <w:rsid w:val="001523F0"/>
    <w:rsid w:val="001534DB"/>
    <w:rsid w:val="0015513B"/>
    <w:rsid w:val="00181A84"/>
    <w:rsid w:val="00184748"/>
    <w:rsid w:val="001856F9"/>
    <w:rsid w:val="001A11F4"/>
    <w:rsid w:val="001B009C"/>
    <w:rsid w:val="001B2E5E"/>
    <w:rsid w:val="001B6060"/>
    <w:rsid w:val="001C1C22"/>
    <w:rsid w:val="001C340C"/>
    <w:rsid w:val="001C620B"/>
    <w:rsid w:val="001C70FC"/>
    <w:rsid w:val="001E1077"/>
    <w:rsid w:val="001E7727"/>
    <w:rsid w:val="001F455D"/>
    <w:rsid w:val="001F6C6C"/>
    <w:rsid w:val="002003AD"/>
    <w:rsid w:val="00203C72"/>
    <w:rsid w:val="0020401E"/>
    <w:rsid w:val="00224AC7"/>
    <w:rsid w:val="00242E5E"/>
    <w:rsid w:val="0024768D"/>
    <w:rsid w:val="00255FEE"/>
    <w:rsid w:val="00256DAA"/>
    <w:rsid w:val="00267CF4"/>
    <w:rsid w:val="00273154"/>
    <w:rsid w:val="00296C4E"/>
    <w:rsid w:val="00297E96"/>
    <w:rsid w:val="002A4A2D"/>
    <w:rsid w:val="002A70F8"/>
    <w:rsid w:val="002B05BD"/>
    <w:rsid w:val="002E1B77"/>
    <w:rsid w:val="002E356D"/>
    <w:rsid w:val="002E3F75"/>
    <w:rsid w:val="002E5C82"/>
    <w:rsid w:val="002F08BD"/>
    <w:rsid w:val="00305299"/>
    <w:rsid w:val="00317EED"/>
    <w:rsid w:val="00322B4A"/>
    <w:rsid w:val="0033346D"/>
    <w:rsid w:val="00337EEB"/>
    <w:rsid w:val="00341BD5"/>
    <w:rsid w:val="00345662"/>
    <w:rsid w:val="00362168"/>
    <w:rsid w:val="00363A9E"/>
    <w:rsid w:val="00364596"/>
    <w:rsid w:val="003650F1"/>
    <w:rsid w:val="00366604"/>
    <w:rsid w:val="00371530"/>
    <w:rsid w:val="00390E77"/>
    <w:rsid w:val="003A391B"/>
    <w:rsid w:val="003B7CC9"/>
    <w:rsid w:val="003C6C4F"/>
    <w:rsid w:val="003C76F0"/>
    <w:rsid w:val="003C7721"/>
    <w:rsid w:val="003D6C62"/>
    <w:rsid w:val="003D6DDE"/>
    <w:rsid w:val="003E0B40"/>
    <w:rsid w:val="003F089A"/>
    <w:rsid w:val="003F2E32"/>
    <w:rsid w:val="003F37D8"/>
    <w:rsid w:val="003F6DEE"/>
    <w:rsid w:val="00403DD3"/>
    <w:rsid w:val="00410BDD"/>
    <w:rsid w:val="004131C6"/>
    <w:rsid w:val="00415C62"/>
    <w:rsid w:val="00416A6B"/>
    <w:rsid w:val="00433812"/>
    <w:rsid w:val="00437C0C"/>
    <w:rsid w:val="00445CD2"/>
    <w:rsid w:val="00451C6B"/>
    <w:rsid w:val="00457523"/>
    <w:rsid w:val="00457544"/>
    <w:rsid w:val="00460CBB"/>
    <w:rsid w:val="00483958"/>
    <w:rsid w:val="004843A4"/>
    <w:rsid w:val="004937F1"/>
    <w:rsid w:val="004942CB"/>
    <w:rsid w:val="00494325"/>
    <w:rsid w:val="004B4BFD"/>
    <w:rsid w:val="004D2A85"/>
    <w:rsid w:val="004D3F9C"/>
    <w:rsid w:val="004E3834"/>
    <w:rsid w:val="00506C31"/>
    <w:rsid w:val="0051265E"/>
    <w:rsid w:val="00515E08"/>
    <w:rsid w:val="00516DFB"/>
    <w:rsid w:val="00522878"/>
    <w:rsid w:val="00525F12"/>
    <w:rsid w:val="0054161B"/>
    <w:rsid w:val="0055220C"/>
    <w:rsid w:val="005532C1"/>
    <w:rsid w:val="00561383"/>
    <w:rsid w:val="00571A88"/>
    <w:rsid w:val="00572801"/>
    <w:rsid w:val="00572F54"/>
    <w:rsid w:val="005738D8"/>
    <w:rsid w:val="00587B34"/>
    <w:rsid w:val="00594E45"/>
    <w:rsid w:val="005A1A2F"/>
    <w:rsid w:val="005B1D1F"/>
    <w:rsid w:val="005C5FD9"/>
    <w:rsid w:val="005C7ED6"/>
    <w:rsid w:val="005D3B97"/>
    <w:rsid w:val="005E1D0B"/>
    <w:rsid w:val="005E2F8E"/>
    <w:rsid w:val="005F08FB"/>
    <w:rsid w:val="005F1D95"/>
    <w:rsid w:val="005F3D0E"/>
    <w:rsid w:val="005F7403"/>
    <w:rsid w:val="005F755B"/>
    <w:rsid w:val="00603B1B"/>
    <w:rsid w:val="00610CA3"/>
    <w:rsid w:val="00616CD5"/>
    <w:rsid w:val="00620893"/>
    <w:rsid w:val="00625860"/>
    <w:rsid w:val="00627DAD"/>
    <w:rsid w:val="0063791B"/>
    <w:rsid w:val="006448CC"/>
    <w:rsid w:val="00674BCF"/>
    <w:rsid w:val="00674DCE"/>
    <w:rsid w:val="00677758"/>
    <w:rsid w:val="00682D7E"/>
    <w:rsid w:val="0068571D"/>
    <w:rsid w:val="00686F80"/>
    <w:rsid w:val="00687921"/>
    <w:rsid w:val="00693EBF"/>
    <w:rsid w:val="006A10AD"/>
    <w:rsid w:val="006A1206"/>
    <w:rsid w:val="006A1448"/>
    <w:rsid w:val="006B1EA6"/>
    <w:rsid w:val="006B4CBB"/>
    <w:rsid w:val="006C332F"/>
    <w:rsid w:val="006C62C2"/>
    <w:rsid w:val="006C6D51"/>
    <w:rsid w:val="006E1556"/>
    <w:rsid w:val="006E1D60"/>
    <w:rsid w:val="006E5514"/>
    <w:rsid w:val="006E6567"/>
    <w:rsid w:val="006F485C"/>
    <w:rsid w:val="006F54AA"/>
    <w:rsid w:val="00703D6A"/>
    <w:rsid w:val="00704557"/>
    <w:rsid w:val="007203F4"/>
    <w:rsid w:val="00731B05"/>
    <w:rsid w:val="00732D41"/>
    <w:rsid w:val="00752C13"/>
    <w:rsid w:val="00763436"/>
    <w:rsid w:val="007651D4"/>
    <w:rsid w:val="007656AA"/>
    <w:rsid w:val="00772AB5"/>
    <w:rsid w:val="00783C0A"/>
    <w:rsid w:val="007865FE"/>
    <w:rsid w:val="00786DB7"/>
    <w:rsid w:val="00787408"/>
    <w:rsid w:val="007A5F7D"/>
    <w:rsid w:val="007D28DA"/>
    <w:rsid w:val="007D4570"/>
    <w:rsid w:val="007E6C17"/>
    <w:rsid w:val="007F4CAD"/>
    <w:rsid w:val="008022F1"/>
    <w:rsid w:val="0081224F"/>
    <w:rsid w:val="008169EA"/>
    <w:rsid w:val="00824BCB"/>
    <w:rsid w:val="00836269"/>
    <w:rsid w:val="0084749B"/>
    <w:rsid w:val="00854D14"/>
    <w:rsid w:val="00855D1A"/>
    <w:rsid w:val="0086261D"/>
    <w:rsid w:val="00863219"/>
    <w:rsid w:val="00873839"/>
    <w:rsid w:val="0088187E"/>
    <w:rsid w:val="00882269"/>
    <w:rsid w:val="00882B43"/>
    <w:rsid w:val="008846E6"/>
    <w:rsid w:val="008A1DD0"/>
    <w:rsid w:val="008A593D"/>
    <w:rsid w:val="008B3833"/>
    <w:rsid w:val="008D3A4B"/>
    <w:rsid w:val="008D5C04"/>
    <w:rsid w:val="008F4547"/>
    <w:rsid w:val="008F52E9"/>
    <w:rsid w:val="008F6313"/>
    <w:rsid w:val="008F6BB4"/>
    <w:rsid w:val="00914991"/>
    <w:rsid w:val="00923287"/>
    <w:rsid w:val="00925B2A"/>
    <w:rsid w:val="00936956"/>
    <w:rsid w:val="00941749"/>
    <w:rsid w:val="009541C8"/>
    <w:rsid w:val="00954613"/>
    <w:rsid w:val="00956A80"/>
    <w:rsid w:val="0096201E"/>
    <w:rsid w:val="00977CB7"/>
    <w:rsid w:val="00992628"/>
    <w:rsid w:val="009C0044"/>
    <w:rsid w:val="009C2181"/>
    <w:rsid w:val="009C325F"/>
    <w:rsid w:val="009C522A"/>
    <w:rsid w:val="009C57AB"/>
    <w:rsid w:val="009C7150"/>
    <w:rsid w:val="009D0446"/>
    <w:rsid w:val="009E0883"/>
    <w:rsid w:val="009E3AAE"/>
    <w:rsid w:val="009E501B"/>
    <w:rsid w:val="009F1FEB"/>
    <w:rsid w:val="009F3861"/>
    <w:rsid w:val="009F508D"/>
    <w:rsid w:val="00A0573B"/>
    <w:rsid w:val="00A11805"/>
    <w:rsid w:val="00A154A4"/>
    <w:rsid w:val="00A16AFA"/>
    <w:rsid w:val="00A32E6D"/>
    <w:rsid w:val="00A34814"/>
    <w:rsid w:val="00A354E9"/>
    <w:rsid w:val="00A42448"/>
    <w:rsid w:val="00A666E2"/>
    <w:rsid w:val="00A725D2"/>
    <w:rsid w:val="00A73F3C"/>
    <w:rsid w:val="00A74250"/>
    <w:rsid w:val="00A76841"/>
    <w:rsid w:val="00A84954"/>
    <w:rsid w:val="00AA0224"/>
    <w:rsid w:val="00AA09E0"/>
    <w:rsid w:val="00AA0CF1"/>
    <w:rsid w:val="00AA3D3D"/>
    <w:rsid w:val="00AC31B9"/>
    <w:rsid w:val="00AC3457"/>
    <w:rsid w:val="00AC7B4F"/>
    <w:rsid w:val="00AD3C7D"/>
    <w:rsid w:val="00AE00A9"/>
    <w:rsid w:val="00AE161C"/>
    <w:rsid w:val="00B012A0"/>
    <w:rsid w:val="00B16D33"/>
    <w:rsid w:val="00B26DE8"/>
    <w:rsid w:val="00B332B5"/>
    <w:rsid w:val="00B347B5"/>
    <w:rsid w:val="00B446ED"/>
    <w:rsid w:val="00B44A89"/>
    <w:rsid w:val="00B51599"/>
    <w:rsid w:val="00B53F85"/>
    <w:rsid w:val="00B741EB"/>
    <w:rsid w:val="00B74260"/>
    <w:rsid w:val="00B76E7D"/>
    <w:rsid w:val="00B818E7"/>
    <w:rsid w:val="00B9775C"/>
    <w:rsid w:val="00BA5C82"/>
    <w:rsid w:val="00BA6B19"/>
    <w:rsid w:val="00BA7871"/>
    <w:rsid w:val="00BB384B"/>
    <w:rsid w:val="00BC072E"/>
    <w:rsid w:val="00BC49B6"/>
    <w:rsid w:val="00BD4621"/>
    <w:rsid w:val="00BE362C"/>
    <w:rsid w:val="00BF1504"/>
    <w:rsid w:val="00BF2C11"/>
    <w:rsid w:val="00BF3F92"/>
    <w:rsid w:val="00BF4ABF"/>
    <w:rsid w:val="00C07429"/>
    <w:rsid w:val="00C21322"/>
    <w:rsid w:val="00C21A97"/>
    <w:rsid w:val="00C2244A"/>
    <w:rsid w:val="00C22B11"/>
    <w:rsid w:val="00C429EF"/>
    <w:rsid w:val="00C62603"/>
    <w:rsid w:val="00C65E46"/>
    <w:rsid w:val="00C76C32"/>
    <w:rsid w:val="00C80BCA"/>
    <w:rsid w:val="00C853B0"/>
    <w:rsid w:val="00C91554"/>
    <w:rsid w:val="00C91611"/>
    <w:rsid w:val="00CA38DF"/>
    <w:rsid w:val="00CA517E"/>
    <w:rsid w:val="00CA6950"/>
    <w:rsid w:val="00CB0487"/>
    <w:rsid w:val="00CB218A"/>
    <w:rsid w:val="00CC3A4C"/>
    <w:rsid w:val="00CC5AAE"/>
    <w:rsid w:val="00CC6AC9"/>
    <w:rsid w:val="00CE4003"/>
    <w:rsid w:val="00CE4B06"/>
    <w:rsid w:val="00CE531D"/>
    <w:rsid w:val="00D0061C"/>
    <w:rsid w:val="00D02292"/>
    <w:rsid w:val="00D12680"/>
    <w:rsid w:val="00D17BF4"/>
    <w:rsid w:val="00D339D6"/>
    <w:rsid w:val="00D3697D"/>
    <w:rsid w:val="00D42B0C"/>
    <w:rsid w:val="00D42C81"/>
    <w:rsid w:val="00D500EA"/>
    <w:rsid w:val="00D50713"/>
    <w:rsid w:val="00D51A9F"/>
    <w:rsid w:val="00D52490"/>
    <w:rsid w:val="00D64641"/>
    <w:rsid w:val="00D76B35"/>
    <w:rsid w:val="00D8124B"/>
    <w:rsid w:val="00D82A6A"/>
    <w:rsid w:val="00D84CC2"/>
    <w:rsid w:val="00D94E66"/>
    <w:rsid w:val="00DB0415"/>
    <w:rsid w:val="00DC310A"/>
    <w:rsid w:val="00DC4FA0"/>
    <w:rsid w:val="00DD3D58"/>
    <w:rsid w:val="00DD5C07"/>
    <w:rsid w:val="00DE0E4E"/>
    <w:rsid w:val="00DE29D2"/>
    <w:rsid w:val="00DE7369"/>
    <w:rsid w:val="00DF6213"/>
    <w:rsid w:val="00DF683F"/>
    <w:rsid w:val="00E02575"/>
    <w:rsid w:val="00E031D8"/>
    <w:rsid w:val="00E105DF"/>
    <w:rsid w:val="00E13920"/>
    <w:rsid w:val="00E179F5"/>
    <w:rsid w:val="00E214D0"/>
    <w:rsid w:val="00E222C7"/>
    <w:rsid w:val="00E22DC8"/>
    <w:rsid w:val="00E27041"/>
    <w:rsid w:val="00E31D27"/>
    <w:rsid w:val="00E36996"/>
    <w:rsid w:val="00E37316"/>
    <w:rsid w:val="00E54110"/>
    <w:rsid w:val="00E6098A"/>
    <w:rsid w:val="00E65558"/>
    <w:rsid w:val="00E723CF"/>
    <w:rsid w:val="00E729CE"/>
    <w:rsid w:val="00E87FE0"/>
    <w:rsid w:val="00EA59CB"/>
    <w:rsid w:val="00EA5C9F"/>
    <w:rsid w:val="00EB26B5"/>
    <w:rsid w:val="00EC5827"/>
    <w:rsid w:val="00EC67A8"/>
    <w:rsid w:val="00EC77C3"/>
    <w:rsid w:val="00EE2C1E"/>
    <w:rsid w:val="00EE385E"/>
    <w:rsid w:val="00EF510E"/>
    <w:rsid w:val="00EF7668"/>
    <w:rsid w:val="00F02AA1"/>
    <w:rsid w:val="00F14705"/>
    <w:rsid w:val="00F14E94"/>
    <w:rsid w:val="00F1767A"/>
    <w:rsid w:val="00F2262E"/>
    <w:rsid w:val="00F33363"/>
    <w:rsid w:val="00F362CF"/>
    <w:rsid w:val="00F37877"/>
    <w:rsid w:val="00F414AE"/>
    <w:rsid w:val="00F42E22"/>
    <w:rsid w:val="00F456DD"/>
    <w:rsid w:val="00F53B0A"/>
    <w:rsid w:val="00F57375"/>
    <w:rsid w:val="00F64035"/>
    <w:rsid w:val="00F74AFC"/>
    <w:rsid w:val="00F766C6"/>
    <w:rsid w:val="00F868BF"/>
    <w:rsid w:val="00F947EF"/>
    <w:rsid w:val="00F953F5"/>
    <w:rsid w:val="00F976BE"/>
    <w:rsid w:val="00FA2895"/>
    <w:rsid w:val="00FA3805"/>
    <w:rsid w:val="00FB0FC8"/>
    <w:rsid w:val="00FC2758"/>
    <w:rsid w:val="00FC4FA9"/>
    <w:rsid w:val="00FC4FCE"/>
    <w:rsid w:val="00FD3BDE"/>
    <w:rsid w:val="00FD41FE"/>
    <w:rsid w:val="00FE6FB8"/>
    <w:rsid w:val="00FF415A"/>
    <w:rsid w:val="00FF60BC"/>
    <w:rsid w:val="0184764A"/>
    <w:rsid w:val="02356F96"/>
    <w:rsid w:val="037E4D61"/>
    <w:rsid w:val="03BB0E8A"/>
    <w:rsid w:val="046A1E2B"/>
    <w:rsid w:val="06FB5D8D"/>
    <w:rsid w:val="0A982C0D"/>
    <w:rsid w:val="0AB05B58"/>
    <w:rsid w:val="0C1C1F38"/>
    <w:rsid w:val="0EE13676"/>
    <w:rsid w:val="109A0B17"/>
    <w:rsid w:val="10B56685"/>
    <w:rsid w:val="10BA000D"/>
    <w:rsid w:val="11BA1429"/>
    <w:rsid w:val="122A50C5"/>
    <w:rsid w:val="155409F6"/>
    <w:rsid w:val="15957C69"/>
    <w:rsid w:val="181C2BE0"/>
    <w:rsid w:val="1B4F5F98"/>
    <w:rsid w:val="23A94E00"/>
    <w:rsid w:val="24684A1C"/>
    <w:rsid w:val="26C93689"/>
    <w:rsid w:val="28CA433E"/>
    <w:rsid w:val="2CAF2F02"/>
    <w:rsid w:val="2DB2246E"/>
    <w:rsid w:val="2FCE3D36"/>
    <w:rsid w:val="300A6743"/>
    <w:rsid w:val="3545109E"/>
    <w:rsid w:val="35DC6D4F"/>
    <w:rsid w:val="38600B70"/>
    <w:rsid w:val="398C7B51"/>
    <w:rsid w:val="3BF91BD2"/>
    <w:rsid w:val="3D102098"/>
    <w:rsid w:val="3DE84CB4"/>
    <w:rsid w:val="405B7413"/>
    <w:rsid w:val="406F0F51"/>
    <w:rsid w:val="48E922AF"/>
    <w:rsid w:val="4BBA071C"/>
    <w:rsid w:val="4BC802C3"/>
    <w:rsid w:val="4CD332D5"/>
    <w:rsid w:val="4DBE1E34"/>
    <w:rsid w:val="51C9666B"/>
    <w:rsid w:val="52EC37FF"/>
    <w:rsid w:val="54FF7D34"/>
    <w:rsid w:val="57A2644C"/>
    <w:rsid w:val="587D2024"/>
    <w:rsid w:val="5BE5649E"/>
    <w:rsid w:val="5D052208"/>
    <w:rsid w:val="62B917F7"/>
    <w:rsid w:val="62E20B10"/>
    <w:rsid w:val="63017550"/>
    <w:rsid w:val="6481314C"/>
    <w:rsid w:val="676A0F59"/>
    <w:rsid w:val="693C4176"/>
    <w:rsid w:val="69BD2E86"/>
    <w:rsid w:val="69F769F0"/>
    <w:rsid w:val="6FC1214D"/>
    <w:rsid w:val="70F829D5"/>
    <w:rsid w:val="717134E4"/>
    <w:rsid w:val="74D00EAF"/>
    <w:rsid w:val="774349B8"/>
    <w:rsid w:val="77CD4FED"/>
    <w:rsid w:val="78104AE8"/>
    <w:rsid w:val="78811634"/>
    <w:rsid w:val="794D6A63"/>
    <w:rsid w:val="7F0C7C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2"/>
    <w:semiHidden/>
    <w:qFormat/>
    <w:uiPriority w:val="99"/>
    <w:pPr>
      <w:jc w:val="left"/>
    </w:pPr>
  </w:style>
  <w:style w:type="paragraph" w:styleId="4">
    <w:name w:val="Plain Text"/>
    <w:basedOn w:val="1"/>
    <w:link w:val="17"/>
    <w:qFormat/>
    <w:uiPriority w:val="99"/>
    <w:rPr>
      <w:rFonts w:ascii="宋体" w:hAnsi="Courier New" w:cs="宋体"/>
      <w:lang w:eastAsia="zh-TW"/>
    </w:rPr>
  </w:style>
  <w:style w:type="paragraph" w:styleId="5">
    <w:name w:val="Date"/>
    <w:basedOn w:val="1"/>
    <w:next w:val="1"/>
    <w:link w:val="18"/>
    <w:qFormat/>
    <w:uiPriority w:val="99"/>
    <w:pPr>
      <w:ind w:left="100" w:leftChars="2500"/>
    </w:pPr>
  </w:style>
  <w:style w:type="paragraph" w:styleId="6">
    <w:name w:val="Balloon Text"/>
    <w:basedOn w:val="1"/>
    <w:link w:val="19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annotation subject"/>
    <w:basedOn w:val="3"/>
    <w:next w:val="3"/>
    <w:link w:val="23"/>
    <w:semiHidden/>
    <w:qFormat/>
    <w:uiPriority w:val="99"/>
    <w:rPr>
      <w:b/>
      <w:bCs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qFormat/>
    <w:uiPriority w:val="99"/>
    <w:rPr>
      <w:rFonts w:cs="Times New Roman"/>
      <w:color w:val="0000FF"/>
      <w:u w:val="single"/>
    </w:rPr>
  </w:style>
  <w:style w:type="character" w:styleId="15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6">
    <w:name w:val="标题 2 字符"/>
    <w:link w:val="2"/>
    <w:qFormat/>
    <w:locked/>
    <w:uiPriority w:val="99"/>
    <w:rPr>
      <w:rFonts w:ascii="宋体" w:hAnsi="宋体" w:cs="宋体"/>
      <w:b/>
      <w:bCs/>
      <w:kern w:val="0"/>
      <w:sz w:val="36"/>
      <w:szCs w:val="36"/>
    </w:rPr>
  </w:style>
  <w:style w:type="character" w:customStyle="1" w:styleId="17">
    <w:name w:val="纯文本 字符"/>
    <w:link w:val="4"/>
    <w:qFormat/>
    <w:locked/>
    <w:uiPriority w:val="99"/>
    <w:rPr>
      <w:rFonts w:ascii="宋体" w:hAnsi="Courier New" w:eastAsia="Times New Roman" w:cs="宋体"/>
      <w:sz w:val="20"/>
      <w:szCs w:val="20"/>
    </w:rPr>
  </w:style>
  <w:style w:type="character" w:customStyle="1" w:styleId="18">
    <w:name w:val="日期 字符"/>
    <w:link w:val="5"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19">
    <w:name w:val="批注框文本 字符"/>
    <w:link w:val="6"/>
    <w:semiHidden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0">
    <w:name w:val="页眉 字符"/>
    <w:link w:val="8"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页脚 字符"/>
    <w:link w:val="7"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2">
    <w:name w:val="批注文字 字符"/>
    <w:link w:val="3"/>
    <w:semiHidden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23">
    <w:name w:val="批注主题 字符"/>
    <w:link w:val="10"/>
    <w:semiHidden/>
    <w:qFormat/>
    <w:locked/>
    <w:uiPriority w:val="99"/>
    <w:rPr>
      <w:rFonts w:ascii="Times New Roman" w:hAnsi="Times New Roman" w:cs="Times New Roman"/>
      <w:b/>
      <w:bCs/>
      <w:sz w:val="24"/>
      <w:szCs w:val="24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字元2"/>
    <w:semiHidden/>
    <w:qFormat/>
    <w:uiPriority w:val="99"/>
    <w:rPr>
      <w:kern w:val="2"/>
      <w:sz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6.png"/><Relationship Id="rId26" Type="http://schemas.openxmlformats.org/officeDocument/2006/relationships/image" Target="media/image15.emf"/><Relationship Id="rId25" Type="http://schemas.openxmlformats.org/officeDocument/2006/relationships/image" Target="media/image14.jpeg"/><Relationship Id="rId24" Type="http://schemas.openxmlformats.org/officeDocument/2006/relationships/image" Target="media/image13.emf"/><Relationship Id="rId23" Type="http://schemas.openxmlformats.org/officeDocument/2006/relationships/image" Target="media/image12.jpeg"/><Relationship Id="rId22" Type="http://schemas.openxmlformats.org/officeDocument/2006/relationships/image" Target="media/image11.pn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jpeg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4785</Words>
  <Characters>5161</Characters>
  <Lines>38</Lines>
  <Paragraphs>10</Paragraphs>
  <TotalTime>315</TotalTime>
  <ScaleCrop>false</ScaleCrop>
  <LinksUpToDate>false</LinksUpToDate>
  <CharactersWithSpaces>5194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2020-04-07T07:48:00Z</dcterms:created>
  <dc:creator>Administrator</dc:creator>
  <cp:lastModifiedBy>E.Galois</cp:lastModifiedBy>
  <cp:lastPrinted>2017-06-26T07:02:00Z</cp:lastPrinted>
  <dcterms:modified xsi:type="dcterms:W3CDTF">2023-11-08T07:27:59Z</dcterms:modified>
  <dc:title>性水接触使用明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FEEFF0EC751A47DAA87B343F4A49199D_13</vt:lpwstr>
  </property>
</Properties>
</file>