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/>
        </w:rPr>
      </w:pPr>
      <w:r>
        <w:rPr>
          <w:rFonts w:hint="eastAsia" w:ascii="宋体" w:hAnsi="宋体" w:cs="宋体"/>
        </w:rPr>
        <w:t>软性亲水接触镜使用说明书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  <w:b/>
          <w:bCs/>
        </w:rPr>
        <w:t>敬告：</w:t>
      </w:r>
      <w:r>
        <w:rPr>
          <w:rFonts w:hint="eastAsia" w:ascii="宋体" w:hAnsi="宋体" w:cs="宋体"/>
        </w:rPr>
        <w:t>本说明书的目的在于指导配戴者如何正确配戴、护理软性亲水接触镜（以下简称：镜片或接触镜或软性镜）。请您在配戴前务必仔细阅读，并按照眼科医生或眼视光专业人士的指导下进行使用本产品。</w:t>
      </w:r>
    </w:p>
    <w:p>
      <w:pPr>
        <w:spacing w:line="360" w:lineRule="auto"/>
        <w:rPr>
          <w:rFonts w:hint="default" w:ascii="宋体" w:eastAsia="宋体"/>
          <w:lang w:val="en-US" w:eastAsia="zh-CN"/>
        </w:rPr>
      </w:pPr>
      <w:r>
        <w:rPr>
          <w:rFonts w:hint="eastAsia" w:ascii="宋体" w:hAnsi="宋体" w:cs="宋体"/>
        </w:rPr>
        <w:t>【注册证编号】国械注准</w:t>
      </w:r>
      <w:r>
        <w:rPr>
          <w:rFonts w:hint="eastAsia" w:ascii="宋体" w:hAnsi="宋体" w:cs="宋体"/>
          <w:lang w:val="en-US" w:eastAsia="zh-CN"/>
        </w:rPr>
        <w:t>20223161696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【产品技术要求编号】国械注准</w:t>
      </w:r>
      <w:r>
        <w:rPr>
          <w:rFonts w:hint="eastAsia" w:ascii="宋体" w:hAnsi="宋体" w:cs="宋体"/>
          <w:lang w:val="en-US" w:eastAsia="zh-CN"/>
        </w:rPr>
        <w:t>20223161696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【产品名称】软性亲水接触镜</w:t>
      </w:r>
    </w:p>
    <w:p>
      <w:pPr>
        <w:spacing w:line="360" w:lineRule="auto"/>
        <w:rPr>
          <w:rFonts w:ascii="宋体" w:eastAsiaTheme="minorEastAsia"/>
          <w:lang w:eastAsia="zh-TW"/>
        </w:rPr>
      </w:pPr>
      <w:r>
        <w:rPr>
          <w:rFonts w:hint="eastAsia" w:ascii="宋体" w:hAnsi="宋体" w:cs="宋体"/>
        </w:rPr>
        <w:t>【商品名称】无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【英文名称】无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【型    号】H</w:t>
      </w:r>
      <w:r>
        <w:rPr>
          <w:rFonts w:ascii="宋体" w:hAnsi="宋体" w:cs="宋体"/>
        </w:rPr>
        <w:t>55</w:t>
      </w:r>
      <w:r>
        <w:rPr>
          <w:rFonts w:hint="eastAsia" w:ascii="宋体" w:hAnsi="宋体" w:cs="宋体" w:eastAsiaTheme="minorEastAsia"/>
          <w:lang w:eastAsia="zh-TW"/>
        </w:rPr>
        <w:t>Y</w:t>
      </w:r>
      <w:r>
        <w:rPr>
          <w:rFonts w:ascii="宋体" w:hAnsi="宋体" w:cs="宋体"/>
        </w:rPr>
        <w:t>C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【规    格】</w:t>
      </w:r>
      <w:r>
        <w:rPr>
          <w:rFonts w:hint="eastAsia" w:ascii="宋体" w:hAnsi="宋体" w:cs="宋体" w:eastAsiaTheme="minorEastAsia"/>
          <w:lang w:eastAsia="zh-TW"/>
        </w:rPr>
        <w:t>G1</w:t>
      </w:r>
      <w:r>
        <w:rPr>
          <w:rFonts w:ascii="宋体" w:hAnsi="宋体" w:cs="宋体"/>
        </w:rPr>
        <w:t xml:space="preserve">     </w:t>
      </w:r>
    </w:p>
    <w:p>
      <w:pPr>
        <w:spacing w:line="360" w:lineRule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</w:rPr>
        <w:t>【说明书批准及修改日期】</w:t>
      </w:r>
      <w:r>
        <w:rPr>
          <w:rFonts w:hint="eastAsia" w:ascii="宋体" w:hAnsi="宋体" w:cs="宋体"/>
          <w:lang w:val="en-US" w:eastAsia="zh-CN"/>
        </w:rPr>
        <w:t>20221220</w:t>
      </w:r>
      <w:bookmarkStart w:id="1" w:name="_GoBack"/>
      <w:bookmarkEnd w:id="1"/>
    </w:p>
    <w:p>
      <w:pPr>
        <w:spacing w:line="360" w:lineRule="auto"/>
        <w:rPr>
          <w:rFonts w:ascii="宋体" w:hAnsi="宋体" w:cs="宋体" w:eastAsiaTheme="minorEastAsia"/>
          <w:lang w:eastAsia="zh-TW"/>
        </w:rPr>
      </w:pPr>
      <w:r>
        <w:rPr>
          <w:rFonts w:hint="eastAsia" w:ascii="宋体" w:hAnsi="宋体" w:cs="宋体"/>
        </w:rPr>
        <w:t>【版本号】</w:t>
      </w:r>
      <w:r>
        <w:rPr>
          <w:rFonts w:ascii="宋体" w:hAnsi="宋体" w:cs="宋体"/>
        </w:rPr>
        <w:t>1.</w:t>
      </w:r>
      <w:r>
        <w:rPr>
          <w:rFonts w:hint="eastAsia" w:ascii="宋体" w:hAnsi="宋体" w:cs="宋体" w:eastAsiaTheme="minorEastAsia"/>
          <w:lang w:eastAsia="zh-TW"/>
        </w:rPr>
        <w:t>0</w:t>
      </w:r>
    </w:p>
    <w:p>
      <w:pPr>
        <w:pStyle w:val="5"/>
        <w:spacing w:line="360" w:lineRule="auto"/>
        <w:ind w:left="0" w:left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 w:cs="宋体"/>
          <w:sz w:val="24"/>
          <w:szCs w:val="24"/>
        </w:rPr>
        <w:t>【警示】</w:t>
      </w:r>
    </w:p>
    <w:p>
      <w:pPr>
        <w:spacing w:line="360" w:lineRule="auto"/>
        <w:ind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1.</w:t>
      </w:r>
      <w:r>
        <w:rPr>
          <w:rFonts w:hint="eastAsia" w:ascii="黑体" w:hAnsi="黑体" w:eastAsia="黑体" w:cs="黑体"/>
          <w:sz w:val="24"/>
          <w:szCs w:val="24"/>
        </w:rPr>
        <w:t>本产品直接接触角膜，若不遵守使用方法或相关注意事项，则可能造成多种眼疾，甚至失明。使用前请务必认真阅读本说明书，遵从医嘱，按照正确的使用方法使用。</w:t>
      </w:r>
    </w:p>
    <w:p>
      <w:pPr>
        <w:spacing w:line="360" w:lineRule="auto"/>
        <w:ind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2.</w:t>
      </w:r>
      <w:r>
        <w:rPr>
          <w:rFonts w:hint="eastAsia" w:ascii="黑体" w:hAnsi="黑体" w:eastAsia="黑体" w:cs="黑体"/>
          <w:sz w:val="24"/>
          <w:szCs w:val="24"/>
        </w:rPr>
        <w:t>建议经眼科医生检查评估后，再决定是否配戴本产品。配戴本产品，应由眼视光专业人士进行验配。</w:t>
      </w:r>
    </w:p>
    <w:p>
      <w:pPr>
        <w:spacing w:line="360" w:lineRule="auto"/>
        <w:ind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3.</w:t>
      </w:r>
      <w:r>
        <w:rPr>
          <w:rFonts w:hint="eastAsia" w:ascii="黑体" w:hAnsi="黑体" w:eastAsia="黑体" w:cs="黑体"/>
          <w:kern w:val="0"/>
          <w:sz w:val="24"/>
          <w:szCs w:val="24"/>
        </w:rPr>
        <w:t>由于配戴本品可使配戴者发生角、结膜损害危险性增高，甚至出现角膜炎、角膜溃疡等眼部疾病，因此当出现眼分泌物增加、眼红、眼痛、畏光、异物感、流泪、视力下降等异常现象时，应立刻中止配戴，并尽快去医院接受眼科医师的检查，</w:t>
      </w:r>
      <w:r>
        <w:rPr>
          <w:rFonts w:hint="eastAsia" w:ascii="黑体" w:hAnsi="黑体" w:eastAsia="黑体" w:cs="黑体"/>
          <w:sz w:val="24"/>
          <w:szCs w:val="24"/>
        </w:rPr>
        <w:t>延误治疗可能会发生永久性视力损害。</w:t>
      </w:r>
    </w:p>
    <w:p>
      <w:pPr>
        <w:spacing w:line="360" w:lineRule="auto"/>
        <w:ind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4.</w:t>
      </w:r>
      <w:r>
        <w:rPr>
          <w:rFonts w:hint="eastAsia" w:ascii="黑体" w:hAnsi="黑体" w:eastAsia="黑体" w:cs="黑体"/>
          <w:sz w:val="24"/>
          <w:szCs w:val="24"/>
        </w:rPr>
        <w:t>即使正确使用本产品，由于存在个体差异仍可能产生如角膜内皮细胞减少、角膜新生血管形成等改变。</w:t>
      </w:r>
    </w:p>
    <w:p>
      <w:pPr>
        <w:spacing w:line="360" w:lineRule="auto"/>
        <w:ind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 xml:space="preserve">5. </w:t>
      </w:r>
      <w:r>
        <w:rPr>
          <w:rFonts w:hint="eastAsia" w:ascii="黑体" w:hAnsi="黑体" w:eastAsia="黑体" w:cs="黑体"/>
          <w:sz w:val="24"/>
          <w:szCs w:val="24"/>
        </w:rPr>
        <w:t>配戴者必须遵循眼科专业人员的指导及产品使用说明。禁用洗涤液、肥皂等其他代用品清洁镜片，禁用酒精等其他代用品消毒镜片。</w:t>
      </w:r>
    </w:p>
    <w:p>
      <w:pPr>
        <w:spacing w:line="360" w:lineRule="auto"/>
        <w:ind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6.</w:t>
      </w:r>
      <w:r>
        <w:rPr>
          <w:rFonts w:hint="eastAsia" w:ascii="黑体" w:hAnsi="黑体" w:eastAsia="黑体" w:cs="黑体"/>
          <w:sz w:val="24"/>
          <w:szCs w:val="24"/>
        </w:rPr>
        <w:t>严格按【配戴时间表】配戴。日戴镜片不能用于睡眠配戴。临床已经证明：日戴镜片睡眠配戴，发生严重不良事件的危险性将大幅提高。</w:t>
      </w:r>
    </w:p>
    <w:p>
      <w:pPr>
        <w:spacing w:line="360" w:lineRule="auto"/>
        <w:ind w:right="-52"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7.</w:t>
      </w:r>
      <w:r>
        <w:rPr>
          <w:rFonts w:hint="eastAsia" w:ascii="黑体" w:hAnsi="黑体" w:eastAsia="黑体" w:cs="黑体"/>
          <w:sz w:val="24"/>
          <w:szCs w:val="24"/>
        </w:rPr>
        <w:t>初次戴镜者应在配镜后第</w:t>
      </w:r>
      <w:r>
        <w:rPr>
          <w:rFonts w:ascii="黑体" w:hAnsi="黑体" w:eastAsia="黑体" w:cs="黑体"/>
          <w:sz w:val="24"/>
          <w:szCs w:val="24"/>
        </w:rPr>
        <w:t>1</w:t>
      </w:r>
      <w:r>
        <w:rPr>
          <w:rFonts w:hint="eastAsia" w:ascii="黑体" w:hAnsi="黑体" w:eastAsia="黑体" w:cs="黑体"/>
          <w:sz w:val="24"/>
          <w:szCs w:val="24"/>
        </w:rPr>
        <w:t>天、第</w:t>
      </w:r>
      <w:r>
        <w:rPr>
          <w:rFonts w:ascii="黑体" w:hAnsi="黑体" w:eastAsia="黑体" w:cs="黑体"/>
          <w:sz w:val="24"/>
          <w:szCs w:val="24"/>
        </w:rPr>
        <w:t>1</w:t>
      </w:r>
      <w:r>
        <w:rPr>
          <w:rFonts w:hint="eastAsia" w:ascii="黑体" w:hAnsi="黑体" w:eastAsia="黑体" w:cs="黑体"/>
          <w:sz w:val="24"/>
          <w:szCs w:val="24"/>
        </w:rPr>
        <w:t>周、第</w:t>
      </w:r>
      <w:r>
        <w:rPr>
          <w:rFonts w:ascii="黑体" w:hAnsi="黑体" w:eastAsia="黑体" w:cs="黑体"/>
          <w:sz w:val="24"/>
          <w:szCs w:val="24"/>
        </w:rPr>
        <w:t>1</w:t>
      </w:r>
      <w:r>
        <w:rPr>
          <w:rFonts w:hint="eastAsia" w:ascii="黑体" w:hAnsi="黑体" w:eastAsia="黑体" w:cs="黑体"/>
          <w:sz w:val="24"/>
          <w:szCs w:val="24"/>
        </w:rPr>
        <w:t>月、第</w:t>
      </w:r>
      <w:r>
        <w:rPr>
          <w:rFonts w:ascii="黑体" w:hAnsi="黑体" w:eastAsia="黑体" w:cs="黑体"/>
          <w:sz w:val="24"/>
          <w:szCs w:val="24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月定期到医院复查，随后即使无任何不适亦建议定期（或遵医嘱）去医院进行眼部检查。</w:t>
      </w:r>
    </w:p>
    <w:p>
      <w:pPr>
        <w:spacing w:line="360" w:lineRule="auto"/>
        <w:ind w:right="-52"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8</w:t>
      </w:r>
      <w:r>
        <w:rPr>
          <w:rFonts w:hint="eastAsia" w:ascii="黑体" w:hAnsi="黑体" w:eastAsia="黑体" w:cs="黑体"/>
          <w:sz w:val="24"/>
          <w:szCs w:val="24"/>
        </w:rPr>
        <w:t>．已灭菌，开封前确认包装是否破损。如包装破损，请勿使用本产品。</w:t>
      </w:r>
    </w:p>
    <w:p>
      <w:pPr>
        <w:spacing w:line="360" w:lineRule="auto"/>
        <w:ind w:right="-52"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9.</w:t>
      </w:r>
      <w:r>
        <w:rPr>
          <w:rFonts w:hint="eastAsia" w:ascii="黑体" w:hAnsi="黑体" w:eastAsia="黑体" w:cs="黑体"/>
          <w:sz w:val="24"/>
          <w:szCs w:val="24"/>
        </w:rPr>
        <w:t>本品属于医疗器械，购买使用前请确认产品标签上是否印有医疗器械注册号。</w:t>
      </w:r>
    </w:p>
    <w:p>
      <w:pPr>
        <w:spacing w:line="360" w:lineRule="auto"/>
        <w:ind w:right="-52"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10</w:t>
      </w:r>
      <w:r>
        <w:rPr>
          <w:rFonts w:hint="eastAsia" w:ascii="黑体" w:hAnsi="黑体" w:eastAsia="黑体" w:cs="黑体"/>
          <w:sz w:val="24"/>
          <w:szCs w:val="24"/>
        </w:rPr>
        <w:t>．每日更换型镜片日戴日抛，不得重复使用。</w:t>
      </w:r>
    </w:p>
    <w:p>
      <w:pPr>
        <w:spacing w:line="360" w:lineRule="auto"/>
        <w:ind w:firstLine="480" w:firstLineChars="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 xml:space="preserve">11. </w:t>
      </w:r>
      <w:r>
        <w:rPr>
          <w:rFonts w:hint="eastAsia" w:ascii="黑体" w:hAnsi="黑体" w:eastAsia="黑体" w:cs="黑体"/>
          <w:sz w:val="24"/>
          <w:szCs w:val="24"/>
        </w:rPr>
        <w:t>平光装饰性镜片，不具矫正屈光不正功能，但与矫正功能镜片具有同样风险，应谨慎使用。</w:t>
      </w:r>
    </w:p>
    <w:p>
      <w:pPr>
        <w:spacing w:line="360" w:lineRule="auto"/>
        <w:rPr>
          <w:rFonts w:ascii="黑体" w:hAnsi="黑体"/>
          <w:sz w:val="24"/>
          <w:szCs w:val="24"/>
        </w:rPr>
      </w:pPr>
      <w:r>
        <w:rPr>
          <w:rFonts w:hint="eastAsia" w:ascii="宋体" w:hAnsi="宋体" w:cs="宋体"/>
          <w:color w:val="000000"/>
        </w:rPr>
        <w:t>【特别说明】本产品由消费者个人使用，望消费者在采购前务必咨询销售商及学会使用配戴及护理方法。</w:t>
      </w:r>
    </w:p>
    <w:p>
      <w:pPr>
        <w:spacing w:line="360" w:lineRule="auto"/>
        <w:rPr>
          <w:rFonts w:ascii="宋体"/>
          <w:color w:val="000000"/>
        </w:rPr>
      </w:pPr>
      <w:r>
        <w:rPr>
          <w:rFonts w:hint="eastAsia" w:ascii="宋体" w:hAnsi="宋体" w:cs="宋体"/>
          <w:color w:val="000000"/>
        </w:rPr>
        <w:t>【适用范围】本产品为日戴型镜片，用于无禁忌症患者矫正近视。产品为一次性使用。</w:t>
      </w:r>
    </w:p>
    <w:p>
      <w:pPr>
        <w:spacing w:line="360" w:lineRule="auto"/>
        <w:rPr>
          <w:rFonts w:ascii="宋体"/>
          <w:color w:val="000000"/>
        </w:rPr>
      </w:pPr>
      <w:r>
        <w:rPr>
          <w:rFonts w:hint="eastAsia" w:ascii="宋体" w:hAnsi="宋体" w:cs="宋体"/>
          <w:color w:val="000000"/>
        </w:rPr>
        <w:t>【禁忌】</w:t>
      </w:r>
    </w:p>
    <w:p>
      <w:pPr>
        <w:spacing w:line="360" w:lineRule="auto"/>
        <w:ind w:right="-52" w:firstLine="420" w:firstLineChars="200"/>
        <w:rPr>
          <w:rFonts w:ascii="宋体"/>
        </w:rPr>
      </w:pPr>
      <w:r>
        <w:rPr>
          <w:rFonts w:ascii="宋体" w:hAnsi="宋体" w:cs="宋体"/>
        </w:rPr>
        <w:t>1.</w:t>
      </w:r>
      <w:r>
        <w:rPr>
          <w:rFonts w:hint="eastAsia" w:ascii="宋体" w:hAnsi="宋体" w:cs="宋体"/>
        </w:rPr>
        <w:t>患有各种眼部疾患：如眼部急性或慢性炎症、青光眼、角膜知觉异常、角膜上皮缺损、角膜内皮细胞减少、干眼症等，经眼科医生判断不能配戴。</w:t>
      </w:r>
    </w:p>
    <w:p>
      <w:pPr>
        <w:spacing w:line="360" w:lineRule="auto"/>
        <w:ind w:right="-52" w:firstLine="420" w:firstLineChars="200"/>
        <w:rPr>
          <w:rFonts w:ascii="宋体"/>
        </w:rPr>
      </w:pPr>
      <w:r>
        <w:rPr>
          <w:rFonts w:ascii="宋体" w:hAnsi="宋体" w:cs="宋体"/>
        </w:rPr>
        <w:t>2.</w:t>
      </w:r>
      <w:r>
        <w:rPr>
          <w:rFonts w:hint="eastAsia" w:ascii="宋体" w:hAnsi="宋体" w:cs="宋体"/>
        </w:rPr>
        <w:t>患有可能影响眼部的全身性疾病，经眼科医生判断不能配戴。</w:t>
      </w:r>
    </w:p>
    <w:p>
      <w:pPr>
        <w:spacing w:line="360" w:lineRule="auto"/>
        <w:ind w:right="-52" w:firstLine="420" w:firstLineChars="200"/>
        <w:rPr>
          <w:rFonts w:ascii="宋体"/>
        </w:rPr>
      </w:pPr>
      <w:r>
        <w:rPr>
          <w:rFonts w:ascii="宋体" w:hAnsi="宋体" w:cs="宋体"/>
        </w:rPr>
        <w:t>3.</w:t>
      </w:r>
      <w:r>
        <w:rPr>
          <w:rFonts w:hint="eastAsia" w:ascii="宋体" w:hAnsi="宋体" w:cs="宋体"/>
        </w:rPr>
        <w:t>有接触镜过敏史或接触镜护理产品过敏史。</w:t>
      </w:r>
    </w:p>
    <w:p>
      <w:pPr>
        <w:spacing w:line="360" w:lineRule="auto"/>
        <w:ind w:right="-286" w:firstLine="420" w:firstLineChars="200"/>
        <w:rPr>
          <w:rFonts w:ascii="宋体"/>
        </w:rPr>
      </w:pPr>
      <w:r>
        <w:rPr>
          <w:rFonts w:ascii="宋体" w:hAnsi="宋体" w:cs="宋体"/>
        </w:rPr>
        <w:t>4.</w:t>
      </w:r>
      <w:r>
        <w:rPr>
          <w:rFonts w:hint="eastAsia" w:ascii="宋体" w:hAnsi="宋体" w:cs="宋体"/>
        </w:rPr>
        <w:t>生活或工作环境不适宜配戴软性镜</w:t>
      </w:r>
      <w:r>
        <w:rPr>
          <w:rFonts w:ascii="宋体" w:cs="宋体"/>
        </w:rPr>
        <w:t>,</w:t>
      </w:r>
      <w:r>
        <w:rPr>
          <w:rFonts w:hint="eastAsia" w:ascii="宋体" w:hAnsi="宋体" w:cs="宋体"/>
        </w:rPr>
        <w:t>例如空气中弥散粉尘、药品、气雾剂（如发胶、挥发性化学物）、灰尘等。</w:t>
      </w:r>
    </w:p>
    <w:p>
      <w:pPr>
        <w:spacing w:line="360" w:lineRule="auto"/>
        <w:ind w:right="-52" w:firstLine="420" w:firstLineChars="200"/>
        <w:rPr>
          <w:rFonts w:ascii="宋体"/>
        </w:rPr>
      </w:pPr>
      <w:r>
        <w:rPr>
          <w:rFonts w:ascii="宋体" w:hAnsi="宋体" w:cs="宋体"/>
        </w:rPr>
        <w:t>5.</w:t>
      </w:r>
      <w:r>
        <w:rPr>
          <w:rFonts w:hint="eastAsia" w:ascii="宋体" w:hAnsi="宋体" w:cs="宋体"/>
        </w:rPr>
        <w:t>不能按要求使用软性镜者。</w:t>
      </w:r>
    </w:p>
    <w:p>
      <w:pPr>
        <w:spacing w:line="360" w:lineRule="auto"/>
        <w:ind w:right="-52" w:firstLine="420" w:firstLineChars="200"/>
        <w:rPr>
          <w:rFonts w:ascii="宋体"/>
        </w:rPr>
      </w:pPr>
      <w:r>
        <w:rPr>
          <w:rFonts w:ascii="宋体" w:hAnsi="宋体" w:cs="宋体"/>
        </w:rPr>
        <w:t>6.</w:t>
      </w:r>
      <w:r>
        <w:rPr>
          <w:rFonts w:hint="eastAsia" w:ascii="宋体" w:hAnsi="宋体" w:cs="宋体"/>
        </w:rPr>
        <w:t>不能定期进行眼部检查者。</w:t>
      </w:r>
    </w:p>
    <w:p>
      <w:pPr>
        <w:spacing w:line="360" w:lineRule="auto"/>
        <w:ind w:right="-52" w:firstLine="420" w:firstLineChars="200"/>
        <w:rPr>
          <w:rFonts w:ascii="宋体" w:hAnsi="宋体" w:cs="宋体"/>
        </w:rPr>
      </w:pPr>
      <w:r>
        <w:rPr>
          <w:rFonts w:ascii="宋体" w:hAnsi="宋体" w:cs="宋体"/>
        </w:rPr>
        <w:t>7.</w:t>
      </w:r>
      <w:r>
        <w:rPr>
          <w:rFonts w:hint="eastAsia" w:ascii="宋体" w:hAnsi="宋体" w:cs="宋体"/>
        </w:rPr>
        <w:t>个人卫生条件不具备配戴软性镜所必需的卫生条件者。</w:t>
      </w:r>
    </w:p>
    <w:p>
      <w:pPr>
        <w:spacing w:line="360" w:lineRule="auto"/>
        <w:ind w:right="-52" w:firstLine="420" w:firstLineChars="200"/>
        <w:rPr>
          <w:rFonts w:ascii="宋体" w:hAnsi="宋体" w:cs="宋体"/>
        </w:rPr>
      </w:pP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【注意事项】</w:t>
      </w:r>
    </w:p>
    <w:p>
      <w:pPr>
        <w:pStyle w:val="23"/>
        <w:spacing w:line="360" w:lineRule="auto"/>
        <w:ind w:firstLine="0" w:firstLineChars="0"/>
        <w:rPr>
          <w:color w:val="333333"/>
        </w:rPr>
      </w:pPr>
      <w:r>
        <w:rPr>
          <w:rFonts w:hAnsi="宋体"/>
        </w:rPr>
        <w:t>1.</w:t>
      </w:r>
      <w:r>
        <w:rPr>
          <w:rFonts w:hint="eastAsia" w:hAnsi="宋体" w:cs="宋体"/>
        </w:rPr>
        <w:t>每天配戴养成习惯，始终首先拿取、摘戴同一眼镜片以免混淆，建议按先右后左顺序。</w:t>
      </w:r>
      <w:r>
        <w:rPr>
          <w:rFonts w:hint="eastAsia" w:cs="宋体"/>
        </w:rPr>
        <w:t>摘下镜片放在对应标示的镜片盒中，若左右混淆，不能区分，请寻求</w:t>
      </w:r>
      <w:r>
        <w:rPr>
          <w:rFonts w:hint="eastAsia" w:ascii="宋体" w:hAnsi="宋体" w:cs="宋体"/>
        </w:rPr>
        <w:t>眼科医生或眼视光专业人士的帮助</w:t>
      </w:r>
      <w:r>
        <w:rPr>
          <w:rFonts w:hint="eastAsia" w:cs="宋体"/>
        </w:rPr>
        <w:t>。</w:t>
      </w:r>
      <w:r>
        <w:rPr>
          <w:rFonts w:hint="eastAsia" w:cs="宋体"/>
          <w:color w:val="333333"/>
        </w:rPr>
        <w:t>软性镜配戴反了眼睛会有明显的不适，刺痛的感觉。常用下述方法区分镜片的正反面</w:t>
      </w:r>
      <w:bookmarkStart w:id="0" w:name="section_2"/>
      <w:bookmarkEnd w:id="0"/>
      <w:r>
        <w:rPr>
          <w:rFonts w:hint="eastAsia" w:cs="宋体"/>
          <w:color w:val="333333"/>
        </w:rPr>
        <w:t>（外观法）。把镜片放在手指上，如果边缘内扣像碗（如下图</w:t>
      </w:r>
      <w:r>
        <w:rPr>
          <w:color w:val="333333"/>
        </w:rPr>
        <w:t>1</w:t>
      </w:r>
      <w:r>
        <w:rPr>
          <w:rFonts w:hint="eastAsia" w:cs="宋体"/>
          <w:color w:val="333333"/>
        </w:rPr>
        <w:t>）就是正面，如果像碟子一样摊开（如下图</w:t>
      </w:r>
      <w:r>
        <w:rPr>
          <w:color w:val="333333"/>
        </w:rPr>
        <w:t>2</w:t>
      </w:r>
      <w:r>
        <w:rPr>
          <w:rFonts w:hint="eastAsia" w:cs="宋体"/>
          <w:color w:val="333333"/>
        </w:rPr>
        <w:t>）就是反面。</w:t>
      </w:r>
    </w:p>
    <w:p>
      <w:pPr>
        <w:widowControl/>
        <w:pBdr>
          <w:left w:val="dotted" w:color="E4E4E4" w:sz="12" w:space="26"/>
        </w:pBdr>
        <w:shd w:val="clear" w:color="auto" w:fill="FFFFFF"/>
        <w:spacing w:line="360" w:lineRule="auto"/>
        <w:ind w:left="255"/>
        <w:rPr>
          <w:rFonts w:ascii="宋体"/>
          <w:color w:val="333333"/>
          <w:kern w:val="0"/>
        </w:rPr>
      </w:pPr>
      <w:r>
        <w:rPr>
          <w:rFonts w:ascii="宋体"/>
          <w:color w:val="333333"/>
          <w:kern w:val="0"/>
          <w:lang w:eastAsia="zh-TW"/>
        </w:rPr>
        <w:drawing>
          <wp:inline distT="0" distB="0" distL="0" distR="0">
            <wp:extent cx="2705100" cy="1356360"/>
            <wp:effectExtent l="0" t="0" r="0" b="0"/>
            <wp:docPr id="1" name="图片 9" descr="怎么区分隐形眼镜正反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怎么区分隐形眼镜正反面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6151" cy="1362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right="-52"/>
        <w:rPr>
          <w:rFonts w:hAnsi="宋体" w:cs="Times New Roman"/>
          <w:lang w:eastAsia="zh-CN"/>
        </w:rPr>
      </w:pPr>
      <w:r>
        <w:rPr>
          <w:rFonts w:hAnsi="宋体"/>
          <w:lang w:eastAsia="zh-CN"/>
        </w:rPr>
        <w:t>2.</w:t>
      </w:r>
      <w:r>
        <w:rPr>
          <w:rFonts w:hint="eastAsia" w:hAnsi="宋体"/>
          <w:lang w:eastAsia="zh-CN"/>
        </w:rPr>
        <w:t>初次配戴软性镜在最初的</w:t>
      </w:r>
      <w:r>
        <w:rPr>
          <w:rFonts w:hAnsi="宋体"/>
          <w:lang w:eastAsia="zh-CN"/>
        </w:rPr>
        <w:t>1</w:t>
      </w:r>
      <w:r>
        <w:rPr>
          <w:rFonts w:hint="eastAsia" w:hAnsi="宋体"/>
          <w:lang w:eastAsia="zh-CN"/>
        </w:rPr>
        <w:t>～</w:t>
      </w:r>
      <w:r>
        <w:rPr>
          <w:rFonts w:hAnsi="宋体"/>
          <w:lang w:eastAsia="zh-CN"/>
        </w:rPr>
        <w:t>2</w:t>
      </w:r>
      <w:r>
        <w:rPr>
          <w:rFonts w:hint="eastAsia" w:hAnsi="宋体"/>
          <w:lang w:eastAsia="zh-CN"/>
        </w:rPr>
        <w:t>周内可能有轻微的镜片移动感或不适感，一般可以自行消失。如果异物感较为明显，或者出现视物模糊、眼红、畏光、流泪等刺激症状则应及时摘下镜片寻找原因。导致上述问题的可能原因有：①镜片未居眼角膜中央；②镜片污浊破损；③左右戴反；④其他原因。若症状持续，应及时去医院接受眼科医师检查。</w:t>
      </w:r>
    </w:p>
    <w:p>
      <w:pPr>
        <w:spacing w:line="360" w:lineRule="auto"/>
        <w:ind w:right="-52"/>
        <w:rPr>
          <w:rFonts w:ascii="宋体"/>
        </w:rPr>
      </w:pPr>
      <w:r>
        <w:rPr>
          <w:rFonts w:ascii="宋体" w:hAnsi="宋体" w:cs="宋体"/>
        </w:rPr>
        <w:t>3.</w:t>
      </w:r>
      <w:r>
        <w:rPr>
          <w:rFonts w:hint="eastAsia" w:ascii="宋体" w:hAnsi="宋体" w:cs="宋体"/>
        </w:rPr>
        <w:t>本产品严禁加热或冰冻。</w:t>
      </w:r>
    </w:p>
    <w:p>
      <w:pPr>
        <w:spacing w:line="360" w:lineRule="auto"/>
        <w:rPr>
          <w:rFonts w:ascii="宋体"/>
        </w:rPr>
      </w:pPr>
      <w:r>
        <w:rPr>
          <w:rFonts w:ascii="宋体" w:hAnsi="宋体" w:cs="宋体"/>
        </w:rPr>
        <w:t>4.</w:t>
      </w:r>
      <w:r>
        <w:rPr>
          <w:rFonts w:hint="eastAsia" w:ascii="宋体" w:hAnsi="宋体" w:cs="宋体"/>
        </w:rPr>
        <w:t>戴镜期间如需使用药品尤其是滴眼液，须咨询医生。</w:t>
      </w:r>
    </w:p>
    <w:p>
      <w:pPr>
        <w:spacing w:line="360" w:lineRule="auto"/>
        <w:ind w:right="-52"/>
        <w:rPr>
          <w:rFonts w:ascii="宋体"/>
        </w:rPr>
      </w:pPr>
      <w:r>
        <w:rPr>
          <w:rFonts w:ascii="宋体" w:hAnsi="宋体" w:cs="宋体"/>
        </w:rPr>
        <w:t>5.</w:t>
      </w:r>
      <w:r>
        <w:rPr>
          <w:rFonts w:hint="eastAsia" w:ascii="宋体" w:hAnsi="宋体" w:cs="宋体"/>
        </w:rPr>
        <w:t>如处于孕期、哺乳期或近期计划怀孕者请慎用，并须咨询医生。</w:t>
      </w:r>
    </w:p>
    <w:p>
      <w:pPr>
        <w:spacing w:line="360" w:lineRule="auto"/>
        <w:ind w:right="-52"/>
        <w:rPr>
          <w:rFonts w:ascii="宋体"/>
        </w:rPr>
      </w:pPr>
      <w:r>
        <w:rPr>
          <w:rFonts w:ascii="宋体" w:hAnsi="宋体" w:cs="宋体"/>
        </w:rPr>
        <w:t>6.</w:t>
      </w:r>
      <w:r>
        <w:rPr>
          <w:rFonts w:hint="eastAsia" w:ascii="宋体" w:hAnsi="宋体" w:cs="宋体"/>
        </w:rPr>
        <w:t>如有角膜塑形镜配戴史，配戴镜片前请咨询医生。</w:t>
      </w:r>
    </w:p>
    <w:p>
      <w:pPr>
        <w:spacing w:line="360" w:lineRule="auto"/>
        <w:ind w:right="-52"/>
        <w:rPr>
          <w:rFonts w:ascii="宋体"/>
        </w:rPr>
      </w:pPr>
      <w:r>
        <w:rPr>
          <w:rFonts w:ascii="宋体" w:hAnsi="宋体" w:cs="宋体"/>
        </w:rPr>
        <w:t>7.</w:t>
      </w:r>
      <w:r>
        <w:rPr>
          <w:rFonts w:hint="eastAsia" w:ascii="宋体" w:hAnsi="宋体" w:cs="宋体"/>
        </w:rPr>
        <w:t>配戴镜片进行洗浴、游泳及冲浪等水上或潜水活动时</w:t>
      </w:r>
      <w:r>
        <w:rPr>
          <w:rFonts w:ascii="宋体" w:cs="宋体"/>
        </w:rPr>
        <w:t>,</w:t>
      </w:r>
      <w:r>
        <w:rPr>
          <w:rFonts w:hint="eastAsia" w:ascii="宋体" w:hAnsi="宋体" w:cs="宋体"/>
        </w:rPr>
        <w:t>软性镜有可能脱落，同时眼部感染的风险可能增高</w:t>
      </w:r>
      <w:r>
        <w:rPr>
          <w:rFonts w:ascii="宋体" w:cs="宋体"/>
        </w:rPr>
        <w:t>,</w:t>
      </w:r>
      <w:r>
        <w:rPr>
          <w:rFonts w:hint="eastAsia" w:ascii="宋体" w:hAnsi="宋体" w:cs="宋体"/>
        </w:rPr>
        <w:t>因此不建议配戴。</w:t>
      </w:r>
    </w:p>
    <w:p>
      <w:pPr>
        <w:spacing w:line="360" w:lineRule="auto"/>
        <w:ind w:right="-52"/>
        <w:rPr>
          <w:rFonts w:ascii="宋体"/>
        </w:rPr>
      </w:pPr>
      <w:r>
        <w:rPr>
          <w:rFonts w:ascii="宋体" w:hAnsi="宋体" w:cs="宋体"/>
        </w:rPr>
        <w:t>8.</w:t>
      </w:r>
      <w:r>
        <w:rPr>
          <w:rFonts w:hint="eastAsia" w:ascii="宋体" w:hAnsi="宋体" w:cs="宋体"/>
        </w:rPr>
        <w:t>不要在患病期间如感冒、发热和过度疲劳等情况下配戴镜片。</w:t>
      </w:r>
    </w:p>
    <w:p>
      <w:pPr>
        <w:spacing w:line="360" w:lineRule="auto"/>
        <w:ind w:right="-52"/>
        <w:rPr>
          <w:rFonts w:ascii="宋体"/>
        </w:rPr>
      </w:pPr>
      <w:r>
        <w:rPr>
          <w:rFonts w:ascii="宋体" w:hAnsi="宋体" w:cs="宋体"/>
        </w:rPr>
        <w:t>9.</w:t>
      </w:r>
      <w:r>
        <w:rPr>
          <w:rFonts w:hint="eastAsia" w:ascii="宋体" w:hAnsi="宋体" w:cs="宋体"/>
        </w:rPr>
        <w:t>请先戴上镜片后再上妆，先取下镜片后再卸妆。</w:t>
      </w:r>
    </w:p>
    <w:p>
      <w:pPr>
        <w:spacing w:line="360" w:lineRule="auto"/>
        <w:ind w:right="-52"/>
        <w:rPr>
          <w:rFonts w:ascii="宋体"/>
        </w:rPr>
      </w:pPr>
      <w:r>
        <w:rPr>
          <w:rFonts w:ascii="宋体" w:hAnsi="宋体" w:cs="宋体"/>
        </w:rPr>
        <w:t>10.</w:t>
      </w:r>
      <w:r>
        <w:rPr>
          <w:rFonts w:hint="eastAsia" w:ascii="宋体" w:hAnsi="宋体" w:cs="宋体"/>
        </w:rPr>
        <w:t>如配戴镜片时使用定型水、香水等喷雾剂，请小心使用并且紧闭双眼至烟雾消失</w:t>
      </w:r>
      <w:r>
        <w:rPr>
          <w:rFonts w:ascii="宋体" w:cs="宋体"/>
        </w:rPr>
        <w:t>,</w:t>
      </w:r>
      <w:r>
        <w:rPr>
          <w:rFonts w:hint="eastAsia" w:ascii="宋体" w:hAnsi="宋体" w:cs="宋体"/>
        </w:rPr>
        <w:t>避免进入眼内。</w:t>
      </w:r>
    </w:p>
    <w:p>
      <w:pPr>
        <w:spacing w:line="360" w:lineRule="auto"/>
        <w:ind w:right="-52"/>
        <w:rPr>
          <w:rFonts w:ascii="宋体"/>
        </w:rPr>
      </w:pPr>
      <w:r>
        <w:rPr>
          <w:rFonts w:ascii="宋体" w:hAnsi="宋体" w:cs="宋体"/>
        </w:rPr>
        <w:t>11.</w:t>
      </w:r>
      <w:r>
        <w:rPr>
          <w:rFonts w:hint="eastAsia" w:ascii="宋体" w:hAnsi="宋体" w:cs="宋体"/>
        </w:rPr>
        <w:t>请完全适应配戴镜片后再从事机动车驾驶等操作。</w:t>
      </w:r>
    </w:p>
    <w:p>
      <w:pPr>
        <w:spacing w:line="360" w:lineRule="auto"/>
        <w:ind w:right="-52"/>
        <w:rPr>
          <w:rFonts w:ascii="宋体"/>
        </w:rPr>
      </w:pPr>
      <w:r>
        <w:rPr>
          <w:rFonts w:ascii="宋体" w:hAnsi="宋体" w:cs="宋体"/>
        </w:rPr>
        <w:t>12.</w:t>
      </w:r>
      <w:r>
        <w:rPr>
          <w:rFonts w:hint="eastAsia" w:ascii="宋体" w:hAnsi="宋体" w:cs="宋体"/>
        </w:rPr>
        <w:t>不得与他人共用镜片。</w:t>
      </w:r>
    </w:p>
    <w:p>
      <w:pPr>
        <w:spacing w:line="360" w:lineRule="auto"/>
        <w:rPr>
          <w:rFonts w:ascii="宋体"/>
        </w:rPr>
      </w:pPr>
      <w:r>
        <w:rPr>
          <w:rFonts w:ascii="宋体" w:hAnsi="宋体" w:cs="宋体"/>
        </w:rPr>
        <w:t>13.</w:t>
      </w:r>
      <w:r>
        <w:rPr>
          <w:rFonts w:hint="eastAsia" w:ascii="宋体" w:hAnsi="宋体" w:cs="宋体"/>
        </w:rPr>
        <w:t>放置于远离儿童可触及的地方。</w:t>
      </w:r>
    </w:p>
    <w:p>
      <w:pPr>
        <w:spacing w:line="360" w:lineRule="auto"/>
        <w:rPr>
          <w:rFonts w:ascii="宋体"/>
        </w:rPr>
      </w:pPr>
      <w:r>
        <w:rPr>
          <w:rFonts w:ascii="宋体" w:hAnsi="宋体" w:cs="宋体"/>
        </w:rPr>
        <w:t>14.</w:t>
      </w:r>
      <w:r>
        <w:rPr>
          <w:rFonts w:hint="eastAsia" w:ascii="宋体" w:hAnsi="宋体" w:cs="宋体"/>
        </w:rPr>
        <w:t>镜片离开眼睛暴露于空气中一定时间变干后，禁止再次使用该镜片。</w:t>
      </w:r>
    </w:p>
    <w:p>
      <w:pPr>
        <w:spacing w:line="360" w:lineRule="auto"/>
        <w:ind w:right="-52"/>
        <w:rPr>
          <w:rFonts w:ascii="宋体"/>
        </w:rPr>
      </w:pPr>
      <w:r>
        <w:rPr>
          <w:rFonts w:ascii="宋体" w:hAnsi="宋体" w:cs="宋体"/>
        </w:rPr>
        <w:t>15.</w:t>
      </w:r>
      <w:r>
        <w:rPr>
          <w:rFonts w:hint="eastAsia" w:ascii="宋体" w:hAnsi="宋体" w:cs="宋体"/>
        </w:rPr>
        <w:t>在配戴期间请勿从</w:t>
      </w:r>
      <w:r>
        <w:rPr>
          <w:rFonts w:hint="eastAsia" w:ascii="宋体"/>
        </w:rPr>
        <w:t>事激烈的碰撞性及身体对抗性运动。</w:t>
      </w:r>
    </w:p>
    <w:p>
      <w:pPr>
        <w:spacing w:line="360" w:lineRule="auto"/>
        <w:ind w:right="-52"/>
        <w:rPr>
          <w:rFonts w:ascii="宋体"/>
        </w:rPr>
      </w:pPr>
      <w:r>
        <w:rPr>
          <w:rFonts w:ascii="宋体"/>
        </w:rPr>
        <w:t>16.</w:t>
      </w:r>
      <w:r>
        <w:rPr>
          <w:rFonts w:hint="eastAsia" w:ascii="宋体"/>
        </w:rPr>
        <w:t>每日更换型镜片日戴日抛，不得重复使用。</w:t>
      </w:r>
    </w:p>
    <w:p>
      <w:pPr>
        <w:spacing w:line="360" w:lineRule="auto"/>
        <w:ind w:right="-52"/>
        <w:rPr>
          <w:rFonts w:ascii="宋体"/>
        </w:rPr>
      </w:pPr>
      <w:r>
        <w:rPr>
          <w:rFonts w:hint="eastAsia" w:ascii="宋体"/>
        </w:rPr>
        <w:t>17.可以吸收紫外线的软性亲水接触</w:t>
      </w:r>
      <w:r>
        <w:rPr>
          <w:rFonts w:hint="cs" w:ascii="宋体"/>
        </w:rPr>
        <w:t>镜</w:t>
      </w:r>
      <w:r>
        <w:rPr>
          <w:rFonts w:hint="eastAsia" w:ascii="PMingLiU" w:hAnsi="PMingLiU" w:cs="宋体"/>
        </w:rPr>
        <w:t>并</w:t>
      </w:r>
      <w:r>
        <w:rPr>
          <w:rFonts w:hint="eastAsia" w:ascii="宋体" w:hAnsi="宋体" w:cs="宋体"/>
        </w:rPr>
        <w:t>不可用以替代其他必备的紫外线眼部护具，例如护目镜或太阳镜，因为软性亲水接触镜无法</w:t>
      </w:r>
      <w:r>
        <w:rPr>
          <w:rFonts w:hint="eastAsia" w:ascii="宋体"/>
        </w:rPr>
        <w:t>完全遮盖眼睛。</w:t>
      </w:r>
    </w:p>
    <w:p>
      <w:pPr>
        <w:spacing w:line="360" w:lineRule="auto"/>
        <w:ind w:right="-52"/>
        <w:rPr>
          <w:rFonts w:ascii="宋体"/>
        </w:rPr>
      </w:pPr>
      <w:r>
        <w:rPr>
          <w:rFonts w:hint="eastAsia" w:ascii="宋体"/>
        </w:rPr>
        <w:t>18.开封前请确认包装是否完好，如有破损禁止使用。</w:t>
      </w:r>
    </w:p>
    <w:p>
      <w:pPr>
        <w:spacing w:line="360" w:lineRule="auto"/>
        <w:ind w:right="-52"/>
        <w:rPr>
          <w:rFonts w:ascii="宋体"/>
        </w:rPr>
      </w:pPr>
      <w:r>
        <w:rPr>
          <w:rFonts w:hint="eastAsia" w:ascii="宋体"/>
        </w:rPr>
        <w:t>19.有眼外伤史或手术史配戴前请咨询医生。</w:t>
      </w:r>
    </w:p>
    <w:p>
      <w:pPr>
        <w:spacing w:line="360" w:lineRule="auto"/>
        <w:ind w:right="-52"/>
        <w:rPr>
          <w:rFonts w:ascii="宋体"/>
          <w:highlight w:val="green"/>
        </w:rPr>
      </w:pPr>
      <w:r>
        <w:rPr>
          <w:rFonts w:hint="eastAsia" w:ascii="宋体"/>
        </w:rPr>
        <w:t>20.若有眼干涩，可以适当滴润滑液，相关使用方法详见润滑液说明书。</w:t>
      </w:r>
    </w:p>
    <w:p>
      <w:pPr>
        <w:spacing w:line="360" w:lineRule="auto"/>
        <w:rPr>
          <w:rFonts w:ascii="宋体" w:hAnsi="宋体" w:cs="宋体"/>
        </w:rPr>
      </w:pPr>
    </w:p>
    <w:p>
      <w:pPr>
        <w:spacing w:line="360" w:lineRule="auto"/>
        <w:ind w:right="-52"/>
        <w:rPr>
          <w:rFonts w:ascii="宋体"/>
        </w:rPr>
      </w:pPr>
      <w:r>
        <w:rPr>
          <w:rFonts w:hint="eastAsia" w:ascii="宋体" w:hAnsi="宋体" w:cs="宋体"/>
        </w:rPr>
        <w:t>【配戴时间表】</w:t>
      </w:r>
    </w:p>
    <w:p>
      <w:pPr>
        <w:spacing w:line="360" w:lineRule="auto"/>
        <w:ind w:right="-52"/>
        <w:rPr>
          <w:rFonts w:ascii="宋体"/>
        </w:rPr>
      </w:pPr>
      <w:r>
        <w:rPr>
          <w:rFonts w:hint="eastAsia" w:ascii="宋体" w:hAnsi="宋体" w:cs="宋体"/>
        </w:rPr>
        <w:t>本镜片为日戴型镜片。初次配戴时，可能会有不同程度的异物感，参照以下表</w:t>
      </w:r>
      <w:r>
        <w:rPr>
          <w:rFonts w:ascii="宋体" w:hAnsi="宋体" w:cs="宋体"/>
        </w:rPr>
        <w:t>1</w:t>
      </w:r>
      <w:r>
        <w:rPr>
          <w:rFonts w:hint="eastAsia" w:ascii="宋体" w:hAnsi="宋体" w:cs="宋体"/>
        </w:rPr>
        <w:t>时间进行配戴，可以使眼睛逐步适应软性镜。</w:t>
      </w:r>
    </w:p>
    <w:p>
      <w:pPr>
        <w:spacing w:line="360" w:lineRule="auto"/>
        <w:ind w:right="-52"/>
        <w:jc w:val="center"/>
        <w:rPr>
          <w:rFonts w:ascii="宋体"/>
        </w:rPr>
      </w:pPr>
      <w:r>
        <w:rPr>
          <w:rFonts w:hint="eastAsia" w:ascii="宋体" w:hAnsi="宋体" w:cs="宋体"/>
        </w:rPr>
        <w:t>表</w:t>
      </w:r>
      <w:r>
        <w:rPr>
          <w:rFonts w:ascii="宋体" w:hAnsi="宋体" w:cs="宋体"/>
        </w:rPr>
        <w:t xml:space="preserve">1 </w:t>
      </w:r>
      <w:r>
        <w:rPr>
          <w:rFonts w:hint="eastAsia" w:ascii="宋体" w:hAnsi="宋体" w:cs="宋体"/>
        </w:rPr>
        <w:t>配戴时间表</w:t>
      </w:r>
    </w:p>
    <w:tbl>
      <w:tblPr>
        <w:tblStyle w:val="1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080"/>
        <w:gridCol w:w="1080"/>
        <w:gridCol w:w="1080"/>
        <w:gridCol w:w="1080"/>
        <w:gridCol w:w="1080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2088" w:type="dxa"/>
            <w:vAlign w:val="center"/>
          </w:tcPr>
          <w:p>
            <w:pPr>
              <w:spacing w:line="360" w:lineRule="auto"/>
              <w:ind w:right="-52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开始戴镜天数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4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5</w:t>
            </w:r>
          </w:p>
        </w:tc>
        <w:tc>
          <w:tcPr>
            <w:tcW w:w="1034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88" w:type="dxa"/>
            <w:vAlign w:val="center"/>
          </w:tcPr>
          <w:p>
            <w:pPr>
              <w:spacing w:line="360" w:lineRule="auto"/>
              <w:ind w:right="-52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戴用时间（小时）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4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6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8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10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 w:eastAsiaTheme="minorEastAsia"/>
                <w:lang w:eastAsia="zh-TW"/>
              </w:rPr>
            </w:pPr>
            <w:r>
              <w:rPr>
                <w:rFonts w:ascii="宋体" w:hAnsi="宋体" w:cs="宋体"/>
              </w:rPr>
              <w:t>1</w:t>
            </w:r>
            <w:r>
              <w:rPr>
                <w:rFonts w:hint="eastAsia" w:ascii="宋体" w:hAnsi="宋体" w:cs="宋体" w:eastAsiaTheme="minorEastAsia"/>
                <w:lang w:eastAsia="zh-TW"/>
              </w:rPr>
              <w:t>2</w:t>
            </w:r>
          </w:p>
        </w:tc>
        <w:tc>
          <w:tcPr>
            <w:tcW w:w="1034" w:type="dxa"/>
            <w:vAlign w:val="center"/>
          </w:tcPr>
          <w:p>
            <w:pPr>
              <w:spacing w:line="360" w:lineRule="auto"/>
              <w:ind w:right="-52"/>
              <w:jc w:val="center"/>
              <w:rPr>
                <w:rFonts w:ascii="宋体" w:eastAsiaTheme="minorEastAsia"/>
                <w:lang w:eastAsia="zh-TW"/>
              </w:rPr>
            </w:pPr>
            <w:r>
              <w:rPr>
                <w:rFonts w:ascii="宋体" w:hAnsi="宋体" w:cs="宋体"/>
              </w:rPr>
              <w:t>1</w:t>
            </w:r>
            <w:r>
              <w:rPr>
                <w:rFonts w:hint="eastAsia" w:ascii="宋体" w:hAnsi="宋体" w:cs="宋体" w:eastAsiaTheme="minorEastAsia"/>
                <w:lang w:eastAsia="zh-TW"/>
              </w:rPr>
              <w:t>2</w:t>
            </w:r>
          </w:p>
        </w:tc>
      </w:tr>
    </w:tbl>
    <w:p>
      <w:pPr>
        <w:spacing w:line="360" w:lineRule="auto"/>
        <w:rPr>
          <w:rFonts w:ascii="宋体"/>
        </w:rPr>
      </w:pPr>
      <w:r>
        <w:rPr>
          <w:rFonts w:ascii="宋体" w:hAnsi="宋体" w:cs="宋体"/>
        </w:rPr>
        <w:t>1.</w:t>
      </w:r>
      <w:r>
        <w:rPr>
          <w:rFonts w:hint="eastAsia" w:ascii="宋体" w:hAnsi="宋体" w:cs="宋体"/>
        </w:rPr>
        <w:t>遵守配戴时间。初戴或长时间停戴后再戴者，从每天戴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/>
          <w:u w:val="single"/>
        </w:rPr>
        <w:t>4</w:t>
      </w:r>
      <w:r>
        <w:rPr>
          <w:rFonts w:hint="eastAsia" w:ascii="宋体" w:hAnsi="宋体" w:cs="宋体"/>
        </w:rPr>
        <w:t>小时开始，每天增加</w:t>
      </w:r>
      <w:r>
        <w:rPr>
          <w:rFonts w:ascii="宋体" w:hAnsi="宋体" w:cs="宋体"/>
          <w:u w:val="single"/>
        </w:rPr>
        <w:t xml:space="preserve"> 2 </w:t>
      </w:r>
      <w:r>
        <w:rPr>
          <w:rFonts w:hint="eastAsia" w:ascii="宋体" w:hAnsi="宋体" w:cs="宋体"/>
        </w:rPr>
        <w:t>小时。日戴镜片勿戴镜睡眠。</w:t>
      </w:r>
    </w:p>
    <w:p>
      <w:pPr>
        <w:spacing w:line="360" w:lineRule="auto"/>
        <w:rPr>
          <w:rFonts w:ascii="宋体"/>
        </w:rPr>
      </w:pPr>
      <w:r>
        <w:rPr>
          <w:rFonts w:ascii="宋体" w:hAnsi="宋体" w:cs="宋体"/>
        </w:rPr>
        <w:t>2.</w:t>
      </w:r>
      <w:r>
        <w:rPr>
          <w:rFonts w:hint="eastAsia" w:ascii="宋体" w:hAnsi="宋体" w:cs="宋体"/>
        </w:rPr>
        <w:t>建议一次配戴最长不超过表</w:t>
      </w:r>
      <w:r>
        <w:rPr>
          <w:rFonts w:ascii="宋体" w:hAnsi="宋体" w:cs="宋体"/>
        </w:rPr>
        <w:t>1</w:t>
      </w:r>
      <w:r>
        <w:rPr>
          <w:rFonts w:hint="eastAsia" w:ascii="宋体" w:hAnsi="宋体" w:cs="宋体"/>
        </w:rPr>
        <w:t>中最长时间。配戴时间因人而异，不要超时配戴。</w:t>
      </w:r>
    </w:p>
    <w:p>
      <w:pPr>
        <w:spacing w:line="360" w:lineRule="auto"/>
        <w:rPr>
          <w:rFonts w:ascii="宋体"/>
        </w:rPr>
      </w:pPr>
      <w:r>
        <w:rPr>
          <w:rFonts w:ascii="宋体" w:hAnsi="宋体" w:cs="宋体"/>
        </w:rPr>
        <w:t>3.</w:t>
      </w:r>
      <w:r>
        <w:rPr>
          <w:rFonts w:hint="eastAsia" w:ascii="宋体" w:hAnsi="宋体" w:cs="宋体"/>
        </w:rPr>
        <w:t>如果中途因停戴而间断配戴，则应按首次配戴时间重新适应。</w:t>
      </w:r>
    </w:p>
    <w:p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4.</w:t>
      </w:r>
      <w:r>
        <w:rPr>
          <w:rFonts w:hint="eastAsia" w:ascii="宋体" w:hAnsi="宋体" w:cs="宋体"/>
        </w:rPr>
        <w:t>镜片建议更换周期见表</w:t>
      </w:r>
      <w:r>
        <w:rPr>
          <w:rFonts w:ascii="宋体" w:hAnsi="宋体" w:cs="宋体"/>
        </w:rPr>
        <w:t>2</w:t>
      </w:r>
      <w:r>
        <w:rPr>
          <w:rFonts w:hint="eastAsia" w:ascii="宋体" w:hAnsi="宋体" w:cs="宋体"/>
        </w:rPr>
        <w:t>，实际使用寿命请遵照眼科医生建议。</w:t>
      </w:r>
    </w:p>
    <w:p>
      <w:pPr>
        <w:spacing w:line="360" w:lineRule="auto"/>
        <w:rPr>
          <w:rFonts w:ascii="宋体" w:hAnsi="宋体" w:cs="宋体"/>
        </w:rPr>
      </w:pP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【性能结构及组成】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镜片设计描述：镜片为单焦，球面镜片。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镜片相关信息见下表</w:t>
      </w:r>
      <w:r>
        <w:rPr>
          <w:rFonts w:ascii="宋体" w:hAnsi="宋体" w:cs="宋体"/>
        </w:rPr>
        <w:t>2</w:t>
      </w:r>
    </w:p>
    <w:p>
      <w:pPr>
        <w:spacing w:line="360" w:lineRule="auto"/>
        <w:jc w:val="center"/>
        <w:rPr>
          <w:rFonts w:ascii="宋体"/>
        </w:rPr>
      </w:pPr>
      <w:r>
        <w:rPr>
          <w:rFonts w:hint="eastAsia" w:ascii="宋体" w:hAnsi="宋体" w:cs="宋体"/>
        </w:rPr>
        <w:t>表</w:t>
      </w:r>
      <w:r>
        <w:rPr>
          <w:rFonts w:ascii="宋体" w:hAnsi="宋体" w:cs="宋体"/>
        </w:rPr>
        <w:t>2</w:t>
      </w:r>
      <w:r>
        <w:rPr>
          <w:rFonts w:hint="eastAsia" w:ascii="宋体" w:hAnsi="宋体" w:cs="宋体"/>
        </w:rPr>
        <w:t>镜片相关信息</w:t>
      </w:r>
    </w:p>
    <w:tbl>
      <w:tblPr>
        <w:tblStyle w:val="11"/>
        <w:tblW w:w="97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7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内容名称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内容或单位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镜片材料</w:t>
            </w:r>
          </w:p>
        </w:tc>
        <w:tc>
          <w:tcPr>
            <w:tcW w:w="7877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/>
              </w:rPr>
            </w:pPr>
            <w:r>
              <w:rPr>
                <w:rFonts w:ascii="宋体" w:hAnsi="宋体" w:cs="宋体"/>
              </w:rPr>
              <w:t>HEMA</w:t>
            </w:r>
            <w:r>
              <w:rPr>
                <w:rFonts w:hint="eastAsia" w:ascii="宋体" w:hAnsi="宋体" w:cs="宋体"/>
              </w:rPr>
              <w:t>、MAA、EGDMA、2-(3-(2H-benzotriazol-2-yl)-4-hydroxy-phenyl)ethyl methyacrylate、Phenylbis(2,4,6-trimethylbenzoyl)phosphine oxide、2,2-Diethoxyacetophenone及着色剂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保存液类型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氯化钠、磷酸二氢钠、磷酸一氢钠、柠檬酸钠、聚乙二醇、泊洛沙姆、羟丙基甲基纤维素及纯化水调配而成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后顶焦度范围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 w:eastAsiaTheme="minorEastAsia"/>
                <w:lang w:eastAsia="zh-TW"/>
              </w:rPr>
            </w:pPr>
            <w:r>
              <w:rPr>
                <w:rFonts w:ascii="宋体" w:hAnsi="宋体" w:cs="宋体"/>
              </w:rPr>
              <w:t>0.00D</w:t>
            </w:r>
            <w:r>
              <w:rPr>
                <w:rFonts w:hint="eastAsia" w:ascii="宋体" w:hAnsi="宋体" w:cs="宋体"/>
              </w:rPr>
              <w:t>至</w:t>
            </w:r>
            <w:r>
              <w:rPr>
                <w:rFonts w:ascii="宋体" w:hAnsi="宋体" w:cs="宋体"/>
              </w:rPr>
              <w:t>-12.00D</w:t>
            </w:r>
            <w:r>
              <w:rPr>
                <w:rFonts w:hint="eastAsia" w:ascii="宋体" w:hAnsi="宋体" w:cs="宋体"/>
              </w:rPr>
              <w:t>，步长</w:t>
            </w:r>
            <w:r>
              <w:rPr>
                <w:rFonts w:ascii="宋体" w:hAnsi="宋体" w:cs="宋体"/>
              </w:rPr>
              <w:t>0.25D</w:t>
            </w:r>
            <w:r>
              <w:rPr>
                <w:rFonts w:hint="eastAsia" w:ascii="宋体" w:hAnsi="宋体" w:cs="宋体" w:eastAsiaTheme="minorEastAsia"/>
                <w:lang w:eastAsia="zh-TW"/>
              </w:rPr>
              <w:t xml:space="preserve">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折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 w:ascii="宋体" w:hAnsi="宋体" w:cs="宋体"/>
              </w:rPr>
              <w:t>射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 w:ascii="宋体" w:hAnsi="宋体" w:cs="宋体"/>
              </w:rPr>
              <w:t>率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/>
              </w:rPr>
              <w:t>1.410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含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 w:ascii="宋体" w:hAnsi="宋体" w:cs="宋体"/>
              </w:rPr>
              <w:t>水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 w:ascii="宋体" w:hAnsi="宋体" w:cs="宋体"/>
              </w:rPr>
              <w:t>量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/>
              </w:rPr>
              <w:t>55%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光透过率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color w:val="000000"/>
              </w:rPr>
              <w:t>模拟使用状态下，光透过率在标准照明体</w:t>
            </w:r>
            <w:r>
              <w:rPr>
                <w:rFonts w:ascii="宋体" w:hAnsi="宋体"/>
                <w:color w:val="000000"/>
              </w:rPr>
              <w:t>D65</w:t>
            </w:r>
            <w:r>
              <w:rPr>
                <w:rFonts w:hint="eastAsia" w:ascii="宋体" w:hAnsi="宋体"/>
                <w:color w:val="000000"/>
              </w:rPr>
              <w:t>和</w:t>
            </w:r>
            <w:r>
              <w:rPr>
                <w:rFonts w:ascii="宋体" w:hAnsi="宋体"/>
                <w:color w:val="000000"/>
              </w:rPr>
              <w:t>A</w:t>
            </w:r>
            <w:r>
              <w:rPr>
                <w:rFonts w:hint="eastAsia" w:ascii="宋体" w:hAnsi="宋体"/>
                <w:color w:val="000000"/>
              </w:rPr>
              <w:t>下分别测定，其结果应都是</w:t>
            </w:r>
            <w:r>
              <w:rPr>
                <w:rFonts w:hint="eastAsia" w:ascii="宋体" w:hAnsi="宋体" w:cs="宋体"/>
                <w:color w:val="000000"/>
                <w:lang w:val="en-GB"/>
              </w:rPr>
              <w:t>≥</w:t>
            </w:r>
            <w:r>
              <w:rPr>
                <w:rFonts w:ascii="宋体" w:hAnsi="宋体" w:cs="宋体"/>
              </w:rPr>
              <w:t>89%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抗紫外线功能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cs="宋体"/>
              </w:rPr>
              <w:t>UV</w:t>
            </w:r>
            <w:r>
              <w:rPr>
                <w:rFonts w:ascii="宋体" w:cs="宋体"/>
              </w:rPr>
              <w:t>吸收2类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颜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hint="eastAsia" w:ascii="宋体" w:hAnsi="宋体" w:cs="宋体"/>
              </w:rPr>
              <w:t>色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单色：黑色、金</w:t>
            </w:r>
            <w:r>
              <w:rPr>
                <w:rFonts w:hint="eastAsia" w:ascii="宋体" w:hAnsi="宋体" w:cs="宋体"/>
                <w:lang w:val="en-US" w:eastAsia="zh-CN"/>
              </w:rPr>
              <w:t>黄</w:t>
            </w:r>
            <w:r>
              <w:rPr>
                <w:rFonts w:hint="eastAsia" w:ascii="宋体" w:hAnsi="宋体" w:cs="宋体"/>
              </w:rPr>
              <w:t>色、蓝色、绿色、灰色、棕色、紫色。</w:t>
            </w:r>
          </w:p>
          <w:p>
            <w:pPr>
              <w:spacing w:line="360" w:lineRule="auto"/>
              <w:rPr>
                <w:rFonts w:ascii="宋体" w:hAnsi="宋体" w:cs="宋体" w:eastAsiaTheme="minorEastAsia"/>
              </w:rPr>
            </w:pPr>
            <w:r>
              <w:rPr>
                <w:rFonts w:hint="eastAsia" w:ascii="宋体" w:hAnsi="宋体" w:cs="宋体"/>
              </w:rPr>
              <w:t>双色及三色：金</w:t>
            </w:r>
            <w:r>
              <w:rPr>
                <w:rFonts w:hint="eastAsia" w:ascii="宋体" w:hAnsi="宋体" w:cs="宋体"/>
                <w:lang w:val="en-US" w:eastAsia="zh-CN"/>
              </w:rPr>
              <w:t>黄</w:t>
            </w:r>
            <w:r>
              <w:rPr>
                <w:rFonts w:hint="eastAsia" w:ascii="宋体" w:hAnsi="宋体" w:cs="宋体"/>
              </w:rPr>
              <w:t>色、蓝色、绿色、灰色、棕色、紫色。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基弧半径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/>
              </w:rPr>
              <w:t>8.00mm-9.00mm</w:t>
            </w:r>
            <w:r>
              <w:rPr>
                <w:rFonts w:hint="eastAsia" w:ascii="宋体" w:hAnsi="宋体" w:cs="宋体"/>
              </w:rPr>
              <w:t>，步长</w:t>
            </w:r>
            <w:r>
              <w:rPr>
                <w:rFonts w:ascii="宋体" w:hAnsi="宋体" w:cs="宋体"/>
              </w:rPr>
              <w:t>0.1</w:t>
            </w:r>
            <w:r>
              <w:rPr>
                <w:rFonts w:hint="eastAsia" w:ascii="宋体" w:hAnsi="宋体" w:cs="宋体"/>
                <w:lang w:val="en-US" w:eastAsia="zh-CN"/>
              </w:rPr>
              <w:t>0</w:t>
            </w:r>
            <w:r>
              <w:rPr>
                <w:rFonts w:ascii="宋体" w:hAnsi="宋体" w:cs="宋体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总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 w:ascii="宋体" w:hAnsi="宋体" w:cs="宋体"/>
              </w:rPr>
              <w:t>直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 w:ascii="宋体" w:hAnsi="宋体" w:cs="宋体"/>
              </w:rPr>
              <w:t>径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/>
              </w:rPr>
              <w:t>13.80mm-14.50mm</w:t>
            </w:r>
            <w:r>
              <w:rPr>
                <w:rFonts w:hint="eastAsia" w:ascii="宋体" w:hAnsi="宋体" w:cs="宋体"/>
              </w:rPr>
              <w:t>，步长</w:t>
            </w:r>
            <w:r>
              <w:rPr>
                <w:rFonts w:ascii="宋体" w:hAnsi="宋体" w:cs="宋体"/>
              </w:rPr>
              <w:t>0.10mm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中心厚度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见表</w:t>
            </w:r>
            <w:r>
              <w:rPr>
                <w:rFonts w:ascii="宋体" w:hAnsi="宋体" w:cs="宋体"/>
              </w:rPr>
              <w:t>2</w:t>
            </w:r>
            <w:r>
              <w:rPr>
                <w:rFonts w:hint="eastAsia" w:ascii="宋体" w:hAnsi="宋体" w:cs="宋体"/>
              </w:rPr>
              <w:t>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透氧系数</w:t>
            </w:r>
          </w:p>
        </w:tc>
        <w:tc>
          <w:tcPr>
            <w:tcW w:w="7877" w:type="dxa"/>
            <w:vAlign w:val="top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/>
                <w:i w:val="0"/>
                <w:iCs w:val="0"/>
                <w:color w:val="auto"/>
              </w:rPr>
              <w:t>14.7</w:t>
            </w:r>
            <w:r>
              <w:rPr>
                <w:i w:val="0"/>
                <w:iCs w:val="0"/>
                <w:color w:val="auto"/>
              </w:rPr>
              <w:t>×10</w:t>
            </w:r>
            <w:r>
              <w:rPr>
                <w:i w:val="0"/>
                <w:iCs w:val="0"/>
                <w:color w:val="auto"/>
                <w:vertAlign w:val="superscript"/>
              </w:rPr>
              <w:t>-11</w:t>
            </w:r>
            <w:r>
              <w:rPr>
                <w:rFonts w:hint="eastAsia"/>
                <w:i w:val="0"/>
                <w:iCs w:val="0"/>
                <w:color w:val="auto"/>
              </w:rPr>
              <w:t>(</w:t>
            </w:r>
            <w:r>
              <w:rPr>
                <w:i w:val="0"/>
                <w:iCs w:val="0"/>
                <w:color w:val="auto"/>
              </w:rPr>
              <w:t>cm</w:t>
            </w:r>
            <w:r>
              <w:rPr>
                <w:i w:val="0"/>
                <w:iCs w:val="0"/>
                <w:color w:val="auto"/>
                <w:vertAlign w:val="superscript"/>
              </w:rPr>
              <w:t>2</w:t>
            </w:r>
            <w:r>
              <w:rPr>
                <w:i w:val="0"/>
                <w:iCs w:val="0"/>
                <w:color w:val="auto"/>
              </w:rPr>
              <w:t>/s) [mlO</w:t>
            </w:r>
            <w:r>
              <w:rPr>
                <w:i w:val="0"/>
                <w:iCs w:val="0"/>
                <w:color w:val="auto"/>
                <w:vertAlign w:val="subscript"/>
              </w:rPr>
              <w:t>2</w:t>
            </w:r>
            <w:r>
              <w:rPr>
                <w:i w:val="0"/>
                <w:iCs w:val="0"/>
                <w:color w:val="auto"/>
              </w:rPr>
              <w:t>/(ml</w:t>
            </w:r>
            <w:r>
              <w:rPr>
                <w:i w:val="0"/>
                <w:iCs w:val="0"/>
                <w:color w:val="auto"/>
              </w:rPr>
              <w:object>
                <v:shape id="_x0000_i1025" o:spt="75" type="#_x0000_t75" style="height:6pt;width:6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7">
                  <o:LockedField>false</o:LockedField>
                </o:OLEObject>
              </w:object>
            </w:r>
            <w:r>
              <w:rPr>
                <w:i w:val="0"/>
                <w:iCs w:val="0"/>
                <w:color w:val="auto"/>
              </w:rPr>
              <w:t>hPa)</w:t>
            </w:r>
            <w:r>
              <w:rPr>
                <w:rFonts w:hint="eastAsia"/>
                <w:i w:val="0"/>
                <w:iCs w:val="0"/>
                <w:color w:val="auto"/>
                <w:lang w:val="en-US" w:eastAsia="zh-CN"/>
              </w:rPr>
              <w:t xml:space="preserve"> </w:t>
            </w:r>
            <w:r>
              <w:rPr>
                <w:i w:val="0"/>
                <w:iCs w:val="0"/>
                <w:color w:val="auto"/>
                <w:sz w:val="21"/>
                <w:szCs w:val="21"/>
              </w:rPr>
              <w:t>]</w:t>
            </w:r>
            <w:r>
              <w:rPr>
                <w:rFonts w:hint="eastAsia"/>
                <w:i w:val="0"/>
                <w:iCs w:val="0"/>
                <w:color w:val="auto"/>
                <w:lang w:val="en-US" w:eastAsia="zh-CN"/>
              </w:rPr>
              <w:t>或 19.6</w:t>
            </w:r>
            <w:r>
              <w:rPr>
                <w:i w:val="0"/>
                <w:iCs w:val="0"/>
                <w:color w:val="auto"/>
              </w:rPr>
              <w:t>×10</w:t>
            </w:r>
            <w:r>
              <w:rPr>
                <w:i w:val="0"/>
                <w:iCs w:val="0"/>
                <w:color w:val="auto"/>
                <w:vertAlign w:val="superscript"/>
              </w:rPr>
              <w:t>-11</w:t>
            </w:r>
            <w:r>
              <w:rPr>
                <w:rFonts w:hint="eastAsia"/>
                <w:i w:val="0"/>
                <w:iCs w:val="0"/>
                <w:color w:val="auto"/>
              </w:rPr>
              <w:t>(</w:t>
            </w:r>
            <w:r>
              <w:rPr>
                <w:i w:val="0"/>
                <w:iCs w:val="0"/>
                <w:color w:val="auto"/>
              </w:rPr>
              <w:t>cm</w:t>
            </w:r>
            <w:r>
              <w:rPr>
                <w:i w:val="0"/>
                <w:iCs w:val="0"/>
                <w:color w:val="auto"/>
                <w:vertAlign w:val="superscript"/>
              </w:rPr>
              <w:t>2</w:t>
            </w:r>
            <w:r>
              <w:rPr>
                <w:i w:val="0"/>
                <w:iCs w:val="0"/>
                <w:color w:val="auto"/>
              </w:rPr>
              <w:t>/s) [mlO</w:t>
            </w:r>
            <w:r>
              <w:rPr>
                <w:i w:val="0"/>
                <w:iCs w:val="0"/>
                <w:color w:val="auto"/>
                <w:vertAlign w:val="subscript"/>
              </w:rPr>
              <w:t>2</w:t>
            </w:r>
            <w:r>
              <w:rPr>
                <w:i w:val="0"/>
                <w:iCs w:val="0"/>
                <w:color w:val="auto"/>
              </w:rPr>
              <w:t>/(ml</w:t>
            </w:r>
            <w:r>
              <w:rPr>
                <w:i w:val="0"/>
                <w:iCs w:val="0"/>
                <w:color w:val="auto"/>
              </w:rPr>
              <w:object>
                <v:shape id="_x0000_i1026" o:spt="75" type="#_x0000_t75" style="height:6pt;width:6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9">
                  <o:LockedField>false</o:LockedField>
                </o:OLEObject>
              </w:object>
            </w:r>
            <w:r>
              <w:rPr>
                <w:rFonts w:hint="eastAsia"/>
                <w:i w:val="0"/>
                <w:iCs w:val="0"/>
                <w:color w:val="auto"/>
                <w:lang w:val="en-US" w:eastAsia="zh-CN"/>
              </w:rPr>
              <w:t>mmHg</w:t>
            </w:r>
            <w:r>
              <w:rPr>
                <w:i w:val="0"/>
                <w:iCs w:val="0"/>
                <w:color w:val="auto"/>
                <w:sz w:val="21"/>
                <w:szCs w:val="21"/>
              </w:rPr>
              <w:t>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透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 w:ascii="宋体" w:hAnsi="宋体" w:cs="宋体"/>
              </w:rPr>
              <w:t>氧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 w:ascii="宋体" w:hAnsi="宋体" w:cs="宋体"/>
              </w:rPr>
              <w:t>量</w:t>
            </w:r>
          </w:p>
        </w:tc>
        <w:tc>
          <w:tcPr>
            <w:tcW w:w="7877" w:type="dxa"/>
            <w:vAlign w:val="top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/>
                <w:i w:val="0"/>
                <w:iCs w:val="0"/>
                <w:color w:val="auto"/>
              </w:rPr>
              <w:t>18.3</w:t>
            </w:r>
            <w:r>
              <w:rPr>
                <w:rFonts w:hint="eastAsia" w:ascii="宋体" w:hAnsi="宋体" w:cs="宋体"/>
                <w:i w:val="0"/>
                <w:iCs w:val="0"/>
                <w:color w:val="auto"/>
              </w:rPr>
              <w:t>×</w:t>
            </w:r>
            <w:r>
              <w:rPr>
                <w:i w:val="0"/>
                <w:iCs w:val="0"/>
                <w:color w:val="auto"/>
              </w:rPr>
              <w:t>10</w:t>
            </w:r>
            <w:r>
              <w:rPr>
                <w:i w:val="0"/>
                <w:iCs w:val="0"/>
                <w:color w:val="auto"/>
                <w:vertAlign w:val="superscript"/>
              </w:rPr>
              <w:t>-9</w:t>
            </w:r>
            <w:r>
              <w:rPr>
                <w:rFonts w:hint="eastAsia"/>
                <w:i w:val="0"/>
                <w:iCs w:val="0"/>
                <w:color w:val="auto"/>
              </w:rPr>
              <w:t>(</w:t>
            </w:r>
            <w:r>
              <w:rPr>
                <w:i w:val="0"/>
                <w:iCs w:val="0"/>
                <w:color w:val="auto"/>
              </w:rPr>
              <w:t>cm/s) [mlO</w:t>
            </w:r>
            <w:r>
              <w:rPr>
                <w:i w:val="0"/>
                <w:iCs w:val="0"/>
                <w:color w:val="auto"/>
                <w:vertAlign w:val="subscript"/>
              </w:rPr>
              <w:t>2</w:t>
            </w:r>
            <w:r>
              <w:rPr>
                <w:i w:val="0"/>
                <w:iCs w:val="0"/>
                <w:color w:val="auto"/>
              </w:rPr>
              <w:t>/(ml</w:t>
            </w:r>
            <w:r>
              <w:rPr>
                <w:i w:val="0"/>
                <w:iCs w:val="0"/>
                <w:color w:val="auto"/>
              </w:rPr>
              <w:object>
                <v:shape id="_x0000_i1027" o:spt="75" type="#_x0000_t75" style="height:6pt;width:6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10">
                  <o:LockedField>false</o:LockedField>
                </o:OLEObject>
              </w:object>
            </w:r>
            <w:r>
              <w:rPr>
                <w:i w:val="0"/>
                <w:iCs w:val="0"/>
                <w:color w:val="auto"/>
              </w:rPr>
              <w:t>hPa)</w:t>
            </w:r>
            <w:r>
              <w:rPr>
                <w:rFonts w:hint="eastAsia"/>
                <w:i w:val="0"/>
                <w:iCs w:val="0"/>
                <w:color w:val="auto"/>
                <w:lang w:val="en-US" w:eastAsia="zh-CN"/>
              </w:rPr>
              <w:t xml:space="preserve"> </w:t>
            </w:r>
            <w:r>
              <w:rPr>
                <w:i w:val="0"/>
                <w:iCs w:val="0"/>
                <w:color w:val="auto"/>
                <w:sz w:val="21"/>
                <w:szCs w:val="21"/>
              </w:rPr>
              <w:t>]</w:t>
            </w:r>
            <w:r>
              <w:rPr>
                <w:rFonts w:hint="eastAsia"/>
                <w:i w:val="0"/>
                <w:iCs w:val="0"/>
                <w:color w:val="auto"/>
                <w:lang w:val="en-US" w:eastAsia="zh-CN"/>
              </w:rPr>
              <w:t>或 24.4</w:t>
            </w:r>
            <w:r>
              <w:rPr>
                <w:i w:val="0"/>
                <w:iCs w:val="0"/>
                <w:color w:val="auto"/>
              </w:rPr>
              <w:t>×10</w:t>
            </w:r>
            <w:r>
              <w:rPr>
                <w:i w:val="0"/>
                <w:iCs w:val="0"/>
                <w:color w:val="auto"/>
                <w:vertAlign w:val="superscript"/>
              </w:rPr>
              <w:t>-</w:t>
            </w:r>
            <w:r>
              <w:rPr>
                <w:rFonts w:hint="eastAsia"/>
                <w:i w:val="0"/>
                <w:iCs w:val="0"/>
                <w:color w:val="auto"/>
                <w:vertAlign w:val="superscript"/>
                <w:lang w:val="en-US" w:eastAsia="zh-CN"/>
              </w:rPr>
              <w:t>9</w:t>
            </w:r>
            <w:r>
              <w:rPr>
                <w:rFonts w:hint="eastAsia"/>
                <w:i w:val="0"/>
                <w:iCs w:val="0"/>
                <w:color w:val="auto"/>
              </w:rPr>
              <w:t>(</w:t>
            </w:r>
            <w:r>
              <w:rPr>
                <w:i w:val="0"/>
                <w:iCs w:val="0"/>
                <w:color w:val="auto"/>
              </w:rPr>
              <w:t>cm/s) [mlO</w:t>
            </w:r>
            <w:r>
              <w:rPr>
                <w:i w:val="0"/>
                <w:iCs w:val="0"/>
                <w:color w:val="auto"/>
                <w:vertAlign w:val="subscript"/>
              </w:rPr>
              <w:t>2</w:t>
            </w:r>
            <w:r>
              <w:rPr>
                <w:i w:val="0"/>
                <w:iCs w:val="0"/>
                <w:color w:val="auto"/>
              </w:rPr>
              <w:t>/(ml</w:t>
            </w:r>
            <w:r>
              <w:rPr>
                <w:i w:val="0"/>
                <w:iCs w:val="0"/>
                <w:color w:val="auto"/>
              </w:rPr>
              <w:object>
                <v:shape id="_x0000_i1028" o:spt="75" type="#_x0000_t75" style="height:6pt;width:6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11">
                  <o:LockedField>false</o:LockedField>
                </o:OLEObject>
              </w:object>
            </w:r>
            <w:r>
              <w:rPr>
                <w:rFonts w:hint="eastAsia"/>
                <w:i w:val="0"/>
                <w:iCs w:val="0"/>
                <w:color w:val="auto"/>
                <w:lang w:val="en-US" w:eastAsia="zh-CN"/>
              </w:rPr>
              <w:t>mmHg</w:t>
            </w:r>
            <w:r>
              <w:rPr>
                <w:i w:val="0"/>
                <w:iCs w:val="0"/>
                <w:color w:val="auto"/>
                <w:sz w:val="21"/>
                <w:szCs w:val="21"/>
              </w:rPr>
              <w:t>)]</w:t>
            </w:r>
            <w:r>
              <w:rPr>
                <w:rFonts w:hint="eastAsia"/>
                <w:color w:val="auto"/>
              </w:rPr>
              <w:t>（</w:t>
            </w:r>
            <w:r>
              <w:rPr>
                <w:color w:val="auto"/>
              </w:rPr>
              <w:t>-3.00D</w:t>
            </w:r>
            <w:r>
              <w:rPr>
                <w:rFonts w:hint="eastAsia"/>
                <w:color w:val="auto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蓝光光谱透过率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eastAsia="宋体" w:cs="宋体"/>
                <w:spacing w:val="2"/>
                <w:sz w:val="21"/>
                <w:szCs w:val="21"/>
              </w:rPr>
              <w:t>波长</w:t>
            </w:r>
            <w:r>
              <w:rPr>
                <w:rFonts w:hint="eastAsia" w:ascii="宋体" w:hAnsi="宋体" w:eastAsia="宋体" w:cs="宋体"/>
                <w:spacing w:val="2"/>
                <w:sz w:val="21"/>
                <w:szCs w:val="21"/>
                <w:lang w:eastAsia="zh-TW"/>
              </w:rPr>
              <w:t>380nm-460nm: 80% &lt;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τ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subscript"/>
                <w:lang w:eastAsia="zh-TW"/>
              </w:rPr>
              <w:t xml:space="preserve">B 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TW"/>
              </w:rPr>
              <w:t>&lt;</w:t>
            </w:r>
            <w:r>
              <w:rPr>
                <w:rFonts w:hint="eastAsia" w:ascii="宋体" w:hAnsi="宋体" w:eastAsia="宋体" w:cs="宋体"/>
                <w:spacing w:val="2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2"/>
                <w:sz w:val="21"/>
                <w:szCs w:val="21"/>
                <w:lang w:eastAsia="zh-TW"/>
              </w:rPr>
              <w:t>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配戴方式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日戴型，每一天最长戴镜时间为</w:t>
            </w:r>
            <w:r>
              <w:rPr>
                <w:rFonts w:hint="eastAsia" w:ascii="宋体" w:hAnsi="宋体" w:cs="宋体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</w:rPr>
              <w:t>-1</w:t>
            </w:r>
            <w:r>
              <w:rPr>
                <w:rFonts w:hint="eastAsia" w:ascii="宋体" w:hAnsi="宋体" w:cs="宋体" w:eastAsiaTheme="minorEastAsia"/>
                <w:lang w:eastAsia="zh-TW"/>
              </w:rPr>
              <w:t>2</w:t>
            </w:r>
            <w:r>
              <w:rPr>
                <w:rFonts w:hint="eastAsia" w:ascii="宋体" w:hAnsi="宋体" w:cs="宋体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建议更换周期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最长更换周期为</w:t>
            </w:r>
            <w:r>
              <w:rPr>
                <w:rFonts w:ascii="宋体" w:hAnsi="宋体" w:cs="宋体"/>
              </w:rPr>
              <w:t>1</w:t>
            </w:r>
            <w:r>
              <w:rPr>
                <w:rFonts w:hint="eastAsia" w:ascii="宋体" w:hAnsi="宋体" w:cs="宋体"/>
              </w:rPr>
              <w:t>日以内</w:t>
            </w:r>
            <w:r>
              <w:rPr>
                <w:rFonts w:ascii="宋体" w:hAnsi="宋体" w:cs="宋体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灭菌方式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蒸汽湿热灭菌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生产日期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见标签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有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 w:ascii="宋体" w:hAnsi="宋体" w:cs="宋体"/>
              </w:rPr>
              <w:t>效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 w:ascii="宋体" w:hAnsi="宋体" w:cs="宋体"/>
              </w:rPr>
              <w:t>期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初包装材料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 w:eastAsia="Times New Roman"/>
                <w:lang w:eastAsia="zh-TW"/>
              </w:rPr>
            </w:pPr>
            <w:r>
              <w:rPr>
                <w:rFonts w:hint="eastAsia" w:ascii="宋体" w:hAnsi="宋体" w:cs="宋体"/>
              </w:rPr>
              <w:t>聚丙烯盒</w:t>
            </w:r>
            <w:r>
              <w:rPr>
                <w:rFonts w:ascii="宋体" w:hAnsi="宋体" w:cs="宋体"/>
              </w:rPr>
              <w:t>+</w:t>
            </w:r>
            <w:r>
              <w:rPr>
                <w:rFonts w:hint="eastAsia" w:ascii="宋体" w:hAnsi="宋体" w:cs="宋体"/>
              </w:rPr>
              <w:t>铝箔纸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贮存条件</w:t>
            </w:r>
          </w:p>
        </w:tc>
        <w:tc>
          <w:tcPr>
            <w:tcW w:w="7877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镜片应贮存于干燥、阴凉、无腐蚀气体环境中储存。</w:t>
            </w:r>
          </w:p>
        </w:tc>
      </w:tr>
    </w:tbl>
    <w:p>
      <w:pPr>
        <w:spacing w:line="360" w:lineRule="auto"/>
        <w:jc w:val="center"/>
        <w:rPr>
          <w:rFonts w:ascii="宋体"/>
          <w:b/>
          <w:bCs/>
          <w:color w:val="000000"/>
          <w:lang w:val="en-GB"/>
        </w:rPr>
      </w:pPr>
      <w:r>
        <w:rPr>
          <w:rFonts w:hint="eastAsia" w:ascii="宋体" w:hAnsi="宋体" w:cs="宋体"/>
        </w:rPr>
        <w:t>表</w:t>
      </w:r>
      <w:r>
        <w:rPr>
          <w:rFonts w:ascii="宋体" w:hAnsi="宋体" w:cs="宋体"/>
        </w:rPr>
        <w:t>2</w:t>
      </w:r>
      <w:r>
        <w:rPr>
          <w:rFonts w:hint="eastAsia" w:ascii="宋体" w:hAnsi="宋体" w:cs="宋体"/>
        </w:rPr>
        <w:t>续</w:t>
      </w:r>
      <w:r>
        <w:rPr>
          <w:rFonts w:ascii="宋体" w:hAnsi="宋体" w:cs="宋体"/>
        </w:rPr>
        <w:t xml:space="preserve">  </w:t>
      </w:r>
      <w:r>
        <w:rPr>
          <w:rFonts w:hint="eastAsia" w:ascii="宋体" w:hAnsi="宋体" w:cs="宋体"/>
        </w:rPr>
        <w:t>后顶焦度与中心厚度表</w:t>
      </w:r>
    </w:p>
    <w:tbl>
      <w:tblPr>
        <w:tblStyle w:val="11"/>
        <w:tblW w:w="975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0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82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后顶焦度范围</w:t>
            </w:r>
            <w:r>
              <w:rPr>
                <w:rFonts w:ascii="宋体" w:hAnsi="宋体" w:cs="宋体"/>
                <w:color w:val="000000"/>
              </w:rPr>
              <w:t>(D)</w:t>
            </w:r>
          </w:p>
        </w:tc>
        <w:tc>
          <w:tcPr>
            <w:tcW w:w="4934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中心厚度</w:t>
            </w:r>
            <w:r>
              <w:rPr>
                <w:rFonts w:ascii="宋体" w:hAnsi="宋体" w:cs="宋体"/>
                <w:color w:val="000000"/>
              </w:rPr>
              <w:t xml:space="preserve"> 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820" w:type="dxa"/>
          </w:tcPr>
          <w:p>
            <w:pPr>
              <w:jc w:val="center"/>
            </w:pPr>
            <w:r>
              <w:rPr>
                <w:rFonts w:hint="eastAsia"/>
              </w:rPr>
              <w:t>0.00D至-2.75D</w:t>
            </w:r>
          </w:p>
        </w:tc>
        <w:tc>
          <w:tcPr>
            <w:tcW w:w="4934" w:type="dxa"/>
          </w:tcPr>
          <w:p>
            <w:pPr>
              <w:jc w:val="center"/>
            </w:pPr>
            <w:r>
              <w:rPr>
                <w:rFonts w:hint="eastAsia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820" w:type="dxa"/>
          </w:tcPr>
          <w:p>
            <w:pPr>
              <w:jc w:val="center"/>
            </w:pPr>
            <w:r>
              <w:rPr>
                <w:rFonts w:hint="eastAsia"/>
              </w:rPr>
              <w:t>-3.00D至-12.00D</w:t>
            </w:r>
          </w:p>
        </w:tc>
        <w:tc>
          <w:tcPr>
            <w:tcW w:w="4934" w:type="dxa"/>
          </w:tcPr>
          <w:p>
            <w:pPr>
              <w:jc w:val="center"/>
            </w:pPr>
            <w:r>
              <w:rPr>
                <w:rFonts w:hint="eastAsia"/>
              </w:rPr>
              <w:t>0.08</w:t>
            </w:r>
          </w:p>
        </w:tc>
      </w:tr>
    </w:tbl>
    <w:p>
      <w:pPr>
        <w:spacing w:line="360" w:lineRule="auto"/>
        <w:rPr>
          <w:rFonts w:ascii="宋体" w:hAnsi="宋体" w:cs="宋体"/>
          <w:color w:val="000000"/>
        </w:rPr>
      </w:pPr>
    </w:p>
    <w:p>
      <w:pPr>
        <w:spacing w:line="360" w:lineRule="auto"/>
        <w:rPr>
          <w:rFonts w:ascii="宋体"/>
          <w:color w:val="000000"/>
        </w:rPr>
      </w:pPr>
      <w:r>
        <w:rPr>
          <w:rFonts w:hint="eastAsia" w:ascii="宋体" w:hAnsi="宋体" w:cs="宋体"/>
          <w:color w:val="000000"/>
        </w:rPr>
        <w:t>【工作原理或作用机理】软性亲水接触镜主要是用于矫正因近视引起的屈光不正。在上述这些屈光不正中，光线不能准确地聚焦在视网膜上，从而导致视力模糊。当镜片置于角膜上时，就作为眼睛前面的光学元件，其光学作用结合起来，光线将准确聚焦在视网膜上，从而带来了清晰的视力。</w:t>
      </w:r>
    </w:p>
    <w:p>
      <w:pPr>
        <w:spacing w:line="360" w:lineRule="auto"/>
        <w:rPr>
          <w:rFonts w:ascii="宋体"/>
          <w:color w:val="000000"/>
        </w:rPr>
      </w:pPr>
    </w:p>
    <w:p>
      <w:pPr>
        <w:spacing w:line="360" w:lineRule="auto"/>
        <w:jc w:val="left"/>
        <w:rPr>
          <w:rFonts w:ascii="宋体"/>
          <w:color w:val="000000"/>
        </w:rPr>
      </w:pPr>
      <w:r>
        <w:rPr>
          <w:rFonts w:hint="eastAsia" w:ascii="宋体" w:hAnsi="宋体" w:cs="宋体"/>
          <w:color w:val="000000"/>
        </w:rPr>
        <w:t>【包装内部件】</w:t>
      </w:r>
    </w:p>
    <w:p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 xml:space="preserve">  </w:t>
      </w:r>
      <w:r>
        <w:rPr>
          <w:rFonts w:hint="eastAsia" w:ascii="宋体" w:hAnsi="宋体" w:cs="宋体"/>
        </w:rPr>
        <w:t>盒装：初包装每盒一片，最小销售包装内的初包装片数会显示于包装上，并附有此使用说明书。</w:t>
      </w:r>
    </w:p>
    <w:p>
      <w:pPr>
        <w:spacing w:line="360" w:lineRule="auto"/>
        <w:rPr>
          <w:rFonts w:ascii="宋体" w:hAnsi="宋体" w:cs="宋体"/>
        </w:rPr>
      </w:pP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【镜片配戴、摘取方法】</w:t>
      </w:r>
    </w:p>
    <w:p>
      <w:pPr>
        <w:pStyle w:val="4"/>
        <w:spacing w:line="360" w:lineRule="auto"/>
        <w:ind w:right="-52"/>
        <w:rPr>
          <w:rFonts w:hAnsi="宋体" w:cs="Times New Roman"/>
          <w:lang w:eastAsia="zh-CN"/>
        </w:rPr>
      </w:pPr>
      <w:r>
        <w:rPr>
          <w:rFonts w:hAnsi="宋体"/>
          <w:b/>
          <w:bCs/>
          <w:lang w:eastAsia="zh-CN"/>
        </w:rPr>
        <w:t xml:space="preserve">1. </w:t>
      </w:r>
      <w:r>
        <w:rPr>
          <w:rFonts w:hint="eastAsia" w:hAnsi="宋体"/>
          <w:b/>
          <w:bCs/>
          <w:lang w:eastAsia="zh-CN"/>
        </w:rPr>
        <w:t>注意</w:t>
      </w:r>
      <w:r>
        <w:rPr>
          <w:rFonts w:hint="eastAsia" w:hAnsi="宋体"/>
          <w:lang w:eastAsia="zh-CN"/>
        </w:rPr>
        <w:t>：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Ansi="宋体"/>
        </w:rPr>
        <w:fldChar w:fldCharType="begin"/>
      </w:r>
      <w:r>
        <w:rPr>
          <w:rFonts w:hAnsi="宋体"/>
          <w:lang w:eastAsia="zh-CN"/>
        </w:rPr>
        <w:instrText xml:space="preserve"> = 1 \* GB3 </w:instrText>
      </w:r>
      <w:r>
        <w:rPr>
          <w:rFonts w:hAnsi="宋体"/>
        </w:rPr>
        <w:fldChar w:fldCharType="separate"/>
      </w:r>
      <w:r>
        <w:rPr>
          <w:rFonts w:hint="eastAsia" w:hAnsi="宋体"/>
          <w:lang w:eastAsia="zh-CN"/>
        </w:rPr>
        <w:t>①</w:t>
      </w:r>
      <w:r>
        <w:rPr>
          <w:rFonts w:hAnsi="宋体"/>
        </w:rPr>
        <w:fldChar w:fldCharType="end"/>
      </w:r>
      <w:r>
        <w:rPr>
          <w:rFonts w:hint="eastAsia" w:hAnsi="宋体"/>
          <w:lang w:eastAsia="zh-CN"/>
        </w:rPr>
        <w:t>不要过度用力揉捏、摩擦镜片，以免损坏镜片；</w:t>
      </w:r>
    </w:p>
    <w:p>
      <w:pPr>
        <w:spacing w:line="360" w:lineRule="auto"/>
        <w:ind w:right="-52" w:firstLine="420" w:firstLineChars="200"/>
        <w:rPr>
          <w:rFonts w:ascii="宋体" w:hAnsi="宋体" w:cs="宋体"/>
        </w:rPr>
      </w:pPr>
      <w:r>
        <w:rPr>
          <w:rFonts w:ascii="宋体" w:hAnsi="宋体" w:cs="宋体"/>
        </w:rPr>
        <w:fldChar w:fldCharType="begin"/>
      </w:r>
      <w:r>
        <w:rPr>
          <w:rFonts w:ascii="宋体" w:hAnsi="宋体" w:cs="宋体"/>
        </w:rPr>
        <w:instrText xml:space="preserve"> = 2 \* GB3 </w:instrText>
      </w:r>
      <w:r>
        <w:rPr>
          <w:rFonts w:ascii="宋体" w:hAnsi="宋体" w:cs="宋体"/>
        </w:rPr>
        <w:fldChar w:fldCharType="separate"/>
      </w:r>
      <w:r>
        <w:rPr>
          <w:rFonts w:hint="eastAsia" w:ascii="宋体" w:hAnsi="宋体" w:cs="宋体"/>
        </w:rPr>
        <w:t>②</w:t>
      </w:r>
      <w:r>
        <w:rPr>
          <w:rFonts w:ascii="宋体" w:hAnsi="宋体" w:cs="宋体"/>
        </w:rPr>
        <w:fldChar w:fldCharType="end"/>
      </w:r>
      <w:r>
        <w:rPr>
          <w:rFonts w:hint="eastAsia" w:ascii="宋体" w:hAnsi="宋体" w:cs="宋体"/>
          <w:b/>
          <w:bCs/>
        </w:rPr>
        <w:t>日抛镜片原则上不需要使用护理液</w:t>
      </w:r>
      <w:r>
        <w:rPr>
          <w:rFonts w:hint="eastAsia" w:ascii="宋体" w:hAnsi="宋体" w:cs="宋体"/>
        </w:rPr>
        <w:t>，若特殊情况需要使用护理液，请遵医嘱。</w:t>
      </w:r>
    </w:p>
    <w:p>
      <w:pPr>
        <w:spacing w:line="360" w:lineRule="auto"/>
        <w:rPr>
          <w:rFonts w:ascii="宋体"/>
          <w:b/>
          <w:bCs/>
        </w:rPr>
      </w:pPr>
      <w:r>
        <w:rPr>
          <w:rFonts w:ascii="宋体" w:hAnsi="宋体" w:cs="宋体"/>
          <w:b/>
          <w:bCs/>
        </w:rPr>
        <w:t xml:space="preserve">2. </w:t>
      </w:r>
      <w:r>
        <w:rPr>
          <w:rFonts w:hint="eastAsia" w:ascii="宋体" w:hAnsi="宋体" w:cs="宋体"/>
          <w:b/>
          <w:bCs/>
        </w:rPr>
        <w:t>准备阶段</w:t>
      </w:r>
    </w:p>
    <w:p>
      <w:pPr>
        <w:spacing w:line="360" w:lineRule="auto"/>
        <w:ind w:right="-52" w:firstLine="420" w:firstLineChars="200"/>
        <w:rPr>
          <w:rFonts w:ascii="宋体"/>
        </w:rPr>
      </w:pPr>
      <w:r>
        <w:rPr>
          <w:rFonts w:hint="eastAsia" w:ascii="宋体" w:hAnsi="宋体" w:cs="宋体"/>
        </w:rPr>
        <w:t>①配戴方法要接受专业人员的具体指导。</w:t>
      </w:r>
    </w:p>
    <w:p>
      <w:pPr>
        <w:spacing w:line="360" w:lineRule="auto"/>
        <w:ind w:right="-52" w:firstLine="420" w:firstLineChars="200"/>
        <w:rPr>
          <w:rFonts w:ascii="宋体"/>
        </w:rPr>
      </w:pPr>
      <w:r>
        <w:rPr>
          <w:rFonts w:hint="eastAsia" w:ascii="宋体" w:hAnsi="宋体" w:cs="宋体"/>
        </w:rPr>
        <w:t>②在每次触摸镜片前，都要用中性肥皂和流动的水充分洗手。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int="eastAsia" w:hAnsi="宋体"/>
          <w:lang w:eastAsia="zh-CN"/>
        </w:rPr>
        <w:t>③保持指甲短而修剪齐整，在软性镜配戴、取出的过程中勿使指甲接触镜片。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int="eastAsia" w:hAnsi="宋体"/>
          <w:lang w:eastAsia="zh-CN"/>
        </w:rPr>
        <w:t>④在干净、平整的桌面上戴摘镜片，以免脱落在地上或遗失，脱落在地上的镜片请不要再次使用。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int="eastAsia" w:hAnsi="宋体"/>
          <w:lang w:eastAsia="zh-CN"/>
        </w:rPr>
        <w:t>⑤养成习惯，始终首先拿取、摘戴同一只镜片以免混淆，建议按先右后左顺序。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int="eastAsia" w:hAnsi="宋体"/>
          <w:lang w:eastAsia="zh-CN"/>
        </w:rPr>
        <w:t>⑥养成习惯，每次配戴前都要检查镜片外观是否符合要求，确认其湿润、清洁。镜片有斑点、残留杂物、气泡、裂纹、破损等外观出现异常情况时均不得使用。</w:t>
      </w:r>
    </w:p>
    <w:p>
      <w:pPr>
        <w:pStyle w:val="4"/>
        <w:spacing w:line="360" w:lineRule="auto"/>
        <w:ind w:right="-52"/>
        <w:rPr>
          <w:rFonts w:hAnsi="宋体" w:cs="Times New Roman"/>
          <w:lang w:eastAsia="zh-CN"/>
        </w:rPr>
      </w:pPr>
      <w:r>
        <w:rPr>
          <w:rFonts w:hAnsi="宋体"/>
          <w:b/>
          <w:bCs/>
          <w:lang w:eastAsia="zh-CN"/>
        </w:rPr>
        <w:t xml:space="preserve">3. </w:t>
      </w:r>
      <w:r>
        <w:rPr>
          <w:rFonts w:hint="eastAsia" w:hAnsi="宋体"/>
          <w:b/>
          <w:bCs/>
          <w:lang w:eastAsia="zh-CN"/>
        </w:rPr>
        <w:t>镜片配戴步骤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int="eastAsia" w:hAnsi="宋体"/>
          <w:lang w:eastAsia="zh-CN"/>
        </w:rPr>
        <w:t>①配戴前双手须保持清洁和干燥，将镜片内曲面向上托在指端。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int="eastAsia" w:hAnsi="宋体"/>
          <w:lang w:eastAsia="zh-CN"/>
        </w:rPr>
        <w:t>②认准正反面。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int="eastAsia" w:hAnsi="宋体"/>
          <w:lang w:eastAsia="zh-CN"/>
        </w:rPr>
        <w:t>③面向下俯视桌面上的镜子。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int="eastAsia" w:hAnsi="宋体"/>
          <w:lang w:eastAsia="zh-CN"/>
        </w:rPr>
        <w:t>④用食指或中指按住配戴眼上眼皮边缘，将眼皮向上充分撑开，并按在眉弓上加以固定。用另一手的手指按住配戴眼下眼皮边缘，将下眼皮向下充分撑开。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int="eastAsia" w:hAnsi="宋体"/>
          <w:lang w:eastAsia="zh-CN"/>
        </w:rPr>
        <w:t>⑤将镜片轻柔地放置在配戴眼暴露的角膜（黑眼球）中央部。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int="eastAsia" w:hAnsi="宋体"/>
          <w:lang w:eastAsia="zh-CN"/>
        </w:rPr>
        <w:t>⑥轻轻眨眼数次，用纸巾拭去溢出眼外的液体（如有）。按上述方法先右后左依次配戴。</w:t>
      </w:r>
      <w:r>
        <w:rPr>
          <w:rFonts w:hint="eastAsia" w:hAnsi="宋体"/>
          <w:b/>
          <w:bCs/>
          <w:lang w:eastAsia="zh-CN"/>
        </w:rPr>
        <w:t>在戴镜过程中，若镜片被挤出睑裂或掉落在桌面上，不要再次使用，</w:t>
      </w:r>
      <w:r>
        <w:rPr>
          <w:rFonts w:hint="eastAsia" w:hAnsi="宋体"/>
          <w:lang w:eastAsia="zh-CN"/>
        </w:rPr>
        <w:t>重新取出新的镜片进行配戴。</w:t>
      </w:r>
    </w:p>
    <w:p>
      <w:pPr>
        <w:spacing w:line="360" w:lineRule="auto"/>
        <w:ind w:right="-52"/>
        <w:rPr>
          <w:rFonts w:ascii="宋体"/>
          <w:b/>
          <w:bCs/>
        </w:rPr>
      </w:pPr>
      <w:r>
        <w:rPr>
          <w:rFonts w:ascii="宋体" w:hAnsi="宋体" w:cs="宋体"/>
          <w:b/>
          <w:bCs/>
        </w:rPr>
        <w:t xml:space="preserve">4. </w:t>
      </w:r>
      <w:r>
        <w:rPr>
          <w:rFonts w:hint="eastAsia" w:ascii="宋体" w:hAnsi="宋体" w:cs="宋体"/>
          <w:b/>
          <w:bCs/>
        </w:rPr>
        <w:t>镜片摘取步骤：</w:t>
      </w:r>
    </w:p>
    <w:p>
      <w:pPr>
        <w:spacing w:line="360" w:lineRule="auto"/>
        <w:ind w:right="-52" w:firstLine="420" w:firstLineChars="200"/>
        <w:rPr>
          <w:rFonts w:ascii="宋体"/>
        </w:rPr>
      </w:pPr>
      <w:r>
        <w:rPr>
          <w:rFonts w:hint="eastAsia" w:ascii="宋体" w:hAnsi="宋体" w:cs="宋体"/>
        </w:rPr>
        <w:t>①按本节第</w:t>
      </w:r>
      <w:r>
        <w:rPr>
          <w:rFonts w:ascii="宋体" w:hAnsi="宋体" w:cs="宋体"/>
        </w:rPr>
        <w:t>2</w:t>
      </w:r>
      <w:r>
        <w:rPr>
          <w:rFonts w:hint="eastAsia" w:ascii="宋体" w:hAnsi="宋体" w:cs="宋体"/>
        </w:rPr>
        <w:t>条</w:t>
      </w:r>
      <w:r>
        <w:rPr>
          <w:rFonts w:hint="eastAsia" w:ascii="黑体" w:hAnsi="黑体" w:eastAsia="黑体" w:cs="黑体"/>
          <w:b/>
          <w:bCs/>
        </w:rPr>
        <w:t>准备阶段</w:t>
      </w:r>
      <w:r>
        <w:rPr>
          <w:rFonts w:hint="eastAsia" w:ascii="宋体" w:hAnsi="宋体" w:cs="宋体"/>
        </w:rPr>
        <w:t>中要求做好准备；</w:t>
      </w:r>
    </w:p>
    <w:p>
      <w:pPr>
        <w:pStyle w:val="4"/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int="eastAsia" w:hAnsi="宋体"/>
          <w:lang w:eastAsia="zh-CN"/>
        </w:rPr>
        <w:t>②如同戴镜时的方法，充分撑开配戴眼的眼皮；</w:t>
      </w:r>
    </w:p>
    <w:p>
      <w:pPr>
        <w:spacing w:line="360" w:lineRule="auto"/>
        <w:ind w:right="-52" w:firstLine="42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③用拇指和食指的指腹轻捏镜片下部，轻轻摘下镜片。</w:t>
      </w:r>
    </w:p>
    <w:p>
      <w:pPr>
        <w:spacing w:line="360" w:lineRule="auto"/>
        <w:ind w:right="-52" w:firstLine="420" w:firstLineChars="200"/>
        <w:rPr>
          <w:rFonts w:ascii="宋体" w:hAnsi="宋体" w:cs="宋体"/>
        </w:rPr>
      </w:pP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【紧急事件处理】</w:t>
      </w:r>
    </w:p>
    <w:p>
      <w:pPr>
        <w:pStyle w:val="4"/>
        <w:tabs>
          <w:tab w:val="left" w:pos="5306"/>
        </w:tabs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Ansi="宋体"/>
          <w:lang w:eastAsia="zh-CN"/>
        </w:rPr>
        <w:t>1.</w:t>
      </w:r>
      <w:r>
        <w:rPr>
          <w:rFonts w:hint="eastAsia" w:hAnsi="宋体"/>
          <w:lang w:eastAsia="zh-CN"/>
        </w:rPr>
        <w:t>如果镜片粘附（停止活动）或无法取下，应直接滴数滴推荐的润</w:t>
      </w:r>
      <w:r>
        <w:rPr>
          <w:rFonts w:hint="eastAsia" w:ascii="PMingLiU" w:hAnsi="PMingLiU"/>
          <w:lang w:eastAsia="zh-CN"/>
        </w:rPr>
        <w:t>眼</w:t>
      </w:r>
      <w:r>
        <w:rPr>
          <w:rFonts w:hint="eastAsia" w:hAnsi="宋体"/>
          <w:lang w:eastAsia="zh-CN"/>
        </w:rPr>
        <w:t>液至眼内，待镜片能够在眼表面自由活动后将其取出。如果镜片仍不能取出，应立即到医院就诊。</w:t>
      </w:r>
    </w:p>
    <w:p>
      <w:pPr>
        <w:pStyle w:val="4"/>
        <w:tabs>
          <w:tab w:val="left" w:pos="5306"/>
        </w:tabs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Ansi="宋体"/>
          <w:lang w:eastAsia="zh-CN"/>
        </w:rPr>
        <w:t>2.</w:t>
      </w:r>
      <w:r>
        <w:rPr>
          <w:rFonts w:hint="eastAsia" w:hAnsi="宋体"/>
          <w:lang w:eastAsia="zh-CN"/>
        </w:rPr>
        <w:t>任何类型的化学物质（家用产品、各种溶液、实验室化学物质等）如溅入眼内，应用大量自来水冲洗眼睛，取下镜片，立即到医院就诊。</w:t>
      </w:r>
    </w:p>
    <w:p>
      <w:pPr>
        <w:pStyle w:val="4"/>
        <w:tabs>
          <w:tab w:val="left" w:pos="5306"/>
        </w:tabs>
        <w:spacing w:line="360" w:lineRule="auto"/>
        <w:ind w:right="-52" w:firstLine="420" w:firstLineChars="200"/>
        <w:rPr>
          <w:rFonts w:hAnsi="宋体" w:cs="Times New Roman"/>
          <w:lang w:eastAsia="zh-CN"/>
        </w:rPr>
      </w:pPr>
      <w:r>
        <w:rPr>
          <w:rFonts w:hAnsi="宋体"/>
          <w:lang w:eastAsia="zh-CN"/>
        </w:rPr>
        <w:t>3.</w:t>
      </w:r>
      <w:r>
        <w:rPr>
          <w:rFonts w:hint="eastAsia" w:hAnsi="宋体"/>
          <w:lang w:eastAsia="zh-CN"/>
        </w:rPr>
        <w:t>外界环境中的灰尘微粒进入眼内可能引起眼部不适，此时不得揉眼，可滴用润</w:t>
      </w:r>
      <w:r>
        <w:rPr>
          <w:rFonts w:hint="eastAsia" w:ascii="PMingLiU" w:hAnsi="PMingLiU"/>
          <w:lang w:eastAsia="zh-CN"/>
        </w:rPr>
        <w:t>眼</w:t>
      </w:r>
      <w:r>
        <w:rPr>
          <w:rFonts w:hint="eastAsia" w:hAnsi="宋体"/>
          <w:lang w:eastAsia="zh-CN"/>
        </w:rPr>
        <w:t>液，取出镜片后彻底清洗。如果不适感仍未消失，应立即到医院就诊。</w:t>
      </w:r>
    </w:p>
    <w:p>
      <w:pPr>
        <w:pStyle w:val="4"/>
        <w:tabs>
          <w:tab w:val="left" w:pos="5306"/>
        </w:tabs>
        <w:spacing w:line="360" w:lineRule="auto"/>
        <w:ind w:right="-52" w:firstLine="420" w:firstLineChars="200"/>
        <w:rPr>
          <w:rFonts w:hAnsi="宋体"/>
          <w:lang w:eastAsia="zh-CN"/>
        </w:rPr>
      </w:pPr>
      <w:r>
        <w:rPr>
          <w:rFonts w:hAnsi="宋体"/>
          <w:lang w:eastAsia="zh-CN"/>
        </w:rPr>
        <w:t>4.</w:t>
      </w:r>
      <w:r>
        <w:rPr>
          <w:rFonts w:hint="eastAsia" w:hAnsi="宋体"/>
          <w:lang w:eastAsia="zh-CN"/>
        </w:rPr>
        <w:t>如果在配戴过程中镜片移位，可以对照镜子寻找移位的镜片，首先往镜片所在位置的相反方向看，用手指将移位镜片旁的眼皮固定，间接将镜片固定，但不要压住移位的镜片，慢慢往镜片方向看，这样移位的镜片可以重新回到角膜中央。如果上述方法不能使镜片复位，可将镜片取出后重新配戴。</w:t>
      </w:r>
    </w:p>
    <w:p>
      <w:pPr>
        <w:pStyle w:val="4"/>
        <w:tabs>
          <w:tab w:val="left" w:pos="5306"/>
        </w:tabs>
        <w:spacing w:line="360" w:lineRule="auto"/>
        <w:ind w:right="-52" w:firstLine="420" w:firstLineChars="200"/>
        <w:rPr>
          <w:rFonts w:hAnsi="宋体"/>
          <w:lang w:eastAsia="zh-CN"/>
        </w:rPr>
      </w:pP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【储存条件、有效期】</w:t>
      </w:r>
    </w:p>
    <w:p>
      <w:pPr>
        <w:spacing w:line="360" w:lineRule="auto"/>
        <w:ind w:firstLine="420"/>
        <w:rPr>
          <w:rFonts w:ascii="宋体"/>
        </w:rPr>
      </w:pPr>
      <w:r>
        <w:rPr>
          <w:rFonts w:hint="eastAsia" w:ascii="宋体" w:hAnsi="宋体" w:cs="宋体"/>
        </w:rPr>
        <w:t>镜片贮存条件及自生产之日起有效期见表</w:t>
      </w:r>
      <w:r>
        <w:rPr>
          <w:rFonts w:ascii="宋体" w:hAnsi="宋体" w:cs="宋体"/>
        </w:rPr>
        <w:t>2</w:t>
      </w:r>
      <w:r>
        <w:rPr>
          <w:rFonts w:hint="eastAsia" w:ascii="宋体" w:hAnsi="宋体" w:cs="宋体"/>
        </w:rPr>
        <w:t>。生产日期、批号及</w:t>
      </w:r>
      <w:r>
        <w:rPr>
          <w:rFonts w:hint="eastAsia" w:ascii="PMingLiU" w:hAnsi="PMingLiU" w:cs="宋体"/>
        </w:rPr>
        <w:t>失</w:t>
      </w:r>
      <w:r>
        <w:rPr>
          <w:rFonts w:hint="eastAsia" w:ascii="宋体" w:hAnsi="宋体" w:cs="宋体"/>
        </w:rPr>
        <w:t>效</w:t>
      </w:r>
      <w:r>
        <w:rPr>
          <w:rFonts w:hint="eastAsia" w:ascii="PMingLiU" w:hAnsi="PMingLiU" w:cs="宋体"/>
        </w:rPr>
        <w:t>日</w:t>
      </w:r>
      <w:r>
        <w:rPr>
          <w:rFonts w:hint="eastAsia" w:ascii="宋体" w:hAnsi="宋体" w:cs="宋体"/>
        </w:rPr>
        <w:t>期见标签。</w:t>
      </w:r>
    </w:p>
    <w:p>
      <w:pPr>
        <w:spacing w:line="360" w:lineRule="auto"/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请在无菌包装</w:t>
      </w:r>
      <w:r>
        <w:rPr>
          <w:rFonts w:hint="eastAsia" w:ascii="PMingLiU" w:hAnsi="PMingLiU" w:cs="宋体"/>
        </w:rPr>
        <w:t>（初包装）</w:t>
      </w:r>
      <w:r>
        <w:rPr>
          <w:rFonts w:hint="eastAsia" w:ascii="宋体" w:hAnsi="宋体" w:cs="宋体"/>
        </w:rPr>
        <w:t>（或外盒）所示的日期</w:t>
      </w:r>
      <w:r>
        <w:rPr>
          <w:rFonts w:hint="eastAsia" w:ascii="PMingLiU" w:hAnsi="PMingLiU" w:cs="宋体"/>
        </w:rPr>
        <w:t>（失效日期）</w:t>
      </w:r>
      <w:r>
        <w:rPr>
          <w:rFonts w:hint="eastAsia" w:ascii="宋体" w:hAnsi="宋体" w:cs="宋体"/>
        </w:rPr>
        <w:t>前使用。</w:t>
      </w:r>
    </w:p>
    <w:p>
      <w:pPr>
        <w:spacing w:line="360" w:lineRule="auto"/>
        <w:ind w:firstLine="420"/>
        <w:rPr>
          <w:rFonts w:ascii="宋体" w:hAnsi="宋体" w:cs="宋体"/>
        </w:rPr>
      </w:pP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【图形、符号解释】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符号：以下符号可能出现在标签或外包装上</w:t>
      </w:r>
    </w:p>
    <w:tbl>
      <w:tblPr>
        <w:tblStyle w:val="11"/>
        <w:tblW w:w="88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700"/>
        <w:gridCol w:w="1440"/>
        <w:gridCol w:w="2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符号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说明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符号</w:t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/>
                <w:lang w:eastAsia="zh-TW"/>
              </w:rPr>
              <w:drawing>
                <wp:inline distT="0" distB="0" distL="0" distR="0">
                  <wp:extent cx="685800" cy="228600"/>
                  <wp:effectExtent l="19050" t="0" r="0" b="0"/>
                  <wp:docPr id="4" name="图片 4" descr="符號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符號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 w:eastAsia="Times New Roman"/>
                <w:lang w:eastAsia="zh-TW"/>
              </w:rPr>
            </w:pPr>
            <w:r>
              <w:rPr>
                <w:rFonts w:hint="eastAsia" w:ascii="宋体" w:hAnsi="宋体" w:cs="宋体"/>
              </w:rPr>
              <w:t>蒸汽湿热灭菌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BC</w:t>
            </w:r>
            <w:r>
              <w:rPr>
                <w:rFonts w:hint="eastAsia" w:ascii="PMingLiU" w:hAnsi="PMingLiU" w:cs="宋体"/>
              </w:rPr>
              <w:t>或</w:t>
            </w:r>
            <w:r>
              <w:rPr>
                <w:rFonts w:ascii="PMingLiU" w:hAnsi="PMingLiU" w:cs="PMingLiU"/>
              </w:rPr>
              <w:t>r</w:t>
            </w:r>
            <w:r>
              <w:rPr>
                <w:rFonts w:ascii="PMingLiU" w:eastAsia="PMingLiU" w:cs="PMingLiU"/>
                <w:vertAlign w:val="subscript"/>
              </w:rPr>
              <w:t>0</w:t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基弧半径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90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/>
                <w:lang w:eastAsia="zh-TW"/>
              </w:rPr>
              <w:drawing>
                <wp:inline distT="0" distB="0" distL="0" distR="0">
                  <wp:extent cx="381000" cy="342900"/>
                  <wp:effectExtent l="19050" t="0" r="0" b="0"/>
                  <wp:docPr id="5" name="图片 3" descr="符號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 descr="符號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警告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F’v</w:t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后顶焦度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/>
                <w:color w:val="000000"/>
                <w:lang w:eastAsia="zh-TW"/>
              </w:rPr>
              <w:drawing>
                <wp:inline distT="0" distB="0" distL="0" distR="0">
                  <wp:extent cx="571500" cy="295275"/>
                  <wp:effectExtent l="19050" t="0" r="0" b="0"/>
                  <wp:docPr id="6" name="图片 16" descr="符號-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6" descr="符號-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批号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object>
                <v:shape id="_x0000_i1029" o:spt="75" type="#_x0000_t75" style="height:17.3pt;width:14.4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3" ShapeID="_x0000_i1029" DrawAspect="Content" ObjectID="_1468075729" r:id="rId15">
                  <o:LockedField>false</o:LockedField>
                </o:OLEObject>
              </w:object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总直径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/>
                <w:lang w:eastAsia="zh-TW"/>
              </w:rPr>
              <w:drawing>
                <wp:inline distT="0" distB="0" distL="0" distR="0">
                  <wp:extent cx="685800" cy="276225"/>
                  <wp:effectExtent l="19050" t="0" r="0" b="0"/>
                  <wp:docPr id="8" name="图片 2" descr="符號-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 descr="符號-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 w:eastAsia="Times New Roman"/>
                <w:lang w:eastAsia="zh-TW"/>
              </w:rPr>
            </w:pPr>
            <w:r>
              <w:rPr>
                <w:rFonts w:hint="eastAsia" w:ascii="PMingLiU" w:hAnsi="PMingLiU" w:cs="宋体"/>
              </w:rPr>
              <w:t>失效日期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 w:eastAsia="PMingLiU"/>
                <w:szCs w:val="24"/>
                <w:lang w:eastAsia="zh-TW"/>
              </w:rPr>
            </w:pPr>
            <w:r>
              <w:rPr>
                <w:position w:val="-12"/>
                <w:sz w:val="18"/>
                <w:szCs w:val="18"/>
              </w:rPr>
              <w:object>
                <v:shape id="_x0000_i1030" o:spt="75" type="#_x0000_t75" style="height:17.85pt;width:12.1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3" ShapeID="_x0000_i1030" DrawAspect="Content" ObjectID="_1468075730" r:id="rId18">
                  <o:LockedField>false</o:LockedField>
                </o:OLEObject>
              </w:object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PMingLiU" w:hAnsi="PMingLiU" w:cs="宋体"/>
              </w:rPr>
              <w:t>中心厚度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jc w:val="center"/>
              <w:rPr>
                <w:rFonts w:ascii="PMingLiU" w:eastAsia="PMingLiU" w:cs="PMingLiU"/>
                <w:color w:val="000000"/>
              </w:rPr>
            </w:pPr>
            <w:r>
              <w:rPr>
                <w:rFonts w:ascii="PMingLiU" w:eastAsia="PMingLiU" w:cs="PMingLiU"/>
                <w:color w:val="000000"/>
                <w:lang w:eastAsia="zh-TW"/>
              </w:rPr>
              <w:drawing>
                <wp:inline distT="0" distB="0" distL="0" distR="0">
                  <wp:extent cx="276225" cy="276225"/>
                  <wp:effectExtent l="19050" t="0" r="9525" b="0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PMingLiU" w:eastAsia="PMingLiU" w:cs="PMingLiU"/>
                <w:color w:val="000000"/>
              </w:rPr>
            </w:pPr>
            <w:r>
              <w:rPr>
                <w:rFonts w:hint="eastAsia" w:ascii="PMingLiU" w:hAnsi="PMingLiU" w:cs="宋体"/>
                <w:color w:val="000000"/>
              </w:rPr>
              <w:t>禁止二次使用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/>
                <w:lang w:eastAsia="zh-TW"/>
              </w:rPr>
              <w:drawing>
                <wp:inline distT="0" distB="0" distL="0" distR="0">
                  <wp:extent cx="571500" cy="228600"/>
                  <wp:effectExtent l="19050" t="0" r="0" b="0"/>
                  <wp:docPr id="11" name="图片 1" descr="符號-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 descr="符號-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jc w:val="center"/>
              <w:rPr>
                <w:rFonts w:ascii="PMingLiU" w:eastAsia="PMingLiU" w:cs="PMingLiU"/>
                <w:color w:val="000000"/>
              </w:rPr>
            </w:pPr>
            <w:r>
              <w:rPr>
                <w:rFonts w:ascii="PMingLiU" w:eastAsia="Times New Roman"/>
                <w:color w:val="000000"/>
                <w:lang w:eastAsia="zh-TW"/>
              </w:rPr>
              <w:drawing>
                <wp:inline distT="0" distB="0" distL="0" distR="0">
                  <wp:extent cx="285750" cy="171450"/>
                  <wp:effectExtent l="19050" t="0" r="0" b="0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color w:val="000000"/>
              </w:rPr>
              <w:t>或</w:t>
            </w:r>
            <w:r>
              <w:rPr>
                <w:color w:val="000000"/>
              </w:rPr>
              <w:t>MFGD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PMingLiU" w:eastAsia="PMingLiU" w:cs="PMingLiU"/>
                <w:color w:val="000000"/>
              </w:rPr>
            </w:pPr>
            <w:r>
              <w:rPr>
                <w:rFonts w:hint="eastAsia" w:ascii="PMingLiU" w:hAnsi="PMingLiU" w:cs="宋体"/>
                <w:color w:val="000000"/>
              </w:rPr>
              <w:t>生产日期</w:t>
            </w:r>
          </w:p>
        </w:tc>
        <w:tc>
          <w:tcPr>
            <w:tcW w:w="1440" w:type="dxa"/>
          </w:tcPr>
          <w:p>
            <w:pPr>
              <w:spacing w:line="360" w:lineRule="auto"/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  <w:lang w:eastAsia="zh-TW"/>
              </w:rPr>
              <w:drawing>
                <wp:inline distT="0" distB="0" distL="0" distR="0">
                  <wp:extent cx="457200" cy="257175"/>
                  <wp:effectExtent l="19050" t="0" r="0" b="0"/>
                  <wp:docPr id="13" name="图片 22" descr="符號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2" descr="符號-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需经医师处方指示使用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908" w:type="dxa"/>
          </w:tcPr>
          <w:p>
            <w:pPr>
              <w:spacing w:line="360" w:lineRule="auto"/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  <w:lang w:eastAsia="zh-TW"/>
              </w:rPr>
              <w:drawing>
                <wp:inline distT="0" distB="0" distL="0" distR="0">
                  <wp:extent cx="314325" cy="276225"/>
                  <wp:effectExtent l="19050" t="0" r="9525" b="0"/>
                  <wp:docPr id="1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制造商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 w:eastAsia="Times New Roman"/>
                <w:color w:val="000000"/>
                <w:lang w:eastAsia="zh-TW"/>
              </w:rPr>
            </w:pPr>
            <w:r>
              <w:rPr>
                <w:rFonts w:ascii="宋体"/>
                <w:color w:val="000000"/>
                <w:lang w:eastAsia="zh-TW"/>
              </w:rPr>
              <w:drawing>
                <wp:inline distT="0" distB="0" distL="0" distR="0">
                  <wp:extent cx="352425" cy="238125"/>
                  <wp:effectExtent l="19050" t="0" r="9525" b="0"/>
                  <wp:docPr id="16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color w:val="000000"/>
                <w:lang w:eastAsia="zh-TW"/>
              </w:rPr>
            </w:pPr>
            <w:r>
              <w:rPr>
                <w:rFonts w:hint="eastAsia" w:ascii="宋体" w:hAnsi="宋体" w:cs="宋体"/>
                <w:color w:val="000000"/>
              </w:rPr>
              <w:t>外盒可回收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908" w:type="dxa"/>
          </w:tcPr>
          <w:p>
            <w:pPr>
              <w:spacing w:line="360" w:lineRule="auto"/>
              <w:jc w:val="center"/>
              <w:rPr>
                <w:rFonts w:ascii="宋体"/>
                <w:color w:val="000000"/>
                <w:lang w:eastAsia="zh-TW"/>
              </w:rPr>
            </w:pPr>
            <w:r>
              <w:rPr>
                <w:rFonts w:hAnsi="Arial" w:cs="Arial"/>
                <w:sz w:val="20"/>
                <w:lang w:eastAsia="zh-TW"/>
              </w:rPr>
              <w:drawing>
                <wp:inline distT="0" distB="0" distL="0" distR="0">
                  <wp:extent cx="400050" cy="400050"/>
                  <wp:effectExtent l="0" t="0" r="0" b="0"/>
                  <wp:docPr id="3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</w:rPr>
              <w:t>如包装破损请勿使用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color w:val="000000"/>
                <w:lang w:eastAsia="zh-TW"/>
              </w:rPr>
            </w:pPr>
            <w:r>
              <w:rPr>
                <w:rFonts w:hAnsi="Arial" w:cs="Arial"/>
                <w:sz w:val="22"/>
                <w:lang w:eastAsia="zh-TW"/>
              </w:rPr>
              <w:drawing>
                <wp:inline distT="0" distB="0" distL="0" distR="0">
                  <wp:extent cx="428625" cy="381000"/>
                  <wp:effectExtent l="0" t="0" r="9525" b="0"/>
                  <wp:docPr id="7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55" t="8055" r="3146" b="11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查阅使用说明书</w:t>
            </w:r>
          </w:p>
        </w:tc>
      </w:tr>
    </w:tbl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 w:eastAsiaTheme="minorEastAsia"/>
          <w:lang w:eastAsia="zh-TW"/>
        </w:rPr>
      </w:pPr>
      <w:r>
        <w:rPr>
          <w:rFonts w:hint="eastAsia" w:ascii="宋体" w:hAnsi="宋体" w:cs="宋体"/>
        </w:rPr>
        <w:t>【医疗器械生产许可证编号】苏药监械生产许</w:t>
      </w:r>
      <w:r>
        <w:rPr>
          <w:rFonts w:hint="eastAsia" w:ascii="宋体" w:hAnsi="宋体" w:cs="宋体"/>
          <w:lang w:val="en-US" w:eastAsia="zh-CN"/>
        </w:rPr>
        <w:t>20190062</w:t>
      </w:r>
      <w:r>
        <w:rPr>
          <w:rFonts w:hint="eastAsia" w:ascii="宋体" w:hAnsi="宋体" w:cs="宋体"/>
        </w:rPr>
        <w:t>号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 w:cs="宋体"/>
        </w:rPr>
        <w:t>【生产企业</w:t>
      </w:r>
      <w:r>
        <w:rPr>
          <w:rFonts w:ascii="宋体" w:hAnsi="宋体" w:cs="宋体"/>
        </w:rPr>
        <w:t>/</w:t>
      </w:r>
      <w:r>
        <w:rPr>
          <w:rFonts w:hint="eastAsia" w:ascii="宋体" w:hAnsi="宋体" w:cs="宋体"/>
        </w:rPr>
        <w:t>注册人/售后服务机构】</w:t>
      </w:r>
    </w:p>
    <w:p>
      <w:pPr>
        <w:adjustRightInd w:val="0"/>
        <w:snapToGrid w:val="0"/>
        <w:spacing w:line="360" w:lineRule="auto"/>
        <w:ind w:right="-52"/>
        <w:rPr>
          <w:rFonts w:ascii="宋体"/>
        </w:rPr>
      </w:pPr>
      <w:r>
        <w:rPr>
          <w:rFonts w:hint="eastAsia" w:ascii="宋体" w:hAnsi="宋体" w:cs="宋体"/>
        </w:rPr>
        <w:t>企业名称：江苏视准医疗器械有限公司</w:t>
      </w:r>
    </w:p>
    <w:p>
      <w:pPr>
        <w:adjustRightInd w:val="0"/>
        <w:snapToGrid w:val="0"/>
        <w:spacing w:line="360" w:lineRule="auto"/>
        <w:ind w:right="-52"/>
        <w:rPr>
          <w:rFonts w:ascii="宋体"/>
        </w:rPr>
      </w:pPr>
      <w:r>
        <w:rPr>
          <w:rFonts w:hint="eastAsia" w:ascii="宋体" w:hAnsi="宋体" w:cs="宋体"/>
        </w:rPr>
        <w:t>住    所：丹阳市开发区高新技术创业园齐梁路19号</w:t>
      </w:r>
    </w:p>
    <w:p>
      <w:pPr>
        <w:adjustRightInd w:val="0"/>
        <w:snapToGrid w:val="0"/>
        <w:spacing w:line="360" w:lineRule="auto"/>
        <w:ind w:right="-52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生产地址：江苏省丹阳市生命科学产业园百胜路3号鱼跃医疗12&amp;15号楼</w:t>
      </w:r>
    </w:p>
    <w:p>
      <w:pPr>
        <w:adjustRightInd w:val="0"/>
        <w:snapToGrid w:val="0"/>
        <w:spacing w:line="360" w:lineRule="auto"/>
        <w:ind w:right="-52"/>
        <w:rPr>
          <w:rFonts w:ascii="宋体"/>
        </w:rPr>
      </w:pPr>
      <w:r>
        <w:rPr>
          <w:rFonts w:hint="eastAsia" w:ascii="宋体" w:hAnsi="宋体" w:cs="宋体"/>
        </w:rPr>
        <w:t>邮政编码：</w:t>
      </w:r>
      <w:r>
        <w:rPr>
          <w:rFonts w:ascii="宋体" w:hAnsi="宋体" w:cs="宋体"/>
        </w:rPr>
        <w:t>212300</w:t>
      </w:r>
    </w:p>
    <w:p>
      <w:pPr>
        <w:adjustRightInd w:val="0"/>
        <w:snapToGrid w:val="0"/>
        <w:spacing w:line="360" w:lineRule="auto"/>
        <w:ind w:right="-52"/>
        <w:rPr>
          <w:rFonts w:ascii="宋体"/>
        </w:rPr>
      </w:pPr>
      <w:r>
        <w:rPr>
          <w:rFonts w:hint="eastAsia" w:ascii="宋体" w:hAnsi="宋体" w:cs="宋体"/>
        </w:rPr>
        <w:t>电话号码：</w:t>
      </w:r>
      <w:r>
        <w:rPr>
          <w:rFonts w:ascii="宋体" w:hAnsi="宋体" w:cs="宋体"/>
        </w:rPr>
        <w:t>0511</w:t>
      </w:r>
      <w:r>
        <w:rPr>
          <w:rFonts w:hint="eastAsia" w:ascii="宋体" w:hAnsi="宋体" w:cs="宋体"/>
        </w:rPr>
        <w:t>-</w:t>
      </w:r>
      <w:r>
        <w:rPr>
          <w:rFonts w:ascii="宋体" w:hAnsi="宋体" w:cs="宋体"/>
        </w:rPr>
        <w:t>86055693</w:t>
      </w:r>
    </w:p>
    <w:p>
      <w:pPr>
        <w:adjustRightInd w:val="0"/>
        <w:snapToGrid w:val="0"/>
        <w:spacing w:line="360" w:lineRule="auto"/>
        <w:ind w:right="-52"/>
        <w:rPr>
          <w:rFonts w:ascii="宋体"/>
        </w:rPr>
      </w:pPr>
      <w:r>
        <w:rPr>
          <w:rFonts w:hint="eastAsia" w:ascii="宋体" w:hAnsi="宋体" w:cs="宋体"/>
        </w:rPr>
        <w:t>传真号码：</w:t>
      </w:r>
      <w:r>
        <w:rPr>
          <w:rFonts w:ascii="宋体" w:hAnsi="宋体" w:cs="宋体"/>
        </w:rPr>
        <w:t>0511</w:t>
      </w:r>
      <w:r>
        <w:rPr>
          <w:rFonts w:hint="eastAsia" w:ascii="宋体" w:hAnsi="宋体" w:cs="宋体"/>
        </w:rPr>
        <w:t>-80307375</w:t>
      </w:r>
    </w:p>
    <w:p>
      <w:pPr>
        <w:adjustRightInd w:val="0"/>
        <w:snapToGrid w:val="0"/>
        <w:spacing w:line="360" w:lineRule="auto"/>
        <w:ind w:right="-52"/>
        <w:rPr>
          <w:rFonts w:ascii="宋体" w:eastAsia="PMingLiU" w:cs="宋体"/>
          <w:lang w:eastAsia="zh-TW"/>
        </w:rPr>
      </w:pPr>
      <w:r>
        <w:rPr>
          <w:rFonts w:hint="eastAsia" w:ascii="宋体" w:hAnsi="宋体" w:cs="宋体"/>
        </w:rPr>
        <w:t>网    址：无</w:t>
      </w:r>
    </w:p>
    <w:sectPr>
      <w:headerReference r:id="rId3" w:type="default"/>
      <w:footerReference r:id="rId4" w:type="default"/>
      <w:pgSz w:w="11906" w:h="16838"/>
      <w:pgMar w:top="851" w:right="851" w:bottom="1418" w:left="851" w:header="454" w:footer="284" w:gutter="0"/>
      <w:pgNumType w:fmt="numberInDash"/>
      <w:cols w:space="425" w:num="1"/>
      <w:docGrid w:linePitch="29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w w:val="150"/>
        <w:sz w:val="18"/>
        <w:szCs w:val="18"/>
      </w:rPr>
    </w:pPr>
    <w:r>
      <w:rPr>
        <w:w w:val="150"/>
        <w:sz w:val="18"/>
        <w:szCs w:val="18"/>
      </w:rPr>
      <w:t>___________________________________________________________________________</w:t>
    </w:r>
  </w:p>
  <w:p>
    <w:pPr>
      <w:jc w:val="center"/>
      <w:rPr>
        <w:w w:val="150"/>
        <w:sz w:val="15"/>
        <w:szCs w:val="15"/>
      </w:rPr>
    </w:pPr>
  </w:p>
  <w:p>
    <w:pPr>
      <w:jc w:val="center"/>
      <w:rPr>
        <w:w w:val="150"/>
        <w:sz w:val="18"/>
        <w:szCs w:val="18"/>
      </w:rPr>
    </w:pPr>
    <w:r>
      <w:rPr>
        <w:w w:val="150"/>
        <w:sz w:val="18"/>
        <w:szCs w:val="18"/>
      </w:rPr>
      <w:fldChar w:fldCharType="begin"/>
    </w:r>
    <w:r>
      <w:rPr>
        <w:w w:val="150"/>
        <w:sz w:val="18"/>
        <w:szCs w:val="18"/>
      </w:rPr>
      <w:instrText xml:space="preserve">PAGE   \* MERGEFORMAT</w:instrText>
    </w:r>
    <w:r>
      <w:rPr>
        <w:w w:val="150"/>
        <w:sz w:val="18"/>
        <w:szCs w:val="18"/>
      </w:rPr>
      <w:fldChar w:fldCharType="separate"/>
    </w:r>
    <w:r>
      <w:rPr>
        <w:w w:val="150"/>
        <w:sz w:val="18"/>
        <w:szCs w:val="18"/>
        <w:lang w:val="zh-CN"/>
      </w:rPr>
      <w:t>-</w:t>
    </w:r>
    <w:r>
      <w:rPr>
        <w:w w:val="150"/>
        <w:sz w:val="18"/>
        <w:szCs w:val="18"/>
      </w:rPr>
      <w:t xml:space="preserve"> 6 -</w:t>
    </w:r>
    <w:r>
      <w:rPr>
        <w:w w:val="150"/>
        <w:sz w:val="18"/>
        <w:szCs w:val="18"/>
      </w:rPr>
      <w:fldChar w:fldCharType="end"/>
    </w:r>
  </w:p>
  <w:p>
    <w:pPr>
      <w:jc w:val="center"/>
      <w:rPr>
        <w:b/>
        <w:bCs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bCs/>
        <w:color w:val="000000"/>
        <w:w w:val="150"/>
      </w:rPr>
    </w:pPr>
    <w:r>
      <w:rPr>
        <w:rFonts w:hint="eastAsia" w:cs="宋体"/>
        <w:b/>
        <w:bCs/>
      </w:rPr>
      <w:t>江苏视准医疗器械有限公司</w:t>
    </w:r>
  </w:p>
  <w:p>
    <w:pPr>
      <w:rPr>
        <w:sz w:val="28"/>
        <w:szCs w:val="28"/>
      </w:rPr>
    </w:pPr>
    <w:r>
      <w:rPr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64770</wp:posOffset>
              </wp:positionV>
              <wp:extent cx="6520180" cy="0"/>
              <wp:effectExtent l="0" t="19050" r="13970" b="19050"/>
              <wp:wrapNone/>
              <wp:docPr id="2" name="直接连接符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2018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接连接符 8" o:spid="_x0000_s1026" o:spt="20" style="position:absolute;left:0pt;margin-left:0pt;margin-top:5.1pt;height:0pt;width:513.4pt;z-index:251659264;mso-width-relative:page;mso-height-relative:page;" filled="f" stroked="t" coordsize="21600,21600" o:gfxdata="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oh3rXTAAAA&#10;BwEAAA8AAAAAAAAAAQAgAAAAIgAAAGRycy9kb3ducmV2LnhtbFBLAQIUABQAAAAIAIdO4kDwK0DL&#10;6QEAALYDAAAOAAAAAAAAAAEAIAAAACIBAABkcnMvZTJvRG9jLnhtbFBLBQYAAAAABgAGAFkBAAB9&#10;BQAAAAA=&#10;">
              <v:fill on="f" focussize="0,0"/>
              <v:stroke weight="3pt" color="#000000" linestyle="thinThin" joinstyle="round"/>
              <v:imagedata o:title=""/>
              <o:lock v:ext="edit" aspectratio="f"/>
            </v:line>
          </w:pict>
        </mc:Fallback>
      </mc:AlternateContent>
    </w:r>
    <w:r>
      <w:rPr>
        <w:sz w:val="28"/>
        <w:szCs w:val="28"/>
      </w:rPr>
      <w:t xml:space="preserve">                              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([{£¥‘“‵〈《「『【〔〝︵︷︹︻︽︿﹁﹃﹙﹛﹝（｛"/>
  <w:noLineBreaksBefore w:lang="zh-CN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5ZjE1ZGExZTk4NGNlZjAyNTIwNjE1YmMwMTI1OTAifQ=="/>
  </w:docVars>
  <w:rsids>
    <w:rsidRoot w:val="007A5F7D"/>
    <w:rsid w:val="00001D4F"/>
    <w:rsid w:val="000030A4"/>
    <w:rsid w:val="00003877"/>
    <w:rsid w:val="00004628"/>
    <w:rsid w:val="00031469"/>
    <w:rsid w:val="00033FF6"/>
    <w:rsid w:val="00054D5E"/>
    <w:rsid w:val="00060D94"/>
    <w:rsid w:val="0006601A"/>
    <w:rsid w:val="00082484"/>
    <w:rsid w:val="00083DF9"/>
    <w:rsid w:val="000A1983"/>
    <w:rsid w:val="000B2A09"/>
    <w:rsid w:val="000D6DFB"/>
    <w:rsid w:val="000F0ED5"/>
    <w:rsid w:val="00100A00"/>
    <w:rsid w:val="00111BD7"/>
    <w:rsid w:val="00120028"/>
    <w:rsid w:val="00120DC1"/>
    <w:rsid w:val="00123097"/>
    <w:rsid w:val="001523F0"/>
    <w:rsid w:val="001534DB"/>
    <w:rsid w:val="0015513B"/>
    <w:rsid w:val="00181A84"/>
    <w:rsid w:val="00184748"/>
    <w:rsid w:val="001856F9"/>
    <w:rsid w:val="001B009C"/>
    <w:rsid w:val="001B6060"/>
    <w:rsid w:val="001C1C22"/>
    <w:rsid w:val="001C340C"/>
    <w:rsid w:val="001C620B"/>
    <w:rsid w:val="001C70FC"/>
    <w:rsid w:val="001D4CC3"/>
    <w:rsid w:val="001E1077"/>
    <w:rsid w:val="001F1C13"/>
    <w:rsid w:val="001F455D"/>
    <w:rsid w:val="001F6C6C"/>
    <w:rsid w:val="002003AD"/>
    <w:rsid w:val="00203C72"/>
    <w:rsid w:val="0020401E"/>
    <w:rsid w:val="00210FC7"/>
    <w:rsid w:val="002222A3"/>
    <w:rsid w:val="00242E5E"/>
    <w:rsid w:val="002459AF"/>
    <w:rsid w:val="00247131"/>
    <w:rsid w:val="0024768D"/>
    <w:rsid w:val="00255FEE"/>
    <w:rsid w:val="00267CF4"/>
    <w:rsid w:val="00273154"/>
    <w:rsid w:val="00296C4E"/>
    <w:rsid w:val="00297E96"/>
    <w:rsid w:val="002A4A2D"/>
    <w:rsid w:val="002B05BD"/>
    <w:rsid w:val="002E1B77"/>
    <w:rsid w:val="002E356D"/>
    <w:rsid w:val="002E3F75"/>
    <w:rsid w:val="002E5C82"/>
    <w:rsid w:val="002F08BD"/>
    <w:rsid w:val="00317EED"/>
    <w:rsid w:val="00322B4A"/>
    <w:rsid w:val="0033346D"/>
    <w:rsid w:val="00337EEB"/>
    <w:rsid w:val="00341BD5"/>
    <w:rsid w:val="00345662"/>
    <w:rsid w:val="00362168"/>
    <w:rsid w:val="00363A9E"/>
    <w:rsid w:val="00364B10"/>
    <w:rsid w:val="003650F1"/>
    <w:rsid w:val="00371530"/>
    <w:rsid w:val="003A391B"/>
    <w:rsid w:val="003B7CC9"/>
    <w:rsid w:val="003C1818"/>
    <w:rsid w:val="003C6C4F"/>
    <w:rsid w:val="003C76F0"/>
    <w:rsid w:val="003C7721"/>
    <w:rsid w:val="003D6C62"/>
    <w:rsid w:val="003D6DDE"/>
    <w:rsid w:val="003E0B40"/>
    <w:rsid w:val="003F089A"/>
    <w:rsid w:val="003F2E32"/>
    <w:rsid w:val="003F37D8"/>
    <w:rsid w:val="003F6DEE"/>
    <w:rsid w:val="00403DD3"/>
    <w:rsid w:val="00410BDD"/>
    <w:rsid w:val="00415C62"/>
    <w:rsid w:val="00416A6B"/>
    <w:rsid w:val="00433812"/>
    <w:rsid w:val="00437C0C"/>
    <w:rsid w:val="00445CD2"/>
    <w:rsid w:val="00451C6B"/>
    <w:rsid w:val="00457523"/>
    <w:rsid w:val="00457544"/>
    <w:rsid w:val="00460CBB"/>
    <w:rsid w:val="00481E51"/>
    <w:rsid w:val="00483958"/>
    <w:rsid w:val="004937F1"/>
    <w:rsid w:val="00494325"/>
    <w:rsid w:val="004B4BFD"/>
    <w:rsid w:val="004C3B86"/>
    <w:rsid w:val="004D2A85"/>
    <w:rsid w:val="004D3F9C"/>
    <w:rsid w:val="004D611B"/>
    <w:rsid w:val="0051265E"/>
    <w:rsid w:val="00515E08"/>
    <w:rsid w:val="00516DFB"/>
    <w:rsid w:val="00522878"/>
    <w:rsid w:val="00525F12"/>
    <w:rsid w:val="0054161B"/>
    <w:rsid w:val="0055220C"/>
    <w:rsid w:val="005532C1"/>
    <w:rsid w:val="00561383"/>
    <w:rsid w:val="00571A88"/>
    <w:rsid w:val="00572801"/>
    <w:rsid w:val="00587B34"/>
    <w:rsid w:val="00594E45"/>
    <w:rsid w:val="005A1A2F"/>
    <w:rsid w:val="005B1D1F"/>
    <w:rsid w:val="005C5FD9"/>
    <w:rsid w:val="005C7ED6"/>
    <w:rsid w:val="005D3B97"/>
    <w:rsid w:val="005E2F8E"/>
    <w:rsid w:val="005F08FB"/>
    <w:rsid w:val="005F1D95"/>
    <w:rsid w:val="005F20EA"/>
    <w:rsid w:val="005F3D0E"/>
    <w:rsid w:val="005F7403"/>
    <w:rsid w:val="005F755B"/>
    <w:rsid w:val="00610CA3"/>
    <w:rsid w:val="00616CD5"/>
    <w:rsid w:val="00627DAD"/>
    <w:rsid w:val="0063791B"/>
    <w:rsid w:val="006448CC"/>
    <w:rsid w:val="00674BCF"/>
    <w:rsid w:val="00674DCE"/>
    <w:rsid w:val="00677758"/>
    <w:rsid w:val="00682D7E"/>
    <w:rsid w:val="0068571D"/>
    <w:rsid w:val="00686F80"/>
    <w:rsid w:val="00693EBF"/>
    <w:rsid w:val="006A1206"/>
    <w:rsid w:val="006A1448"/>
    <w:rsid w:val="006B4CBB"/>
    <w:rsid w:val="006C332F"/>
    <w:rsid w:val="006C62C2"/>
    <w:rsid w:val="006C6D51"/>
    <w:rsid w:val="006E1556"/>
    <w:rsid w:val="006E1D60"/>
    <w:rsid w:val="006E5514"/>
    <w:rsid w:val="006F54AA"/>
    <w:rsid w:val="00703D6A"/>
    <w:rsid w:val="00704557"/>
    <w:rsid w:val="007203F4"/>
    <w:rsid w:val="00732D41"/>
    <w:rsid w:val="007651D4"/>
    <w:rsid w:val="007656AA"/>
    <w:rsid w:val="00772AB5"/>
    <w:rsid w:val="00783C0A"/>
    <w:rsid w:val="007865FE"/>
    <w:rsid w:val="00786DB7"/>
    <w:rsid w:val="00787408"/>
    <w:rsid w:val="007A5F7D"/>
    <w:rsid w:val="007D28DA"/>
    <w:rsid w:val="007D4570"/>
    <w:rsid w:val="007E6C17"/>
    <w:rsid w:val="007F4CAD"/>
    <w:rsid w:val="008022F1"/>
    <w:rsid w:val="008169EA"/>
    <w:rsid w:val="0084749B"/>
    <w:rsid w:val="00854D14"/>
    <w:rsid w:val="00855D1A"/>
    <w:rsid w:val="0086261D"/>
    <w:rsid w:val="00863219"/>
    <w:rsid w:val="00873839"/>
    <w:rsid w:val="0088187E"/>
    <w:rsid w:val="00882269"/>
    <w:rsid w:val="00882B43"/>
    <w:rsid w:val="008A593D"/>
    <w:rsid w:val="008B3833"/>
    <w:rsid w:val="008C2EF8"/>
    <w:rsid w:val="008D3A4B"/>
    <w:rsid w:val="008D5C04"/>
    <w:rsid w:val="008F4547"/>
    <w:rsid w:val="008F52E9"/>
    <w:rsid w:val="008F6BB4"/>
    <w:rsid w:val="00914991"/>
    <w:rsid w:val="00925B2A"/>
    <w:rsid w:val="00936956"/>
    <w:rsid w:val="00941749"/>
    <w:rsid w:val="009541C8"/>
    <w:rsid w:val="00954613"/>
    <w:rsid w:val="00956A80"/>
    <w:rsid w:val="0096201E"/>
    <w:rsid w:val="00977CB7"/>
    <w:rsid w:val="00992628"/>
    <w:rsid w:val="009C0044"/>
    <w:rsid w:val="009C325F"/>
    <w:rsid w:val="009C57AB"/>
    <w:rsid w:val="009C7150"/>
    <w:rsid w:val="009D6870"/>
    <w:rsid w:val="009E0883"/>
    <w:rsid w:val="009E3AAE"/>
    <w:rsid w:val="009E501B"/>
    <w:rsid w:val="009F3861"/>
    <w:rsid w:val="009F508D"/>
    <w:rsid w:val="00A0573B"/>
    <w:rsid w:val="00A154A4"/>
    <w:rsid w:val="00A16AFA"/>
    <w:rsid w:val="00A34814"/>
    <w:rsid w:val="00A354E9"/>
    <w:rsid w:val="00A42448"/>
    <w:rsid w:val="00A725D2"/>
    <w:rsid w:val="00A73F3C"/>
    <w:rsid w:val="00A76841"/>
    <w:rsid w:val="00A84954"/>
    <w:rsid w:val="00AA0224"/>
    <w:rsid w:val="00AA09E0"/>
    <w:rsid w:val="00AA3D3D"/>
    <w:rsid w:val="00AB0552"/>
    <w:rsid w:val="00AB50D4"/>
    <w:rsid w:val="00AC31B9"/>
    <w:rsid w:val="00AC3457"/>
    <w:rsid w:val="00AC7B4F"/>
    <w:rsid w:val="00AD3C7D"/>
    <w:rsid w:val="00AE00A9"/>
    <w:rsid w:val="00B012A0"/>
    <w:rsid w:val="00B05AC1"/>
    <w:rsid w:val="00B16D33"/>
    <w:rsid w:val="00B26DE8"/>
    <w:rsid w:val="00B332B5"/>
    <w:rsid w:val="00B446ED"/>
    <w:rsid w:val="00B44A89"/>
    <w:rsid w:val="00B51599"/>
    <w:rsid w:val="00B53F85"/>
    <w:rsid w:val="00B741EB"/>
    <w:rsid w:val="00B74260"/>
    <w:rsid w:val="00B76E7D"/>
    <w:rsid w:val="00B818E7"/>
    <w:rsid w:val="00B9775C"/>
    <w:rsid w:val="00BA5C82"/>
    <w:rsid w:val="00BA6B19"/>
    <w:rsid w:val="00BA7871"/>
    <w:rsid w:val="00BB384B"/>
    <w:rsid w:val="00BB3CDC"/>
    <w:rsid w:val="00BC072E"/>
    <w:rsid w:val="00BC49B6"/>
    <w:rsid w:val="00BD4621"/>
    <w:rsid w:val="00BF1504"/>
    <w:rsid w:val="00BF2C11"/>
    <w:rsid w:val="00BF3F92"/>
    <w:rsid w:val="00BF4ABF"/>
    <w:rsid w:val="00C07429"/>
    <w:rsid w:val="00C21322"/>
    <w:rsid w:val="00C21A97"/>
    <w:rsid w:val="00C22B11"/>
    <w:rsid w:val="00C320AC"/>
    <w:rsid w:val="00C429EF"/>
    <w:rsid w:val="00C444D4"/>
    <w:rsid w:val="00C50C43"/>
    <w:rsid w:val="00C62603"/>
    <w:rsid w:val="00C65E46"/>
    <w:rsid w:val="00C76C32"/>
    <w:rsid w:val="00C853B0"/>
    <w:rsid w:val="00C91611"/>
    <w:rsid w:val="00CA38DF"/>
    <w:rsid w:val="00CA517E"/>
    <w:rsid w:val="00CA6950"/>
    <w:rsid w:val="00CB218A"/>
    <w:rsid w:val="00CC3A4C"/>
    <w:rsid w:val="00CC5AAE"/>
    <w:rsid w:val="00CC6AC9"/>
    <w:rsid w:val="00CD3269"/>
    <w:rsid w:val="00CE4003"/>
    <w:rsid w:val="00CE4B06"/>
    <w:rsid w:val="00CE531D"/>
    <w:rsid w:val="00D0061C"/>
    <w:rsid w:val="00D02292"/>
    <w:rsid w:val="00D17BF4"/>
    <w:rsid w:val="00D339D6"/>
    <w:rsid w:val="00D42B0C"/>
    <w:rsid w:val="00D42C81"/>
    <w:rsid w:val="00D500EA"/>
    <w:rsid w:val="00D51A9F"/>
    <w:rsid w:val="00D52490"/>
    <w:rsid w:val="00D64641"/>
    <w:rsid w:val="00D76B35"/>
    <w:rsid w:val="00D84CC2"/>
    <w:rsid w:val="00D94E66"/>
    <w:rsid w:val="00DB0415"/>
    <w:rsid w:val="00DC310A"/>
    <w:rsid w:val="00DC4FA0"/>
    <w:rsid w:val="00DD3D58"/>
    <w:rsid w:val="00DD5C07"/>
    <w:rsid w:val="00DE0E4E"/>
    <w:rsid w:val="00DE7369"/>
    <w:rsid w:val="00DF6213"/>
    <w:rsid w:val="00E02575"/>
    <w:rsid w:val="00E031D8"/>
    <w:rsid w:val="00E105DF"/>
    <w:rsid w:val="00E13920"/>
    <w:rsid w:val="00E214D0"/>
    <w:rsid w:val="00E222C7"/>
    <w:rsid w:val="00E22DC8"/>
    <w:rsid w:val="00E24357"/>
    <w:rsid w:val="00E31D27"/>
    <w:rsid w:val="00E54110"/>
    <w:rsid w:val="00E6098A"/>
    <w:rsid w:val="00E87FE0"/>
    <w:rsid w:val="00EA59CB"/>
    <w:rsid w:val="00EA5C9F"/>
    <w:rsid w:val="00EB26B5"/>
    <w:rsid w:val="00EC67A8"/>
    <w:rsid w:val="00EC77C3"/>
    <w:rsid w:val="00EE2C1E"/>
    <w:rsid w:val="00EF510E"/>
    <w:rsid w:val="00F02AA1"/>
    <w:rsid w:val="00F14705"/>
    <w:rsid w:val="00F14E94"/>
    <w:rsid w:val="00F1767A"/>
    <w:rsid w:val="00F2262E"/>
    <w:rsid w:val="00F33363"/>
    <w:rsid w:val="00F37877"/>
    <w:rsid w:val="00F414AE"/>
    <w:rsid w:val="00F42E22"/>
    <w:rsid w:val="00F456DD"/>
    <w:rsid w:val="00F57375"/>
    <w:rsid w:val="00F64035"/>
    <w:rsid w:val="00F74AFC"/>
    <w:rsid w:val="00F868BF"/>
    <w:rsid w:val="00F947EF"/>
    <w:rsid w:val="00F953F5"/>
    <w:rsid w:val="00F976BE"/>
    <w:rsid w:val="00FA2895"/>
    <w:rsid w:val="00FA3805"/>
    <w:rsid w:val="00FA4FC6"/>
    <w:rsid w:val="00FC2758"/>
    <w:rsid w:val="00FC4FA9"/>
    <w:rsid w:val="00FC4FCE"/>
    <w:rsid w:val="00FD3BDE"/>
    <w:rsid w:val="00FD41FE"/>
    <w:rsid w:val="00FF415A"/>
    <w:rsid w:val="00FF60BC"/>
    <w:rsid w:val="03892786"/>
    <w:rsid w:val="03D003E6"/>
    <w:rsid w:val="10184969"/>
    <w:rsid w:val="1B8C3C87"/>
    <w:rsid w:val="21354515"/>
    <w:rsid w:val="29944F82"/>
    <w:rsid w:val="319A66AA"/>
    <w:rsid w:val="33FB61A7"/>
    <w:rsid w:val="417C38A5"/>
    <w:rsid w:val="44920A66"/>
    <w:rsid w:val="481101B7"/>
    <w:rsid w:val="4A954207"/>
    <w:rsid w:val="4DBE20F1"/>
    <w:rsid w:val="4FDE0A27"/>
    <w:rsid w:val="57595806"/>
    <w:rsid w:val="5A4D17FC"/>
    <w:rsid w:val="5E412412"/>
    <w:rsid w:val="6831231D"/>
    <w:rsid w:val="741747E3"/>
    <w:rsid w:val="74EE24BC"/>
    <w:rsid w:val="77D10D49"/>
    <w:rsid w:val="7A7318E2"/>
    <w:rsid w:val="7C30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5"/>
    <w:qFormat/>
    <w:uiPriority w:val="9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1"/>
    <w:semiHidden/>
    <w:qFormat/>
    <w:uiPriority w:val="99"/>
    <w:pPr>
      <w:jc w:val="left"/>
    </w:pPr>
  </w:style>
  <w:style w:type="paragraph" w:styleId="4">
    <w:name w:val="Plain Text"/>
    <w:basedOn w:val="1"/>
    <w:link w:val="16"/>
    <w:qFormat/>
    <w:uiPriority w:val="99"/>
    <w:rPr>
      <w:rFonts w:ascii="宋体" w:hAnsi="Courier New" w:cs="宋体"/>
      <w:lang w:eastAsia="zh-TW"/>
    </w:rPr>
  </w:style>
  <w:style w:type="paragraph" w:styleId="5">
    <w:name w:val="Date"/>
    <w:basedOn w:val="1"/>
    <w:next w:val="1"/>
    <w:link w:val="17"/>
    <w:qFormat/>
    <w:uiPriority w:val="99"/>
    <w:pPr>
      <w:ind w:left="100" w:leftChars="2500"/>
    </w:pPr>
  </w:style>
  <w:style w:type="paragraph" w:styleId="6">
    <w:name w:val="Balloon Text"/>
    <w:basedOn w:val="1"/>
    <w:link w:val="18"/>
    <w:semiHidden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annotation subject"/>
    <w:basedOn w:val="3"/>
    <w:next w:val="3"/>
    <w:link w:val="22"/>
    <w:semiHidden/>
    <w:qFormat/>
    <w:uiPriority w:val="99"/>
    <w:rPr>
      <w:b/>
      <w:bCs/>
    </w:rPr>
  </w:style>
  <w:style w:type="character" w:styleId="13">
    <w:name w:val="Hyperlink"/>
    <w:qFormat/>
    <w:uiPriority w:val="99"/>
    <w:rPr>
      <w:rFonts w:cs="Times New Roman"/>
      <w:color w:val="0000FF"/>
      <w:u w:val="single"/>
    </w:rPr>
  </w:style>
  <w:style w:type="character" w:styleId="14">
    <w:name w:val="annotation reference"/>
    <w:semiHidden/>
    <w:qFormat/>
    <w:uiPriority w:val="99"/>
    <w:rPr>
      <w:rFonts w:cs="Times New Roman"/>
      <w:sz w:val="21"/>
      <w:szCs w:val="21"/>
    </w:rPr>
  </w:style>
  <w:style w:type="character" w:customStyle="1" w:styleId="15">
    <w:name w:val="標題 2 字元"/>
    <w:link w:val="2"/>
    <w:qFormat/>
    <w:locked/>
    <w:uiPriority w:val="99"/>
    <w:rPr>
      <w:rFonts w:ascii="宋体" w:hAnsi="宋体" w:cs="宋体"/>
      <w:b/>
      <w:bCs/>
      <w:kern w:val="0"/>
      <w:sz w:val="36"/>
      <w:szCs w:val="36"/>
    </w:rPr>
  </w:style>
  <w:style w:type="character" w:customStyle="1" w:styleId="16">
    <w:name w:val="純文字 字元"/>
    <w:link w:val="4"/>
    <w:qFormat/>
    <w:locked/>
    <w:uiPriority w:val="99"/>
    <w:rPr>
      <w:rFonts w:ascii="宋体" w:hAnsi="Courier New" w:eastAsia="Times New Roman" w:cs="宋体"/>
      <w:sz w:val="20"/>
      <w:szCs w:val="20"/>
    </w:rPr>
  </w:style>
  <w:style w:type="character" w:customStyle="1" w:styleId="17">
    <w:name w:val="日期 字元"/>
    <w:link w:val="5"/>
    <w:qFormat/>
    <w:locked/>
    <w:uiPriority w:val="99"/>
    <w:rPr>
      <w:rFonts w:ascii="Times New Roman" w:hAnsi="Times New Roman" w:cs="Times New Roman"/>
      <w:sz w:val="24"/>
      <w:szCs w:val="24"/>
    </w:rPr>
  </w:style>
  <w:style w:type="character" w:customStyle="1" w:styleId="18">
    <w:name w:val="註解方塊文字 字元"/>
    <w:link w:val="6"/>
    <w:semiHidden/>
    <w:qFormat/>
    <w:locked/>
    <w:uiPriority w:val="99"/>
    <w:rPr>
      <w:rFonts w:ascii="Times New Roman" w:hAnsi="Times New Roman" w:cs="Times New Roman"/>
      <w:sz w:val="18"/>
      <w:szCs w:val="18"/>
    </w:rPr>
  </w:style>
  <w:style w:type="character" w:customStyle="1" w:styleId="19">
    <w:name w:val="頁首 字元"/>
    <w:link w:val="8"/>
    <w:qFormat/>
    <w:locked/>
    <w:uiPriority w:val="99"/>
    <w:rPr>
      <w:rFonts w:ascii="Times New Roman" w:hAnsi="Times New Roman" w:cs="Times New Roman"/>
      <w:sz w:val="18"/>
      <w:szCs w:val="18"/>
    </w:rPr>
  </w:style>
  <w:style w:type="character" w:customStyle="1" w:styleId="20">
    <w:name w:val="頁尾 字元"/>
    <w:link w:val="7"/>
    <w:qFormat/>
    <w:locked/>
    <w:uiPriority w:val="99"/>
    <w:rPr>
      <w:rFonts w:ascii="Times New Roman" w:hAnsi="Times New Roman" w:cs="Times New Roman"/>
      <w:sz w:val="18"/>
      <w:szCs w:val="18"/>
    </w:rPr>
  </w:style>
  <w:style w:type="character" w:customStyle="1" w:styleId="21">
    <w:name w:val="註解文字 字元"/>
    <w:link w:val="3"/>
    <w:semiHidden/>
    <w:qFormat/>
    <w:locked/>
    <w:uiPriority w:val="99"/>
    <w:rPr>
      <w:rFonts w:ascii="Times New Roman" w:hAnsi="Times New Roman" w:cs="Times New Roman"/>
      <w:sz w:val="24"/>
      <w:szCs w:val="24"/>
    </w:rPr>
  </w:style>
  <w:style w:type="character" w:customStyle="1" w:styleId="22">
    <w:name w:val="註解主旨 字元"/>
    <w:link w:val="10"/>
    <w:semiHidden/>
    <w:qFormat/>
    <w:locked/>
    <w:uiPriority w:val="99"/>
    <w:rPr>
      <w:rFonts w:ascii="Times New Roman" w:hAnsi="Times New Roman" w:cs="Times New Roman"/>
      <w:b/>
      <w:bCs/>
      <w:sz w:val="24"/>
      <w:szCs w:val="24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字元2"/>
    <w:semiHidden/>
    <w:qFormat/>
    <w:uiPriority w:val="99"/>
    <w:rPr>
      <w:kern w:val="2"/>
      <w:sz w:val="24"/>
      <w:lang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16.png"/><Relationship Id="rId26" Type="http://schemas.openxmlformats.org/officeDocument/2006/relationships/image" Target="media/image15.emf"/><Relationship Id="rId25" Type="http://schemas.openxmlformats.org/officeDocument/2006/relationships/image" Target="media/image14.jpeg"/><Relationship Id="rId24" Type="http://schemas.openxmlformats.org/officeDocument/2006/relationships/image" Target="media/image13.emf"/><Relationship Id="rId23" Type="http://schemas.openxmlformats.org/officeDocument/2006/relationships/image" Target="media/image12.jpeg"/><Relationship Id="rId22" Type="http://schemas.openxmlformats.org/officeDocument/2006/relationships/image" Target="media/image11.png"/><Relationship Id="rId21" Type="http://schemas.openxmlformats.org/officeDocument/2006/relationships/image" Target="media/image10.jpeg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6.bin"/><Relationship Id="rId17" Type="http://schemas.openxmlformats.org/officeDocument/2006/relationships/image" Target="media/image7.jpeg"/><Relationship Id="rId16" Type="http://schemas.openxmlformats.org/officeDocument/2006/relationships/image" Target="media/image6.wmf"/><Relationship Id="rId15" Type="http://schemas.openxmlformats.org/officeDocument/2006/relationships/oleObject" Target="embeddings/oleObject5.bin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oleObject" Target="embeddings/oleObject4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6</Pages>
  <Words>4065</Words>
  <Characters>4568</Characters>
  <Lines>34</Lines>
  <Paragraphs>9</Paragraphs>
  <TotalTime>0</TotalTime>
  <ScaleCrop>false</ScaleCrop>
  <LinksUpToDate>false</LinksUpToDate>
  <CharactersWithSpaces>4676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2020-09-21T05:31:00Z</dcterms:created>
  <dc:creator>Administrator</dc:creator>
  <cp:lastModifiedBy>莫非</cp:lastModifiedBy>
  <cp:lastPrinted>2020-06-04T01:42:00Z</cp:lastPrinted>
  <dcterms:modified xsi:type="dcterms:W3CDTF">2022-12-29T05:29:44Z</dcterms:modified>
  <dc:title>性水接触使用明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795912BD4A19484B96E77DCFE92A3F0F</vt:lpwstr>
  </property>
</Properties>
</file>