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Georgia" w:cs="Georgia" w:eastAsia="Georgia" w:hAnsi="Georgia"/>
          <w:sz w:val="43"/>
          <w:szCs w:val="43"/>
        </w:rPr>
      </w:pPr>
      <w:r w:rsidDel="00000000" w:rsidR="00000000" w:rsidRPr="00000000">
        <w:rPr>
          <w:rFonts w:ascii="Georgia" w:cs="Georgia" w:eastAsia="Georgia" w:hAnsi="Georgia"/>
          <w:sz w:val="43"/>
          <w:szCs w:val="43"/>
          <w:rtl w:val="0"/>
        </w:rPr>
        <w:t xml:space="preserve">Inge Troch</w:t>
      </w:r>
    </w:p>
    <w:p w:rsidR="00000000" w:rsidDel="00000000" w:rsidP="00000000" w:rsidRDefault="00000000" w:rsidRPr="00000000" w14:paraId="00000002">
      <w:pPr>
        <w:spacing w:after="240" w:before="240" w:lineRule="auto"/>
        <w:rPr/>
      </w:pPr>
      <w:r w:rsidDel="00000000" w:rsidR="00000000" w:rsidRPr="00000000">
        <w:rPr>
          <w:b w:val="1"/>
          <w:sz w:val="21"/>
          <w:szCs w:val="21"/>
          <w:rtl w:val="0"/>
        </w:rPr>
        <w:t xml:space="preserve">Inge Troch</w:t>
      </w:r>
      <w:r w:rsidDel="00000000" w:rsidR="00000000" w:rsidRPr="00000000">
        <w:rPr>
          <w:sz w:val="21"/>
          <w:szCs w:val="21"/>
          <w:rtl w:val="0"/>
        </w:rPr>
        <w:t xml:space="preserve"> (* 24. Februar 1941) [5] ist eine Professorin im Ruhestand am Institut für Analysis und Scientific Computing an der Fakultät für Mathematik und Geoinformation an der </w:t>
      </w:r>
      <w:r w:rsidDel="00000000" w:rsidR="00000000" w:rsidRPr="00000000">
        <w:rPr>
          <w:color w:val="1c4587"/>
          <w:sz w:val="21"/>
          <w:szCs w:val="21"/>
          <w:u w:val="single"/>
          <w:rtl w:val="0"/>
        </w:rPr>
        <w:t xml:space="preserve">Technischen Universität Wien</w:t>
      </w:r>
      <w:r w:rsidDel="00000000" w:rsidR="00000000" w:rsidRPr="00000000">
        <w:rPr>
          <w:sz w:val="21"/>
          <w:szCs w:val="21"/>
          <w:rtl w:val="0"/>
        </w:rPr>
        <w:t xml:space="preserve">. [1]</w:t>
      </w:r>
      <w:r w:rsidDel="00000000" w:rsidR="00000000" w:rsidRPr="00000000">
        <w:rPr>
          <w:rtl w:val="0"/>
        </w:rPr>
      </w:r>
    </w:p>
    <w:p w:rsidR="00000000" w:rsidDel="00000000" w:rsidP="00000000" w:rsidRDefault="00000000" w:rsidRPr="00000000" w14:paraId="00000003">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Leben</w:t>
      </w:r>
    </w:p>
    <w:p w:rsidR="00000000" w:rsidDel="00000000" w:rsidP="00000000" w:rsidRDefault="00000000" w:rsidRPr="00000000" w14:paraId="00000004">
      <w:pPr>
        <w:spacing w:after="240" w:before="240" w:lineRule="auto"/>
        <w:rPr>
          <w:sz w:val="21"/>
          <w:szCs w:val="21"/>
        </w:rPr>
      </w:pPr>
      <w:r w:rsidDel="00000000" w:rsidR="00000000" w:rsidRPr="00000000">
        <w:rPr>
          <w:sz w:val="21"/>
          <w:szCs w:val="21"/>
          <w:rtl w:val="0"/>
        </w:rPr>
        <w:t xml:space="preserve">Inge Troch promovierte 1966 an der TU Wien mit einer Arbeit in dem Fachbereich Regelungsmathematik.[2][3] Bis zu ihrer Berufung als Universitätsprofessorin für Regelungsmathematik und Modellbildung und Simulation im Jahre 1975, verbrachte sie mehrere Gastaufenthalte im Ausland, unter anderem in Bologna, Italien. In Österreich selbst hielt sie Lehrveranstaltungen in Wien, Linz und Krems. Inge Troch war Leiterin des Institutes für Analysis und Scientific Computing an der Fakultät für Mathematik und Geoinformation an der TU Wien. Seit 2006 ist sie im Ruhestand.</w:t>
      </w:r>
    </w:p>
    <w:p w:rsidR="00000000" w:rsidDel="00000000" w:rsidP="00000000" w:rsidRDefault="00000000" w:rsidRPr="00000000" w14:paraId="00000005">
      <w:pPr>
        <w:spacing w:after="240" w:before="240" w:lineRule="auto"/>
        <w:rPr>
          <w:sz w:val="21"/>
          <w:szCs w:val="21"/>
        </w:rPr>
      </w:pPr>
      <w:r w:rsidDel="00000000" w:rsidR="00000000" w:rsidRPr="00000000">
        <w:rPr>
          <w:sz w:val="21"/>
          <w:szCs w:val="21"/>
          <w:rtl w:val="0"/>
        </w:rPr>
        <w:t xml:space="preserve">In ihrer wissenschaftlichen Karriere hielt sie mehrere Rollen inne:</w:t>
      </w:r>
    </w:p>
    <w:p w:rsidR="00000000" w:rsidDel="00000000" w:rsidP="00000000" w:rsidRDefault="00000000" w:rsidRPr="00000000" w14:paraId="00000006">
      <w:pPr>
        <w:numPr>
          <w:ilvl w:val="0"/>
          <w:numId w:val="1"/>
        </w:numPr>
        <w:spacing w:after="0" w:afterAutospacing="0" w:before="240" w:lineRule="auto"/>
        <w:ind w:left="720" w:hanging="360"/>
        <w:rPr>
          <w:sz w:val="21"/>
          <w:szCs w:val="21"/>
          <w:u w:val="none"/>
        </w:rPr>
      </w:pPr>
      <w:r w:rsidDel="00000000" w:rsidR="00000000" w:rsidRPr="00000000">
        <w:rPr>
          <w:sz w:val="21"/>
          <w:szCs w:val="21"/>
          <w:rtl w:val="0"/>
        </w:rPr>
        <w:t xml:space="preserve">Österreichische Delegierte im IFAC Technical Committee (TCs)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Vorsitzende des VDI/VDE-GMA-Committees</w:t>
      </w:r>
    </w:p>
    <w:p w:rsidR="00000000" w:rsidDel="00000000" w:rsidP="00000000" w:rsidRDefault="00000000" w:rsidRPr="00000000" w14:paraId="00000008">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Vorsitzende des IMACS-TC</w:t>
      </w:r>
    </w:p>
    <w:p w:rsidR="00000000" w:rsidDel="00000000" w:rsidP="00000000" w:rsidRDefault="00000000" w:rsidRPr="00000000" w14:paraId="00000009">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Organisatorin der Konferenzreihe “Mathematical Modeling- MATHMOD Vienna”</w:t>
      </w:r>
    </w:p>
    <w:p w:rsidR="00000000" w:rsidDel="00000000" w:rsidP="00000000" w:rsidRDefault="00000000" w:rsidRPr="00000000" w14:paraId="0000000A">
      <w:pPr>
        <w:numPr>
          <w:ilvl w:val="0"/>
          <w:numId w:val="1"/>
        </w:numPr>
        <w:spacing w:after="0" w:afterAutospacing="0" w:before="0" w:beforeAutospacing="0" w:lineRule="auto"/>
        <w:ind w:left="720" w:hanging="360"/>
        <w:rPr>
          <w:sz w:val="21"/>
          <w:szCs w:val="21"/>
        </w:rPr>
      </w:pPr>
      <w:r w:rsidDel="00000000" w:rsidR="00000000" w:rsidRPr="00000000">
        <w:rPr>
          <w:sz w:val="21"/>
          <w:szCs w:val="21"/>
          <w:rtl w:val="0"/>
        </w:rPr>
        <w:t xml:space="preserve">Mitglied des IPC (die Organisatorin von ~60 internationalen Symposien und Kongressen)</w:t>
      </w:r>
    </w:p>
    <w:p w:rsidR="00000000" w:rsidDel="00000000" w:rsidP="00000000" w:rsidRDefault="00000000" w:rsidRPr="00000000" w14:paraId="0000000B">
      <w:pPr>
        <w:numPr>
          <w:ilvl w:val="0"/>
          <w:numId w:val="1"/>
        </w:numPr>
        <w:spacing w:after="240" w:before="0" w:beforeAutospacing="0" w:lineRule="auto"/>
        <w:ind w:left="720" w:hanging="360"/>
        <w:rPr>
          <w:sz w:val="21"/>
          <w:szCs w:val="21"/>
        </w:rPr>
      </w:pPr>
      <w:r w:rsidDel="00000000" w:rsidR="00000000" w:rsidRPr="00000000">
        <w:rPr>
          <w:sz w:val="21"/>
          <w:szCs w:val="21"/>
          <w:rtl w:val="0"/>
        </w:rPr>
        <w:t xml:space="preserve">Mitglied des Redaktionsausschusses von C-TAT (Control-Theory and Advanced Technology)</w:t>
      </w:r>
    </w:p>
    <w:p w:rsidR="00000000" w:rsidDel="00000000" w:rsidP="00000000" w:rsidRDefault="00000000" w:rsidRPr="00000000" w14:paraId="0000000C">
      <w:pPr>
        <w:spacing w:after="240" w:before="240" w:lineRule="auto"/>
        <w:ind w:left="720" w:firstLine="0"/>
        <w:rPr>
          <w:sz w:val="21"/>
          <w:szCs w:val="21"/>
        </w:rPr>
      </w:pPr>
      <w:r w:rsidDel="00000000" w:rsidR="00000000" w:rsidRPr="00000000">
        <w:rPr>
          <w:rtl w:val="0"/>
        </w:rPr>
      </w:r>
    </w:p>
    <w:p w:rsidR="00000000" w:rsidDel="00000000" w:rsidP="00000000" w:rsidRDefault="00000000" w:rsidRPr="00000000" w14:paraId="0000000D">
      <w:pPr>
        <w:spacing w:after="240" w:before="240" w:lineRule="auto"/>
        <w:ind w:left="0" w:firstLine="0"/>
        <w:rPr>
          <w:sz w:val="21"/>
          <w:szCs w:val="21"/>
        </w:rPr>
      </w:pPr>
      <w:r w:rsidDel="00000000" w:rsidR="00000000" w:rsidRPr="00000000">
        <w:rPr>
          <w:sz w:val="21"/>
          <w:szCs w:val="21"/>
          <w:rtl w:val="0"/>
        </w:rPr>
        <w:t xml:space="preserve">Inge Troch ist die Gründerin von dem Journal “Mathematical und Computer Modelling of Dynamical Systems” und ist bis heute als Editor-in-Chief beschäftigt [2]. Wegen sie vor mehr als 10 Jahren in Ruhestand gegangen ist, beschäftigt sie sich aktiv als Mitglied der internationalen Redaktion von verschiedenen Organisationen, wie Mathematics und Computer Simulation (MATCOM), J. Intelligent and Robotic Systems (JIRS) und Surveys über Mathematik in der Industrie. Inge Troch ist eine Senior- Mitglieder von IEEE.</w:t>
      </w:r>
    </w:p>
    <w:p w:rsidR="00000000" w:rsidDel="00000000" w:rsidP="00000000" w:rsidRDefault="00000000" w:rsidRPr="00000000" w14:paraId="0000000E">
      <w:pPr>
        <w:spacing w:after="240" w:before="240" w:lineRule="auto"/>
        <w:rPr>
          <w:sz w:val="21"/>
          <w:szCs w:val="21"/>
        </w:rPr>
      </w:pPr>
      <w:r w:rsidDel="00000000" w:rsidR="00000000" w:rsidRPr="00000000">
        <w:rPr>
          <w:rtl w:val="0"/>
        </w:rPr>
      </w:r>
    </w:p>
    <w:p w:rsidR="00000000" w:rsidDel="00000000" w:rsidP="00000000" w:rsidRDefault="00000000" w:rsidRPr="00000000" w14:paraId="0000000F">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Forschung und Publikationen</w:t>
      </w:r>
    </w:p>
    <w:p w:rsidR="00000000" w:rsidDel="00000000" w:rsidP="00000000" w:rsidRDefault="00000000" w:rsidRPr="00000000" w14:paraId="00000010">
      <w:pPr>
        <w:spacing w:after="240" w:before="240" w:lineRule="auto"/>
        <w:rPr>
          <w:sz w:val="21"/>
          <w:szCs w:val="21"/>
        </w:rPr>
      </w:pPr>
      <w:r w:rsidDel="00000000" w:rsidR="00000000" w:rsidRPr="00000000">
        <w:rPr>
          <w:sz w:val="21"/>
          <w:szCs w:val="21"/>
          <w:rtl w:val="0"/>
        </w:rPr>
        <w:t xml:space="preserve">Inge Troch verfügt mehr als 100 Publikationen in wissenschaftlichen Fachzeitschriften und Büchern im den Bereichen der Kontroll Mathematik, Modellierung Simulation und Robotik. Sie ist Mitautorin von zwei Büchern, ein von denen ist “Robot Control 1991”.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Auszeichnungen &amp; Ehrungen</w:t>
      </w:r>
    </w:p>
    <w:p w:rsidR="00000000" w:rsidDel="00000000" w:rsidP="00000000" w:rsidRDefault="00000000" w:rsidRPr="00000000" w14:paraId="00000013">
      <w:pPr>
        <w:numPr>
          <w:ilvl w:val="0"/>
          <w:numId w:val="2"/>
        </w:numPr>
        <w:spacing w:after="240" w:before="240" w:lineRule="auto"/>
        <w:ind w:left="720" w:hanging="360"/>
        <w:rPr>
          <w:sz w:val="21"/>
          <w:szCs w:val="21"/>
          <w:u w:val="none"/>
        </w:rPr>
      </w:pPr>
      <w:r w:rsidDel="00000000" w:rsidR="00000000" w:rsidRPr="00000000">
        <w:rPr>
          <w:sz w:val="21"/>
          <w:szCs w:val="21"/>
          <w:rtl w:val="0"/>
        </w:rPr>
        <w:t xml:space="preserve">2015: </w:t>
      </w:r>
      <w:hyperlink r:id="rId6">
        <w:r w:rsidDel="00000000" w:rsidR="00000000" w:rsidRPr="00000000">
          <w:rPr>
            <w:color w:val="1155cc"/>
            <w:sz w:val="21"/>
            <w:szCs w:val="21"/>
            <w:u w:val="single"/>
            <w:rtl w:val="0"/>
          </w:rPr>
          <w:t xml:space="preserve">Österreichische Ehrenkreuz für Wissenschaft und Kunst I. Klasse</w:t>
        </w:r>
      </w:hyperlink>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Sources</w:t>
      </w:r>
    </w:p>
    <w:p w:rsidR="00000000" w:rsidDel="00000000" w:rsidP="00000000" w:rsidRDefault="00000000" w:rsidRPr="00000000" w14:paraId="00000017">
      <w:pPr>
        <w:spacing w:after="240" w:before="240" w:lineRule="auto"/>
        <w:rPr>
          <w:color w:val="1155cc"/>
          <w:u w:val="single"/>
        </w:rPr>
      </w:pPr>
      <w:r w:rsidDel="00000000" w:rsidR="00000000" w:rsidRPr="00000000">
        <w:rPr>
          <w:rtl w:val="0"/>
        </w:rPr>
        <w:t xml:space="preserve">[1]</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https://www.tuwien.at/tu-wien/organisation/zentrale-services/genderkompetenz/frauenspuren/frauenspuren-heute/professorinnen/inge-troch/</w:t>
        </w:r>
      </w:hyperlink>
      <w:r w:rsidDel="00000000" w:rsidR="00000000" w:rsidRPr="00000000">
        <w:rPr>
          <w:rtl w:val="0"/>
        </w:rPr>
      </w:r>
    </w:p>
    <w:p w:rsidR="00000000" w:rsidDel="00000000" w:rsidP="00000000" w:rsidRDefault="00000000" w:rsidRPr="00000000" w14:paraId="00000018">
      <w:pPr>
        <w:spacing w:after="240" w:before="240" w:lineRule="auto"/>
        <w:rPr>
          <w:color w:val="1155cc"/>
          <w:u w:val="single"/>
        </w:rPr>
      </w:pPr>
      <w:r w:rsidDel="00000000" w:rsidR="00000000" w:rsidRPr="00000000">
        <w:rPr>
          <w:rtl w:val="0"/>
        </w:rPr>
        <w:t xml:space="preserve">[2]</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https://institute.tuwien.ac.at/fakmatgeo/aktuelles/details/article/8645/</w:t>
        </w:r>
      </w:hyperlink>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[3]</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books.google.at/books?id=Q45xDAAAQBAJ&amp;pg=PA43&amp;lpg=PA43&amp;dq=Inge+troch&amp;source=bl&amp;ots=zPwEgl0cz2&amp;sig=ACfU3U22MFS2UXfvo7M-1hn_fGCfL3vRjg&amp;hl=it&amp;sa=X&amp;ved=2ahUKEwiAguTz7ermAhXResAKHbqyC8w4ChDoATAEegQICRAB#v=onepage&amp;q=Inge%20troch&amp;f=false</w:t>
        </w:r>
      </w:hyperlink>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[4] </w:t>
      </w:r>
      <w:hyperlink r:id="rId13">
        <w:r w:rsidDel="00000000" w:rsidR="00000000" w:rsidRPr="00000000">
          <w:rPr>
            <w:color w:val="1155cc"/>
            <w:u w:val="single"/>
            <w:rtl w:val="0"/>
          </w:rPr>
          <w:t xml:space="preserve">https://evang.at/superintendentialkuratorin-troch-feierte-mehrfach-jubilaeum/</w:t>
        </w:r>
      </w:hyperlink>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[5] </w:t>
      </w:r>
      <w:hyperlink r:id="rId14">
        <w:r w:rsidDel="00000000" w:rsidR="00000000" w:rsidRPr="00000000">
          <w:rPr>
            <w:color w:val="1155cc"/>
            <w:u w:val="single"/>
            <w:rtl w:val="0"/>
          </w:rPr>
          <w:t xml:space="preserve">https://www.wienerzeitung.at/nachrichten/chronik/wien/885554-Alle-Aemter-auf-Augenhoehe.html</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ooks.google.at/books?id=Q45xDAAAQBAJ&amp;pg=PA43&amp;lpg=PA43&amp;dq=Inge+troch&amp;source=bl&amp;ots=zPwEgl0cz2&amp;sig=ACfU3U22MFS2UXfvo7M-1hn_fGCfL3vRjg&amp;hl=it&amp;sa=X&amp;ved=2ahUKEwiAguTz7ermAhXResAKHbqyC8w4ChDoATAEegQICRAB#v=onepage&amp;q=Inge%20troch&amp;f=false" TargetMode="External"/><Relationship Id="rId10" Type="http://schemas.openxmlformats.org/officeDocument/2006/relationships/hyperlink" Target="https://institute.tuwien.ac.at/fakmatgeo/aktuelles/details/article/8645/" TargetMode="External"/><Relationship Id="rId13" Type="http://schemas.openxmlformats.org/officeDocument/2006/relationships/hyperlink" Target="https://evang.at/superintendentialkuratorin-troch-feierte-mehrfach-jubilaeum/" TargetMode="External"/><Relationship Id="rId12" Type="http://schemas.openxmlformats.org/officeDocument/2006/relationships/hyperlink" Target="https://books.google.at/books?id=Q45xDAAAQBAJ&amp;pg=PA43&amp;lpg=PA43&amp;dq=Inge+troch&amp;source=bl&amp;ots=zPwEgl0cz2&amp;sig=ACfU3U22MFS2UXfvo7M-1hn_fGCfL3vRjg&amp;hl=it&amp;sa=X&amp;ved=2ahUKEwiAguTz7ermAhXResAKHbqyC8w4ChDoATAEegQICRAB#v=onepage&amp;q=Inge%20troch&amp;f=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stitute.tuwien.ac.at/fakmatgeo/aktuelles/details/article/8645/" TargetMode="External"/><Relationship Id="rId14" Type="http://schemas.openxmlformats.org/officeDocument/2006/relationships/hyperlink" Target="https://www.wienerzeitung.at/nachrichten/chronik/wien/885554-Alle-Aemter-auf-Augenhoehe.html" TargetMode="External"/><Relationship Id="rId5" Type="http://schemas.openxmlformats.org/officeDocument/2006/relationships/styles" Target="styles.xml"/><Relationship Id="rId6" Type="http://schemas.openxmlformats.org/officeDocument/2006/relationships/hyperlink" Target="https://de.wikipedia.org/wiki/%C3%96sterreichisches_Ehrenzeichen_und_%C3%96sterreichisches_Ehrenkreuz_f%C3%BCr_Wissenschaft_und_Kunst" TargetMode="External"/><Relationship Id="rId7" Type="http://schemas.openxmlformats.org/officeDocument/2006/relationships/hyperlink" Target="https://www.tuwien.at/tu-wien/organisation/zentrale-services/genderkompetenz/frauenspuren/frauenspuren-heute/professorinnen/inge-troch/" TargetMode="External"/><Relationship Id="rId8" Type="http://schemas.openxmlformats.org/officeDocument/2006/relationships/hyperlink" Target="https://www.tuwien.at/tu-wien/organisation/zentrale-services/genderkompetenz/frauenspuren/frauenspuren-heute/professorinnen/inge-tr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