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Georgia" w:cs="Georgia" w:eastAsia="Georgia" w:hAnsi="Georgia"/>
          <w:sz w:val="43"/>
          <w:szCs w:val="43"/>
        </w:rPr>
      </w:pPr>
      <w:r w:rsidDel="00000000" w:rsidR="00000000" w:rsidRPr="00000000">
        <w:rPr>
          <w:rFonts w:ascii="Georgia" w:cs="Georgia" w:eastAsia="Georgia" w:hAnsi="Georgia"/>
          <w:sz w:val="43"/>
          <w:szCs w:val="43"/>
          <w:rtl w:val="0"/>
        </w:rPr>
        <w:t xml:space="preserve">Susanne Zeilinger- Migsich</w:t>
      </w:r>
    </w:p>
    <w:p w:rsidR="00000000" w:rsidDel="00000000" w:rsidP="00000000" w:rsidRDefault="00000000" w:rsidRPr="00000000" w14:paraId="00000002">
      <w:pPr>
        <w:spacing w:after="240" w:before="240" w:lineRule="auto"/>
        <w:rPr>
          <w:sz w:val="21"/>
          <w:szCs w:val="21"/>
        </w:rPr>
      </w:pPr>
      <w:r w:rsidDel="00000000" w:rsidR="00000000" w:rsidRPr="00000000">
        <w:rPr>
          <w:b w:val="1"/>
          <w:sz w:val="21"/>
          <w:szCs w:val="21"/>
          <w:rtl w:val="0"/>
        </w:rPr>
        <w:t xml:space="preserve">Susanne Zeilinger- Migsich</w:t>
      </w:r>
      <w:r w:rsidDel="00000000" w:rsidR="00000000" w:rsidRPr="00000000">
        <w:rPr>
          <w:sz w:val="21"/>
          <w:szCs w:val="21"/>
          <w:rtl w:val="0"/>
        </w:rPr>
        <w:t xml:space="preserve"> (* 1969 in Wien) ist eine Privatdozentin und Senior Scientist am Institut für Verfahrenstechnik im Bereich Biotechnologie und Mikrobiologie an der </w:t>
      </w:r>
      <w:r w:rsidDel="00000000" w:rsidR="00000000" w:rsidRPr="00000000">
        <w:rPr>
          <w:color w:val="1c4587"/>
          <w:sz w:val="21"/>
          <w:szCs w:val="21"/>
          <w:u w:val="single"/>
          <w:rtl w:val="0"/>
        </w:rPr>
        <w:t xml:space="preserve">Technische Universität Wien</w:t>
      </w:r>
      <w:r w:rsidDel="00000000" w:rsidR="00000000" w:rsidRPr="00000000">
        <w:rPr>
          <w:sz w:val="21"/>
          <w:szCs w:val="21"/>
          <w:rtl w:val="0"/>
        </w:rPr>
        <w:t xml:space="preserve"> und eine Professorin für Mikrobiologie am Institut für Mikrobiologie an der </w:t>
      </w:r>
      <w:r w:rsidDel="00000000" w:rsidR="00000000" w:rsidRPr="00000000">
        <w:rPr>
          <w:color w:val="1c4587"/>
          <w:sz w:val="21"/>
          <w:szCs w:val="21"/>
          <w:u w:val="single"/>
          <w:rtl w:val="0"/>
        </w:rPr>
        <w:t xml:space="preserve">Universität Innsbruck</w:t>
      </w:r>
      <w:r w:rsidDel="00000000" w:rsidR="00000000" w:rsidRPr="00000000">
        <w:rPr>
          <w:sz w:val="21"/>
          <w:szCs w:val="21"/>
          <w:rtl w:val="0"/>
        </w:rPr>
        <w:t xml:space="preserve">.[1]</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Leben</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Susanne Zeilinger- Migsich begann 1987 ihr Studium für „Mikrobiologie und Genetik“ an der Universität Wien. Im Jahr 1993 beendete sie mit der Diplomarbeit „Reinigung und Charakterisierung der alpha-Galactosidase aus Trichoderma reesei“ an der TU Wien und dem VTT Technical Research Center in Finnland. Bis 1995 schrieb Susanne Zeilinger- Migsich ihre Dissertation an der TU Wien mit dem Thema „Einfluss der Kohlenstoffquelle auf die Regulation der Expression ausgewählter Gene aus Trichoderma reesei“ und 1995 promovierte sie mit Auszeichnung.[2]</w:t>
      </w:r>
    </w:p>
    <w:p w:rsidR="00000000" w:rsidDel="00000000" w:rsidP="00000000" w:rsidRDefault="00000000" w:rsidRPr="00000000" w14:paraId="00000006">
      <w:pPr>
        <w:spacing w:after="240" w:before="240" w:lineRule="auto"/>
        <w:rPr>
          <w:sz w:val="21"/>
          <w:szCs w:val="21"/>
        </w:rPr>
      </w:pPr>
      <w:r w:rsidDel="00000000" w:rsidR="00000000" w:rsidRPr="00000000">
        <w:rPr>
          <w:sz w:val="21"/>
          <w:szCs w:val="21"/>
          <w:rtl w:val="0"/>
        </w:rPr>
        <w:t xml:space="preserve">Die Sommer von 1989 und 1990 machte Susanne Zeilinger- Migsich Ferialpraktika bei der Lenzing AG und im Sommer 1991 machte sie noch eine Ferialpraktikum bei der Firma Biochemie GmbH Kundl. Von 1995 bis 2001 arbeitete sie als Post-Doc am Institut für Biochemische Technologie und Mikrobiologie an der TU Wien. Inzwischen im Jahr 1996 nahm eine Position als Post- Doc am Institut für Pflanzenpathologie an der Universität „Federico II“ in Neapel und seit 1996 bis 2001- Lehrbeauftragte an der Universität Wien. Von 2001 bis 2019 arbeitete sie an der TU Wien als Projektleiterin und Senior Wissenschaftlerin und seit 2015 bis momentan an der Universität Innsbruck als Professorin in der Richtung Mikrobiologie.[2][3]</w:t>
      </w:r>
    </w:p>
    <w:p w:rsidR="00000000" w:rsidDel="00000000" w:rsidP="00000000" w:rsidRDefault="00000000" w:rsidRPr="00000000" w14:paraId="00000007">
      <w:pPr>
        <w:spacing w:after="240" w:before="240" w:lineRule="auto"/>
        <w:rPr>
          <w:sz w:val="21"/>
          <w:szCs w:val="21"/>
        </w:rPr>
      </w:pPr>
      <w:r w:rsidDel="00000000" w:rsidR="00000000" w:rsidRPr="00000000">
        <w:rPr>
          <w:sz w:val="21"/>
          <w:szCs w:val="21"/>
          <w:rtl w:val="0"/>
        </w:rPr>
        <w:t xml:space="preserve">Susanne Zeilinger ist tätig als Editorial Board Member of “BMC Fungal Biology and Biotechnology” und “Biocontrol Science and Technology”, als Sprecherin des DKs Bio-Interactions – from basics to application, als Mitglied des Fakultätsrats der Fakultät für Biologie und des QV-Beirats der Fakultät für Biologie und als Associate Editor of Frontiers in Microbiology, Section Fungi and Their Interactions. [4]</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Forschung</w:t>
      </w:r>
    </w:p>
    <w:p w:rsidR="00000000" w:rsidDel="00000000" w:rsidP="00000000" w:rsidRDefault="00000000" w:rsidRPr="00000000" w14:paraId="0000000A">
      <w:pPr>
        <w:spacing w:after="240" w:before="240" w:lineRule="auto"/>
        <w:rPr>
          <w:sz w:val="21"/>
          <w:szCs w:val="21"/>
        </w:rPr>
      </w:pPr>
      <w:r w:rsidDel="00000000" w:rsidR="00000000" w:rsidRPr="00000000">
        <w:rPr>
          <w:sz w:val="21"/>
          <w:szCs w:val="21"/>
          <w:rtl w:val="0"/>
        </w:rPr>
        <w:t xml:space="preserve">Susanne Zeilinger- Migsich macht Forschungen in verschiedene Bereiche: Mykologie, Mikrobiologie und Genetik. Ihre aktuelle Forschungen befasst sich mit mikrobiellen Wechselwirkungen mit Schwerpunkt auf der Wechselwirkung zwischen mykoparasitischem Pilz und Pilz. Die forschungsfragen beschäftigen sich mit dem Signalaustausch zwischen den Interaktionspartnern, Erkennungsereignissen und zellulären Antworten.[3] Weitere Forschungsgebiete, mit den sie sich beschäftigt, sind:</w:t>
      </w:r>
    </w:p>
    <w:p w:rsidR="00000000" w:rsidDel="00000000" w:rsidP="00000000" w:rsidRDefault="00000000" w:rsidRPr="00000000" w14:paraId="0000000B">
      <w:pPr>
        <w:numPr>
          <w:ilvl w:val="0"/>
          <w:numId w:val="3"/>
        </w:numPr>
        <w:spacing w:after="0" w:afterAutospacing="0" w:before="240" w:lineRule="auto"/>
        <w:ind w:left="720" w:hanging="360"/>
        <w:rPr>
          <w:sz w:val="21"/>
          <w:szCs w:val="21"/>
          <w:u w:val="none"/>
        </w:rPr>
      </w:pPr>
      <w:r w:rsidDel="00000000" w:rsidR="00000000" w:rsidRPr="00000000">
        <w:rPr>
          <w:sz w:val="21"/>
          <w:szCs w:val="21"/>
          <w:rtl w:val="0"/>
        </w:rPr>
        <w:t xml:space="preserve">Molekulare Mykologie</w:t>
      </w:r>
    </w:p>
    <w:p w:rsidR="00000000" w:rsidDel="00000000" w:rsidP="00000000" w:rsidRDefault="00000000" w:rsidRPr="00000000" w14:paraId="0000000C">
      <w:pPr>
        <w:numPr>
          <w:ilvl w:val="0"/>
          <w:numId w:val="3"/>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Mikrobielle Interaktionen und mikrobielle Kommunikation</w:t>
      </w:r>
    </w:p>
    <w:p w:rsidR="00000000" w:rsidDel="00000000" w:rsidP="00000000" w:rsidRDefault="00000000" w:rsidRPr="00000000" w14:paraId="0000000D">
      <w:pPr>
        <w:numPr>
          <w:ilvl w:val="0"/>
          <w:numId w:val="3"/>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Mykoparasitimus und Biokontrolle</w:t>
      </w:r>
    </w:p>
    <w:p w:rsidR="00000000" w:rsidDel="00000000" w:rsidP="00000000" w:rsidRDefault="00000000" w:rsidRPr="00000000" w14:paraId="0000000E">
      <w:pPr>
        <w:numPr>
          <w:ilvl w:val="0"/>
          <w:numId w:val="3"/>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Signaltransduktion in Pilzen</w:t>
      </w:r>
    </w:p>
    <w:p w:rsidR="00000000" w:rsidDel="00000000" w:rsidP="00000000" w:rsidRDefault="00000000" w:rsidRPr="00000000" w14:paraId="0000000F">
      <w:pPr>
        <w:numPr>
          <w:ilvl w:val="0"/>
          <w:numId w:val="3"/>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Pilzliche Sekundärmetabolite und Enzyme</w:t>
      </w:r>
    </w:p>
    <w:p w:rsidR="00000000" w:rsidDel="00000000" w:rsidP="00000000" w:rsidRDefault="00000000" w:rsidRPr="00000000" w14:paraId="00000010">
      <w:pPr>
        <w:numPr>
          <w:ilvl w:val="0"/>
          <w:numId w:val="3"/>
        </w:numPr>
        <w:spacing w:after="240" w:before="0" w:beforeAutospacing="0" w:lineRule="auto"/>
        <w:ind w:left="720" w:hanging="360"/>
        <w:rPr>
          <w:sz w:val="21"/>
          <w:szCs w:val="21"/>
          <w:u w:val="none"/>
        </w:rPr>
      </w:pPr>
      <w:r w:rsidDel="00000000" w:rsidR="00000000" w:rsidRPr="00000000">
        <w:rPr>
          <w:sz w:val="21"/>
          <w:szCs w:val="21"/>
          <w:rtl w:val="0"/>
        </w:rPr>
        <w:t xml:space="preserve">Genregulation in Pilzen[4]</w:t>
      </w:r>
    </w:p>
    <w:p w:rsidR="00000000" w:rsidDel="00000000" w:rsidP="00000000" w:rsidRDefault="00000000" w:rsidRPr="00000000" w14:paraId="00000011">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Im Folgenden ist eine Auswahl ihrernForschungsprojektе angeführt:</w:t>
      </w:r>
    </w:p>
    <w:p w:rsidR="00000000" w:rsidDel="00000000" w:rsidP="00000000" w:rsidRDefault="00000000" w:rsidRPr="00000000" w14:paraId="00000013">
      <w:pPr>
        <w:numPr>
          <w:ilvl w:val="0"/>
          <w:numId w:val="1"/>
        </w:numPr>
        <w:spacing w:after="0" w:afterAutospacing="0" w:before="240" w:lineRule="auto"/>
        <w:ind w:left="720" w:hanging="360"/>
        <w:rPr>
          <w:sz w:val="21"/>
          <w:szCs w:val="21"/>
          <w:u w:val="none"/>
        </w:rPr>
      </w:pPr>
      <w:r w:rsidDel="00000000" w:rsidR="00000000" w:rsidRPr="00000000">
        <w:rPr>
          <w:sz w:val="21"/>
          <w:szCs w:val="21"/>
          <w:rtl w:val="0"/>
        </w:rPr>
        <w:t xml:space="preserve">From organismic to biomolecular interactions: Visualizing signaling complexes in the fungal membrane [5]</w:t>
      </w:r>
    </w:p>
    <w:p w:rsidR="00000000" w:rsidDel="00000000" w:rsidP="00000000" w:rsidRDefault="00000000" w:rsidRPr="00000000" w14:paraId="00000014">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Trichoderma mycoparasitism enters the post-genomic era [6]</w:t>
      </w:r>
    </w:p>
    <w:p w:rsidR="00000000" w:rsidDel="00000000" w:rsidP="00000000" w:rsidRDefault="00000000" w:rsidRPr="00000000" w14:paraId="00000015">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BIOGEN: from genes to biocontrol [7]</w:t>
      </w:r>
    </w:p>
    <w:p w:rsidR="00000000" w:rsidDel="00000000" w:rsidP="00000000" w:rsidRDefault="00000000" w:rsidRPr="00000000" w14:paraId="00000016">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TRICHO-TOR: TOR kinase signaling in the mycoparasite Trichoderma atroviride [8]</w:t>
      </w:r>
    </w:p>
    <w:p w:rsidR="00000000" w:rsidDel="00000000" w:rsidP="00000000" w:rsidRDefault="00000000" w:rsidRPr="00000000" w14:paraId="00000017">
      <w:pPr>
        <w:numPr>
          <w:ilvl w:val="0"/>
          <w:numId w:val="1"/>
        </w:numPr>
        <w:spacing w:after="240" w:before="0" w:beforeAutospacing="0" w:lineRule="auto"/>
        <w:ind w:left="720" w:hanging="360"/>
        <w:rPr>
          <w:sz w:val="21"/>
          <w:szCs w:val="21"/>
          <w:u w:val="none"/>
        </w:rPr>
      </w:pPr>
      <w:r w:rsidDel="00000000" w:rsidR="00000000" w:rsidRPr="00000000">
        <w:rPr>
          <w:sz w:val="21"/>
          <w:szCs w:val="21"/>
          <w:rtl w:val="0"/>
        </w:rPr>
        <w:t xml:space="preserve">Chem-Talk: Chemical cross-talk in mycoparasitic interactions [9]</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Publikationen</w:t>
      </w:r>
    </w:p>
    <w:p w:rsidR="00000000" w:rsidDel="00000000" w:rsidP="00000000" w:rsidRDefault="00000000" w:rsidRPr="00000000" w14:paraId="0000001A">
      <w:pPr>
        <w:spacing w:after="240" w:before="240" w:lineRule="auto"/>
        <w:rPr>
          <w:sz w:val="21"/>
          <w:szCs w:val="21"/>
        </w:rPr>
      </w:pPr>
      <w:r w:rsidDel="00000000" w:rsidR="00000000" w:rsidRPr="00000000">
        <w:rPr>
          <w:sz w:val="21"/>
          <w:szCs w:val="21"/>
          <w:rtl w:val="0"/>
        </w:rPr>
        <w:t xml:space="preserve">Zeilinger hat viele publizierten Arbeite und hier folgt eine Auswahl ihrer Publikationen:</w:t>
      </w:r>
    </w:p>
    <w:p w:rsidR="00000000" w:rsidDel="00000000" w:rsidP="00000000" w:rsidRDefault="00000000" w:rsidRPr="00000000" w14:paraId="0000001B">
      <w:pPr>
        <w:numPr>
          <w:ilvl w:val="0"/>
          <w:numId w:val="2"/>
        </w:numPr>
        <w:spacing w:after="0" w:afterAutospacing="0" w:before="240" w:lineRule="auto"/>
        <w:ind w:left="720" w:hanging="360"/>
        <w:rPr>
          <w:sz w:val="21"/>
          <w:szCs w:val="21"/>
          <w:u w:val="none"/>
        </w:rPr>
      </w:pPr>
      <w:r w:rsidDel="00000000" w:rsidR="00000000" w:rsidRPr="00000000">
        <w:rPr>
          <w:sz w:val="21"/>
          <w:szCs w:val="21"/>
          <w:rtl w:val="0"/>
        </w:rPr>
        <w:t xml:space="preserve">Necrotrophic mycoparasites and their genomes [10]</w:t>
      </w:r>
    </w:p>
    <w:p w:rsidR="00000000" w:rsidDel="00000000" w:rsidP="00000000" w:rsidRDefault="00000000" w:rsidRPr="00000000" w14:paraId="0000001C">
      <w:pPr>
        <w:numPr>
          <w:ilvl w:val="0"/>
          <w:numId w:val="2"/>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The Genomes of Three Uneven Siblings: Footprints of the Lifestyles of Three Trichoderma Species [11]</w:t>
      </w:r>
    </w:p>
    <w:p w:rsidR="00000000" w:rsidDel="00000000" w:rsidP="00000000" w:rsidRDefault="00000000" w:rsidRPr="00000000" w14:paraId="0000001D">
      <w:pPr>
        <w:numPr>
          <w:ilvl w:val="0"/>
          <w:numId w:val="2"/>
        </w:numPr>
        <w:spacing w:after="240" w:before="0" w:beforeAutospacing="0" w:lineRule="auto"/>
        <w:ind w:left="720" w:hanging="360"/>
        <w:rPr>
          <w:sz w:val="21"/>
          <w:szCs w:val="21"/>
          <w:u w:val="none"/>
        </w:rPr>
      </w:pPr>
      <w:r w:rsidDel="00000000" w:rsidR="00000000" w:rsidRPr="00000000">
        <w:rPr>
          <w:sz w:val="21"/>
          <w:szCs w:val="21"/>
          <w:rtl w:val="0"/>
        </w:rPr>
        <w:t xml:space="preserve">Friends or foes? Emerging insights from fungal interactions with plants [12]</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Weblinks</w:t>
      </w:r>
    </w:p>
    <w:p w:rsidR="00000000" w:rsidDel="00000000" w:rsidP="00000000" w:rsidRDefault="00000000" w:rsidRPr="00000000" w14:paraId="00000020">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Sources </w:t>
      </w:r>
    </w:p>
    <w:p w:rsidR="00000000" w:rsidDel="00000000" w:rsidP="00000000" w:rsidRDefault="00000000" w:rsidRPr="00000000" w14:paraId="00000022">
      <w:pPr>
        <w:spacing w:after="240" w:before="240" w:lineRule="auto"/>
        <w:rPr>
          <w:color w:val="1155cc"/>
          <w:u w:val="single"/>
        </w:rPr>
      </w:pPr>
      <w:r w:rsidDel="00000000" w:rsidR="00000000" w:rsidRPr="00000000">
        <w:rPr>
          <w:rtl w:val="0"/>
        </w:rPr>
        <w:t xml:space="preserve">[1]</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https://www.frauenspuren.at/frauenspuren_heute/professorinnen/susanne_zeilinger_migsich/</w:t>
        </w:r>
      </w:hyperlink>
      <w:r w:rsidDel="00000000" w:rsidR="00000000" w:rsidRPr="00000000">
        <w:rPr>
          <w:rtl w:val="0"/>
        </w:rPr>
      </w:r>
    </w:p>
    <w:p w:rsidR="00000000" w:rsidDel="00000000" w:rsidP="00000000" w:rsidRDefault="00000000" w:rsidRPr="00000000" w14:paraId="00000023">
      <w:pPr>
        <w:spacing w:after="240" w:before="240" w:lineRule="auto"/>
        <w:rPr>
          <w:color w:val="1155cc"/>
          <w:u w:val="single"/>
        </w:rPr>
      </w:pPr>
      <w:r w:rsidDel="00000000" w:rsidR="00000000" w:rsidRPr="00000000">
        <w:rPr>
          <w:rtl w:val="0"/>
        </w:rPr>
        <w:t xml:space="preserve">[2]</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https://www.femtech.at/sites/default/files/Zeilinger_EDM_12_08.pdf</w:t>
        </w:r>
      </w:hyperlink>
      <w:r w:rsidDel="00000000" w:rsidR="00000000" w:rsidRPr="00000000">
        <w:rPr>
          <w:rtl w:val="0"/>
        </w:rPr>
      </w:r>
    </w:p>
    <w:p w:rsidR="00000000" w:rsidDel="00000000" w:rsidP="00000000" w:rsidRDefault="00000000" w:rsidRPr="00000000" w14:paraId="00000024">
      <w:pPr>
        <w:spacing w:after="240" w:before="240" w:lineRule="auto"/>
        <w:rPr>
          <w:color w:val="1155cc"/>
          <w:u w:val="single"/>
        </w:rPr>
      </w:pPr>
      <w:r w:rsidDel="00000000" w:rsidR="00000000" w:rsidRPr="00000000">
        <w:rPr>
          <w:rtl w:val="0"/>
        </w:rPr>
        <w:t xml:space="preserve">[3]</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https://www.researchgate.net/profile/Susanne_Zeilinger</w:t>
        </w:r>
      </w:hyperlink>
      <w:r w:rsidDel="00000000" w:rsidR="00000000" w:rsidRPr="00000000">
        <w:rPr>
          <w:rtl w:val="0"/>
        </w:rPr>
      </w:r>
    </w:p>
    <w:p w:rsidR="00000000" w:rsidDel="00000000" w:rsidP="00000000" w:rsidRDefault="00000000" w:rsidRPr="00000000" w14:paraId="00000025">
      <w:pPr>
        <w:spacing w:after="240" w:before="240" w:lineRule="auto"/>
        <w:rPr>
          <w:color w:val="1155cc"/>
          <w:u w:val="single"/>
        </w:rPr>
      </w:pPr>
      <w:r w:rsidDel="00000000" w:rsidR="00000000" w:rsidRPr="00000000">
        <w:rPr>
          <w:rtl w:val="0"/>
        </w:rPr>
        <w:t xml:space="preserve">[4]</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https://www.uibk.ac.at/microbiology/team/susanne-zeilinger/index.html.de</w:t>
        </w:r>
      </w:hyperlink>
      <w:r w:rsidDel="00000000" w:rsidR="00000000" w:rsidRPr="00000000">
        <w:rPr>
          <w:rtl w:val="0"/>
        </w:rPr>
      </w:r>
    </w:p>
    <w:p w:rsidR="00000000" w:rsidDel="00000000" w:rsidP="00000000" w:rsidRDefault="00000000" w:rsidRPr="00000000" w14:paraId="00000026">
      <w:pPr>
        <w:spacing w:after="240" w:before="240" w:lineRule="auto"/>
        <w:rPr>
          <w:color w:val="1155cc"/>
          <w:u w:val="single"/>
        </w:rPr>
      </w:pPr>
      <w:r w:rsidDel="00000000" w:rsidR="00000000" w:rsidRPr="00000000">
        <w:rPr>
          <w:rtl w:val="0"/>
        </w:rPr>
        <w:t xml:space="preserve">[5]</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https://www.uibk.ac.at/microbiology/research/projects/from-organismic-to-biomolecular-interactions-visualizing-signaling-complexes-in-the-fungal-membrane/</w:t>
        </w:r>
      </w:hyperlink>
      <w:r w:rsidDel="00000000" w:rsidR="00000000" w:rsidRPr="00000000">
        <w:rPr>
          <w:rtl w:val="0"/>
        </w:rPr>
      </w:r>
    </w:p>
    <w:p w:rsidR="00000000" w:rsidDel="00000000" w:rsidP="00000000" w:rsidRDefault="00000000" w:rsidRPr="00000000" w14:paraId="00000027">
      <w:pPr>
        <w:spacing w:after="240" w:before="240" w:lineRule="auto"/>
        <w:rPr>
          <w:color w:val="1155cc"/>
          <w:u w:val="single"/>
        </w:rPr>
      </w:pPr>
      <w:r w:rsidDel="00000000" w:rsidR="00000000" w:rsidRPr="00000000">
        <w:rPr>
          <w:rtl w:val="0"/>
        </w:rPr>
        <w:t xml:space="preserve">[6]</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https://pf.fwf.ac.at/de/wissenschaft-konkret/project-finder/20426</w:t>
        </w:r>
      </w:hyperlink>
      <w:r w:rsidDel="00000000" w:rsidR="00000000" w:rsidRPr="00000000">
        <w:rPr>
          <w:rtl w:val="0"/>
        </w:rPr>
      </w:r>
    </w:p>
    <w:p w:rsidR="00000000" w:rsidDel="00000000" w:rsidP="00000000" w:rsidRDefault="00000000" w:rsidRPr="00000000" w14:paraId="00000028">
      <w:pPr>
        <w:spacing w:after="240" w:before="240" w:lineRule="auto"/>
        <w:rPr>
          <w:color w:val="1155cc"/>
          <w:u w:val="single"/>
        </w:rPr>
      </w:pPr>
      <w:r w:rsidDel="00000000" w:rsidR="00000000" w:rsidRPr="00000000">
        <w:rPr>
          <w:rtl w:val="0"/>
        </w:rPr>
        <w:t xml:space="preserve">[7]</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https://www.wwtf.at/programmes/life_sciences/LS09-036</w:t>
        </w:r>
      </w:hyperlink>
      <w:r w:rsidDel="00000000" w:rsidR="00000000" w:rsidRPr="00000000">
        <w:rPr>
          <w:rtl w:val="0"/>
        </w:rPr>
      </w:r>
    </w:p>
    <w:p w:rsidR="00000000" w:rsidDel="00000000" w:rsidP="00000000" w:rsidRDefault="00000000" w:rsidRPr="00000000" w14:paraId="00000029">
      <w:pPr>
        <w:spacing w:after="240" w:before="240" w:lineRule="auto"/>
        <w:rPr>
          <w:color w:val="1155cc"/>
          <w:u w:val="single"/>
        </w:rPr>
      </w:pPr>
      <w:r w:rsidDel="00000000" w:rsidR="00000000" w:rsidRPr="00000000">
        <w:rPr>
          <w:rtl w:val="0"/>
        </w:rPr>
        <w:t xml:space="preserve">[8]</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https://www.uibk.ac.at/microbiology/research/projects/tricho-tor/</w:t>
        </w:r>
      </w:hyperlink>
      <w:r w:rsidDel="00000000" w:rsidR="00000000" w:rsidRPr="00000000">
        <w:rPr>
          <w:rtl w:val="0"/>
        </w:rPr>
      </w:r>
    </w:p>
    <w:p w:rsidR="00000000" w:rsidDel="00000000" w:rsidP="00000000" w:rsidRDefault="00000000" w:rsidRPr="00000000" w14:paraId="0000002A">
      <w:pPr>
        <w:spacing w:after="240" w:before="240" w:lineRule="auto"/>
        <w:rPr>
          <w:color w:val="1155cc"/>
          <w:u w:val="single"/>
        </w:rPr>
      </w:pPr>
      <w:r w:rsidDel="00000000" w:rsidR="00000000" w:rsidRPr="00000000">
        <w:rPr>
          <w:rtl w:val="0"/>
        </w:rPr>
        <w:t xml:space="preserve">[9]</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https://www.uibk.ac.at/microbiology/research/projects/chem_talk/</w:t>
        </w:r>
      </w:hyperlink>
      <w:r w:rsidDel="00000000" w:rsidR="00000000" w:rsidRPr="00000000">
        <w:rPr>
          <w:rtl w:val="0"/>
        </w:rPr>
      </w:r>
    </w:p>
    <w:p w:rsidR="00000000" w:rsidDel="00000000" w:rsidP="00000000" w:rsidRDefault="00000000" w:rsidRPr="00000000" w14:paraId="0000002B">
      <w:pPr>
        <w:spacing w:after="240" w:before="240" w:lineRule="auto"/>
        <w:rPr>
          <w:color w:val="1155cc"/>
          <w:u w:val="single"/>
        </w:rPr>
      </w:pPr>
      <w:r w:rsidDel="00000000" w:rsidR="00000000" w:rsidRPr="00000000">
        <w:rPr>
          <w:rtl w:val="0"/>
        </w:rPr>
        <w:t xml:space="preserve">[10]</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https://www.asmscience.org/content/journal/microbiolspec/10.1128/microbiolspec.FUNK-0016-2016</w:t>
        </w:r>
      </w:hyperlink>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r w:rsidDel="00000000" w:rsidR="00000000" w:rsidRPr="00000000">
        <w:rPr>
          <w:rtl w:val="0"/>
        </w:rPr>
        <w:t xml:space="preserve">[11]</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https://mmbr.asm.org/content/80/1/205.long</w:t>
        </w:r>
      </w:hyperlink>
      <w:r w:rsidDel="00000000" w:rsidR="00000000" w:rsidRPr="00000000">
        <w:rPr>
          <w:rtl w:val="0"/>
        </w:rPr>
      </w:r>
    </w:p>
    <w:p w:rsidR="00000000" w:rsidDel="00000000" w:rsidP="00000000" w:rsidRDefault="00000000" w:rsidRPr="00000000" w14:paraId="0000002D">
      <w:pPr>
        <w:spacing w:after="240" w:before="240" w:lineRule="auto"/>
        <w:rPr>
          <w:color w:val="1155cc"/>
          <w:u w:val="single"/>
        </w:rPr>
      </w:pPr>
      <w:r w:rsidDel="00000000" w:rsidR="00000000" w:rsidRPr="00000000">
        <w:rPr>
          <w:rtl w:val="0"/>
        </w:rPr>
        <w:t xml:space="preserve">[12]</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https://academic.oup.com/femsre/article/40/2/182/2570111</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ibk.ac.at/microbiology/research/projects/tricho-tor/" TargetMode="External"/><Relationship Id="rId22" Type="http://schemas.openxmlformats.org/officeDocument/2006/relationships/hyperlink" Target="https://www.uibk.ac.at/microbiology/research/projects/chem_talk/" TargetMode="External"/><Relationship Id="rId21" Type="http://schemas.openxmlformats.org/officeDocument/2006/relationships/hyperlink" Target="https://www.uibk.ac.at/microbiology/research/projects/tricho-tor/" TargetMode="External"/><Relationship Id="rId24" Type="http://schemas.openxmlformats.org/officeDocument/2006/relationships/hyperlink" Target="https://www.asmscience.org/content/journal/microbiolspec/10.1128/microbiolspec.FUNK-0016-2016" TargetMode="External"/><Relationship Id="rId23" Type="http://schemas.openxmlformats.org/officeDocument/2006/relationships/hyperlink" Target="https://www.uibk.ac.at/microbiology/research/projects/chem_tal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mtech.at/sites/default/files/Zeilinger_EDM_12_08.pdf" TargetMode="External"/><Relationship Id="rId26" Type="http://schemas.openxmlformats.org/officeDocument/2006/relationships/hyperlink" Target="https://mmbr.asm.org/content/80/1/205.long" TargetMode="External"/><Relationship Id="rId25" Type="http://schemas.openxmlformats.org/officeDocument/2006/relationships/hyperlink" Target="https://www.asmscience.org/content/journal/microbiolspec/10.1128/microbiolspec.FUNK-0016-2016" TargetMode="External"/><Relationship Id="rId28" Type="http://schemas.openxmlformats.org/officeDocument/2006/relationships/hyperlink" Target="https://academic.oup.com/femsre/article/40/2/182/2570111" TargetMode="External"/><Relationship Id="rId27" Type="http://schemas.openxmlformats.org/officeDocument/2006/relationships/hyperlink" Target="https://mmbr.asm.org/content/80/1/205.long" TargetMode="External"/><Relationship Id="rId5" Type="http://schemas.openxmlformats.org/officeDocument/2006/relationships/styles" Target="styles.xml"/><Relationship Id="rId6" Type="http://schemas.openxmlformats.org/officeDocument/2006/relationships/hyperlink" Target="https://www.frauenspuren.at/frauenspuren_heute/professorinnen/susanne_zeilinger_migsich/" TargetMode="External"/><Relationship Id="rId29" Type="http://schemas.openxmlformats.org/officeDocument/2006/relationships/hyperlink" Target="https://academic.oup.com/femsre/article/40/2/182/2570111" TargetMode="External"/><Relationship Id="rId7" Type="http://schemas.openxmlformats.org/officeDocument/2006/relationships/hyperlink" Target="https://www.frauenspuren.at/frauenspuren_heute/professorinnen/susanne_zeilinger_migsich/" TargetMode="External"/><Relationship Id="rId8" Type="http://schemas.openxmlformats.org/officeDocument/2006/relationships/hyperlink" Target="https://www.femtech.at/sites/default/files/Zeilinger_EDM_12_08.pdf" TargetMode="External"/><Relationship Id="rId11" Type="http://schemas.openxmlformats.org/officeDocument/2006/relationships/hyperlink" Target="https://www.researchgate.net/profile/Susanne_Zeilinger" TargetMode="External"/><Relationship Id="rId10" Type="http://schemas.openxmlformats.org/officeDocument/2006/relationships/hyperlink" Target="https://www.researchgate.net/profile/Susanne_Zeilinger" TargetMode="External"/><Relationship Id="rId13" Type="http://schemas.openxmlformats.org/officeDocument/2006/relationships/hyperlink" Target="https://www.uibk.ac.at/microbiology/team/susanne-zeilinger/index.html.de" TargetMode="External"/><Relationship Id="rId12" Type="http://schemas.openxmlformats.org/officeDocument/2006/relationships/hyperlink" Target="https://www.uibk.ac.at/microbiology/team/susanne-zeilinger/index.html.de" TargetMode="External"/><Relationship Id="rId15" Type="http://schemas.openxmlformats.org/officeDocument/2006/relationships/hyperlink" Target="https://www.uibk.ac.at/microbiology/research/projects/from-organismic-to-biomolecular-interactions-visualizing-signaling-complexes-in-the-fungal-membrane/" TargetMode="External"/><Relationship Id="rId14" Type="http://schemas.openxmlformats.org/officeDocument/2006/relationships/hyperlink" Target="https://www.uibk.ac.at/microbiology/research/projects/from-organismic-to-biomolecular-interactions-visualizing-signaling-complexes-in-the-fungal-membrane/" TargetMode="External"/><Relationship Id="rId17" Type="http://schemas.openxmlformats.org/officeDocument/2006/relationships/hyperlink" Target="https://pf.fwf.ac.at/de/wissenschaft-konkret/project-finder/20426" TargetMode="External"/><Relationship Id="rId16" Type="http://schemas.openxmlformats.org/officeDocument/2006/relationships/hyperlink" Target="https://pf.fwf.ac.at/de/wissenschaft-konkret/project-finder/20426" TargetMode="External"/><Relationship Id="rId19" Type="http://schemas.openxmlformats.org/officeDocument/2006/relationships/hyperlink" Target="https://www.wwtf.at/programmes/life_sciences/LS09-036" TargetMode="External"/><Relationship Id="rId18" Type="http://schemas.openxmlformats.org/officeDocument/2006/relationships/hyperlink" Target="https://www.wwtf.at/programmes/life_sciences/LS09-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