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Airbnb Property Owners Sucking Up Canada's Housing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Supply: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08/08/2017 14:59 EDT | Updated 08/09/2017 15:34 EDT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There's been a 50-per-cent spike in short-term rental properties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the space of a year.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Canadian Press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Getty Images/iStockphoto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Condos near Toronto's waterfront. A new report from McGill University says a small group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owners are dominating Airbnb, and are eating up the supply of housing in Canada's largest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cities.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MONTREAL — New research suggests a small number of large commercial property owners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are the most successful on Airbnb and are eating up the local supply of housing in Canada's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three largest cities in the process.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team of urban planners from McGill University looked at Airbnb trends in Montreal,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Vancouver and Toronto and noted a 50 per cent increase in the number of short-term rental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properties year over year.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figures from an analytics firm, lead author David Wachsmuth says his team found that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percent of hosts account for the lion's share of yearly revenue in the three Canadian cities.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study, which is entitled "Short-term Cities: Airbnb's Impact on Canadian Housing Markets,"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 to be published later today.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Airbnb is calling the McGill study baseless and says data was manipulated to misrepresent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½ profile of Airbnb hosts.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spokeswoman says 80 per cent of its users engage in short-term rentals of their primary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residence to earn additional money.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Wachsmuth says he doesn't dispute those figures, but says they are misleading,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"We found two big things: the first is that there has been a very significant concentration 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Airbnb activity — both in terms of what bookings are occurring and who is making money 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among a very small set of hosts," Wachsmuth said Tuesday.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"What we found is that just 10 percent of hosts are accounting for a majority of the revenue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(50 per cent) that's being earned on Airbnb across the three cities. And that concentration 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increasing."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