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Andew Coyne: How a guaranteed minimum income could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work in Canada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nationalpost.com/opinion/andew-coyne-how-a-guaranteed-minimum-income-could-work-in-canada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Swiss may have just voted to reject a proposal for a guaranteed minimum income — also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known as a guaranteed annual income, basic income guarantee or, increasingly, just basic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income — but that hardly means the idea is dead. Pilot projects and feasibility studies are in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works across the developed world, from the Netherlands to California. In Canada, the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federal Liberals, along with governments in Ontario, Quebec and Alberta have expressed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interest in the concept.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What the Swiss vote did highlight, however, is the widely diverging notions represented by that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deceptively simple label. While the basic income is often said to enjoy support across the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political spectrum, it’s clear that left and right have very different ideas of what it would mean,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both in terms of how generous the income guarantee would be, and how it would be financed.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model on which the Swiss voted was at the outer limits of what anyone has imagined 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basic income could or should entail. At 2,500 Swiss francs a month (about $40,000 a year) for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every man, woman and child in the country, the gross cost of such a program in Canada would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1/3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come to about $1.4 trillion, or more than two-thirds of our gross domestic product. Even netting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out the money not spent on the programs it replaced, the Swiss plan was reckoned to cost 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quarter of GDP in additional taxes. No wonder voters rejected it.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 pilot project Finland has planned for next year, paying $1,200 a month, is more modest, but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would still entail a gross cost of $515 billion annually if implemented in Canada. Both are 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long way from the proposal put forward 30 years ago in this country by the Macdonald royal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commission on the economy. Its Universal Income Security Program (UISP) would have paid 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maximum of just $3,750 annually per adult, or $9,000 per family of four. Even allowing for the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rough doubling of prices since then, that’s a relatively meagre proposition.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arithmetic is inescapable: the more generous the basic benefit paid to those with no income at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all, the more sharply it must be taxed back.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Still, in the broad strokes the idea’s supporters have much in common. Take today’s jumble of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overlapping income support programs, some in cash, some in kind, each with a different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clawback rate, and rationalize them into one income-adjusted payment. The universality of the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benefit would ensure no one falls between the cracks. Simplification would mean less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confusion on one side of the exchange, less bureaucracy on the other. Converting in-kind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benefits, such as subsidized housing or drugs, into cash would give recipients more control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over their lives.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Most important, slashing the steep, often confiscatory implicit tax rates facing welfare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recipients, as earned income rises and benefits are reduced — they can end up worse off for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taking a job, when benefits in kind are taken into account — would restore incentives to work.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As the Senate committee on social affairs reported in 2009, “the system that is intended to lift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people out of poverty is substantially broken, often entraps people in poverty, and needs an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overhaul.”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(One of the oddest objections to the basic income idea, in this light, is that it might reduce work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incentives. Whatever minimal inducement to idleness there may be in, say, a $10,000 annual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income guarantee, it is trivial compared to the benefits of cutting implicit tax rates to 20 or 25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per cent. Neither is a basic income needed as a substitute for wage labour, as some advocates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contend: robots are no more likely to make humans obsolete in the 21st century than threshing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machines did in the 18th.)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differences arise when you get into the details. The arithmetic is inescapable: the more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generous the basic benefit paid to those with no income at all, the more sharply it must be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taxed back, if the costs of the program are to be kept within realistic bounds. Conversely,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gentler tax-back rates imply a much lower base amount.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There are limits, too, to the sorts of programs a basic income can or should replace. There’s 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reason we have separate, contributory employment insurance and pension programs, for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example — they serve a different purpose, maintaining incomes at levels comparable to what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contributors earned at work, rather than merely assuring them of a decent minimum. Even the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narrower aim of rationalizing traditional welfare programs typically runs into resistance, whether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2/3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out of concern that simply handing out cash to vulnerable people isn’t enough to get them back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on their feet or for more venal motives.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OK, so maybe a one-size-fits-all basic income guarantee is out of reach, at least at one go. It’s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still possible to move in that direction, one piece at a time. Indeed, we already have what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amount to basic income guarantees for children in the new Canada Child Benefit (combining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 old Universal Child Care Benefit, the Canada Child Tax Benefit and the National Child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Benefit Supplement) and the elderly, via Old Age Security and the Guaranteed Income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Supplement. The federal Working Income Tax Benefit is a basic income for the working-age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population, in embryonic form.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Could the WITB be merged with OAS/GIS, the basic personal exemption, other federal and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provincial tax credits, and provincial social assistance programs to create a universal adult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income guarantee? In principle, certainly. Would it be worth some additional cost? Again, yes: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ensuring no one goes without, while restoring work incentives and granting greater choice in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public services, would seem one of the best uses of public funds imaginable.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But getting federal and provincial governments to agree on this? Alas, some things are too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much to hope for.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2016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