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David Ricardo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britannica.com/biography/David-Ricardo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David Ricardo, (born April 18/19, 1772, London, England—died September 11, 1823,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Gatcombe Park, Gloucestershire), English economist who gave systematized, classical form 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rising science of economics in the 19th century. His laissez-faire doctrines were typified 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his Iron Law of Wages, which stated that all attempts to improve the real income of workers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were futile and that wages perforce remained near the subsistence level.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Ricardo was the third son born to a family of Sephardic Jews who had emigrated from the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Netherlands to England. At the age of 14 he entered into business with his father, who had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made a fortune on the London Stock Exchange. By the time he was 21, however, he had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broken with his father over religion, became a Unitarian, and married a Quaker. He continued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 a member of the stock exchange, where his talents and character won him the support of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 eminent banking house. He did so well that in a few years he acquired a fortune, which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allowed him to pursue interests in literature and science, particularly in the fields of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mathematics, chemistry, and geology.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Ricardo’s interest in economic questions arose in 1799 when he read Adam Smith’s Wealth of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Nations. For 10 years he studied economics, somewhat offhandedly at first and then with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greater concentration. His first published work was The High Price of Bullion, a Proof of the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Depreciation of Bank Notes (1810), an outgrowth of letters Ricardo had published in the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Morning Chronicle the year before. His book refueled the controversy then surrounding the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Bank of England: freed from the necessity of cash payment (strains from the wars with France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prompted the government to bar the Bank of England from paying its notes in gold), both the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Bank of England and the rural banks had increased their note issues and the volume of their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lending. The directors of the Bank of England maintained that the subsequent increase 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prices and the depreciation of the pound had no relation to the increase in bank credit. Ricardo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and others, however, asserted that there indeed was a link between the volume of bank notes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the level of prices. Furthermore, they argued that the price levels in turn affected foreign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exchange rates and the inflow or outflow of gold.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It followed, then, that the bank, as custodian of the central gold reserve of the country, had to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shape its lending policy according to general economic conditions and exercise control over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volume of money and credit. The controversy was therefore critical to the development of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theories concerning central banking. A committee appointed by the House of Commons,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known as the Bullion Committee, confirmed Ricardo’s views and recommended the repeal of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Bank Restriction Act.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At this time Ricardo began to acquire friends who influenced his further intellectual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development. One of these was the philosopher and economist James Mill (father of John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Stuart Mill), who became his political and editorial counselor. Another friend was the Utilitarian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½ philosopher Jeremy Bentham. Still another was Thomas Malthus, best known for his theory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that population tends to increase faster than the food supply—an idea that Ricardo accepted.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 1815 another controversy arose over the Corn Laws, which regulated the import and export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of grain. A decline in wheat prices had led Parliament to raise the tariff on imported wheat. This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provoked a popular outcry and caused Ricardo to publish his Essay on the Influence of a Low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Price of Corn on the Profits of Stock (1815), in which he argued that raising the tariff on grain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imports tended to increase the rents of the country gentlemen while decreasing the profits of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manufacturers. One year before his Corn Law essay, at the age of 42, he had retired from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business and taken up residence in Gloucestershire, where he had extensive landholdings.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Later, in Principles of Political Economy and Taxation (1817), Ricardo analyzed the laws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determining the distribution of everything that could be produced by the “three classes of the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community”—namely, the landlords, the workers, and the owners of capital. As part of his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theory of distribution, he concluded that profits vary inversely with wages, which rise or fall in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line with the cost of necessities. Ricardo also determined that rent tends to increase as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population grows, owing to the higher costs of cultivating more food for the larger population.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He supposed that there was little tendency to unemployment, but he remained guarded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against rapid population growth that could depress wages to the subsistence level, which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would thereby limit both profits and capital formation by extending the margin of cultivation. He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also concluded that trade between countries was influenced by relative costs of production and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by differences in internal price structures that could maximize the comparative advantages of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trading countries.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Although he built in part upon the work of Smith, he defined the scope of economics more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narrowly than had Smith and included little explicit social philosophy. In 1819 Ricardo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purchased a seat in the House of Commons, as was done in those times, and entered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Parliament as a member for Portarlington. He was not a frequent speaker, but so great was his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reputation in economic affairs that his opinions on free trade were received with respect, even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though they did not represent the dominant thinking in the House. Illness forced Ricardo to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retire from Parliament in 1823. He died that year at the age of 51.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Despite his relatively short career and the fact that most of it was preoccupied with business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affairs, Ricardo achieved a leading position among the economists of his time. His views won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considerable support in England despite the abstract style in which he set them forth and in the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face of heavy counterfire from his opponents. Although his ideas have long since been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superseded or modified by other work and by new theoretical approaches, Ricardo retains his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eminence as the thinker who first systematized economics. He also treated monetary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questions and taxation at length. Writers of various persuasions drew heavily upon his ideas,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including those who favoured laissez-faire capitalism and those, such as Karl Marx and Robert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Owen, who opposed it.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Joseph J. Spengler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2016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