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a famous 2011 article in Vanity Fair, Joseph Stiglitz, the Nobel Prize-winning economist, first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warned that our economic policies were increasingly dominated by the richest 1 per cent. Then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Occupy Wall Street movement electrified the concept with political urgency. 1/3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4657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923" t="286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Now Statistics Canada has turned its attention to the problem, too. The agency’s National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Household Survey has documented the stark differences in personal income between the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richest 1 per cent and the rest of us. The data are less precise than would have been attained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the former long-form census (which was cancelled by the data-phobic Conservative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government). But despite its flaws, the report confirms that the gap between rich and poor 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Canada has become enormous.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Incomes for the bottom 90 per cent of Canadians averaged just $28,000, according to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report. In contrast, the top 10 per cent took home an average of $135,000. And the top 1 per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cent pocketed $381,000.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Despite data like these, some still argue that income inequality in Canada isn’t an issue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because it isn’t increasing. Others admit that the level of inequality is high, but we should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graciously accept it because it encourages people to pull themselves up by their bootstraps.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Neither argument carries much weight.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accompanying figure starkly describes the historical trend. The thick gray line indicates the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share of national income going to the richest 0.1 per cent of the population (the richest of the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rich, if you like). The thin red line shows the Gini coefficient: a broader measure of income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inequality, which ranges from a low of zero (perfect equality) to a high of one (total inequality).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By either measure, income inequality has reached a historic extreme. Inequality was high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during the 1920s and 1930s (the “gilded age”), but fell sharply during the Second World War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(as Canadians got back to work and taxes were raised to pay for the war effort). The three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decades after the Second World War — a “golden age” of controlled capitalism — saw further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decline in inequality. The economy was booming and powerful institutions (like progressive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taxation and surging unionization) ensured the wealth was broadly shared.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Since 1980, however, we’ve entered another “gilded age.” Business-friendly economic and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social policies replaced the former Keynesian welfare regime. In recent years, inequality has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reached levels higher than at any time since the 1930s. And it is clearly staying that way,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regardless of small year-to-year fluctuations.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Does income inequality matter? There’s a growing consensus among scientists from many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disciplines that it does: in complex, surprising and economically important ways. Numerous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studies document a powerful relationship between income inequality and varied dimensions of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social pathology.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Indicators as diverse as happiness, mental illness, infant mortality, children’s educational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performance, teenage pregnancy, homicide, imprisonment, social trust and social mobility all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get worse as the income gaps within society deepen.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reigning economic orthodoxy assumes the distribution of income reflects “market forces”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“productivity,” but history confirms distribution is actually shaped by the power institutions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of society. In Canada, three core institutions have been especially important: corporate power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⅔ redistributes income upward, while labour unions and governments redistribute income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downward.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Previous research by one of us revealed the historical relationship between corporate power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 the distribution of personal income. It turns out that relative size of the largest firms 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Canada strongly affects the distribution of personal income: the inexorable corporate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concentration in recent decades has clearly produced greater inequality.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This study, “A Shrinking Universe,” also documented the downward redistribution of income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resulting from organized labour. Union density grew steadily from 16 per cent in 1940 to 37 per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cent by 1975, but has declined steadily since then. As union density increased, income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inequality decreased — and vice versa during the new gilded age.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Governments are also downwardly redistributive. The most obvious effect is through the tax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transfer system (although the progressivity of Canada’s tax system has diminished).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Government spending also redistributes income downward. This is partly because public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sector pay scales are more compressed than the private sector — with a higher floor and 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lower ceiling. As public sector activities form a larger proportion of GDP, inequality moderates.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retrenchment of the Canadian public sector since 1992 has thus contributed to upward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redistribution.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All of this suggests some obvious conclusions regarding how to reduce inequality: strengthen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voice of organized labour and amplify the redistributive aspects of the Canadian state. Our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own history proves there is nothing “natural” or “inevitable” about the level and trend of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inequality. The present lopsided balance of institutional power in our economy and society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(with big business increasingly calling the shots) and the resulting skewed distribution of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income reflect past political and economic decisions. We need not replicate those decisions 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future.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Jordan Brennan and Jim Stanford are economists with Unifor, the new union founded 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Labour Day weekend through the merger of the CAW and the CEP.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