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Vineeth Sekharan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York University; Canadian Observatory on Homelessness/Homeless 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November 11,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Categories: Infographic Wednesday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has been a dramatic increase in recent years in precarious work in the Canadian job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market. Precarious work is commonly defined as unprotected, non-standard employment that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pays poorly, and makes it difficult to support a household. This week’s infographic, published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the Workers' Action Centre, takes a look at the growth of precarious and low-wage work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Ontario in recent years.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infographic states that precarious and low-wage work has become Ontario’s new normal.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According to a CCPA report on Ontario’s changing labor market, part-time jobs have shown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25% job growth since 2010 and temporary jobs have shown 40% job growth. Temporary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employment, by its very nature, often results in incomes that are unpredictable, making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households are more prone to suffering from fluctuations in income. Furthermore, precarious 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 growing mostly in low-wage sectors: the percentage of low-wage workforce has increased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11% in the last ten years.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common stereotype that is held by Canadians is the belief that many individuals live 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poverty and homelessness because they choose to be unemployed. The reality is that high-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quality, full-time jobs are becoming increasingly scarce, and that precarious work often fails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even put families over the poverty line. In fact, according to a recent Citizens for Public Justice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Report, 44% of poor households in Canada had at least one person working in 2011: a job 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its own does not guarantee freedom from poverty.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Addressing Precarious Employment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increase in precarious work has commonly been attributed to restructuring of employment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relationships that prioritize productivity over the health and well-being of workers. However, by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enacting policies that emphasizes the rights of workers and the need for livable wages,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governments can be active participants in supporting the economic health and well-being of its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citizens. For this reason, provincial governments across Canada are being asked to increase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their minimum wages, so that they become living wages. The term living wages is used to refer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wages that are high enough to maintain a normal standard of living.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more temporary and part-time employment continues to replace full-time positions,the role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of collective representation, including labor union, could play a part in the movement towards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change. Compared to non-union members, union members are more likely to receive benefits,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wage increases, and opportunities to voice their concerns to management. Unions also help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1/3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bridge the income divide that exist along the lines of gender and race in non-unionized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workplaces. Important thing to consider, is that women and racialized individuals are more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likely to live in poverty. Canadian women in unionized workplaces earned, on average, $6.89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more than non-union women in 2013. The earning gap between racialized workers and white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workers decreases from an estimated 30% in non-unionized workplaces to 8% in unionized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workplaces. Unions achieve these outcomes partially due to collective bargaining. Collective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bargaining helps to level the playing field between employees and employers and provides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members with representation in the decision-making process.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continued dissemination and knowledge mobilization of research surrounding existing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Employment precarity can pave the way for public support for changes in policy and practice.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Advocacy and growing public support for the adoption of strategies that address precarious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Employment is a step towards change.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