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47A2" w:rsidRDefault="00F0373B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1047750" cy="10572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795" cy="1058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CB47A2" w:rsidRDefault="00F0373B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CB47A2" w:rsidRDefault="00F0373B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Lesson 1.2 Scarcity and Choice Assessment </w:t>
      </w:r>
    </w:p>
    <w:p w:rsidR="00CB47A2" w:rsidRDefault="00CB47A2">
      <w:pPr>
        <w:rPr>
          <w:rFonts w:ascii="Quicksand" w:eastAsia="Quicksand" w:hAnsi="Quicksand" w:cs="Quicksand"/>
          <w:b/>
        </w:rPr>
      </w:pPr>
    </w:p>
    <w:p w:rsidR="00CB47A2" w:rsidRDefault="00CB47A2">
      <w:pPr>
        <w:rPr>
          <w:rFonts w:ascii="Quicksand" w:eastAsia="Quicksand" w:hAnsi="Quicksand" w:cs="Quicksand"/>
          <w:b/>
        </w:rPr>
      </w:pPr>
    </w:p>
    <w:p w:rsidR="00CB47A2" w:rsidRDefault="00CB47A2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CB47A2" w:rsidRDefault="00CB47A2">
      <w:pPr>
        <w:rPr>
          <w:rFonts w:ascii="Quicksand" w:eastAsia="Quicksand" w:hAnsi="Quicksand" w:cs="Quicksand"/>
          <w:b/>
          <w:sz w:val="28"/>
          <w:szCs w:val="28"/>
        </w:rPr>
      </w:pP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CB47A2" w:rsidRDefault="00CB47A2">
      <w:pPr>
        <w:rPr>
          <w:rFonts w:ascii="Quicksand" w:eastAsia="Quicksand" w:hAnsi="Quicksand" w:cs="Quicksand"/>
          <w:sz w:val="28"/>
          <w:szCs w:val="28"/>
        </w:rPr>
      </w:pPr>
    </w:p>
    <w:p w:rsidR="00CB47A2" w:rsidRDefault="00F0373B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explain, using both normative and positive economic analysis, the interrelationship between needs/wants, production decisions, and consumer choices and decisions</w:t>
      </w:r>
    </w:p>
    <w:p w:rsidR="00CB47A2" w:rsidRDefault="00F0373B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demonstrate an understanding of production possibilities curves (PPCs) and how they can be use</w:t>
      </w:r>
      <w:r>
        <w:rPr>
          <w:rFonts w:ascii="Quicksand" w:eastAsia="Quicksand" w:hAnsi="Quicksand" w:cs="Quicksand"/>
        </w:rPr>
        <w:t>d to guide economic decisions about the allocation of scarce resources</w:t>
      </w:r>
    </w:p>
    <w:p w:rsidR="00CB47A2" w:rsidRDefault="00F0373B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explain how the concepts of scarcity and opportunity costs influence economic decisions, at both the personal and societal levels</w:t>
      </w:r>
    </w:p>
    <w:p w:rsidR="00CB47A2" w:rsidRDefault="00F0373B">
      <w:pPr>
        <w:numPr>
          <w:ilvl w:val="0"/>
          <w:numId w:val="3"/>
        </w:numPr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explain the key ideas of a variety of prominent economi</w:t>
      </w:r>
      <w:r>
        <w:rPr>
          <w:rFonts w:ascii="Quicksand" w:eastAsia="Quicksand" w:hAnsi="Quicksand" w:cs="Quicksand"/>
        </w:rPr>
        <w:t>c theorists</w:t>
      </w: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CB47A2">
        <w:trPr>
          <w:trHeight w:val="420"/>
        </w:trPr>
        <w:tc>
          <w:tcPr>
            <w:tcW w:w="6450" w:type="dxa"/>
            <w:vMerge w:val="restart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Fundamentals of Economics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B1 Scarcity and Choice: demonstrate an understanding of the significance of the concept of scarcity and how it influences economic choices and decisions of various economic stakeholders</w:t>
            </w:r>
          </w:p>
        </w:tc>
      </w:tr>
      <w:tr w:rsidR="00CB47A2">
        <w:trPr>
          <w:trHeight w:val="420"/>
        </w:trPr>
        <w:tc>
          <w:tcPr>
            <w:tcW w:w="6450" w:type="dxa"/>
            <w:vMerge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icksand" w:eastAsia="Quicksand" w:hAnsi="Quicksand" w:cs="Quicksand"/>
              </w:rPr>
            </w:pP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B4 Economic Thought and Decision Making: </w:t>
            </w:r>
            <w:proofErr w:type="spell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how economic and political ideas and various sociocultural factors affect economic decision making</w:t>
            </w:r>
          </w:p>
        </w:tc>
      </w:tr>
    </w:tbl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CB47A2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Ontario Curriculum Expectations</w:t>
            </w:r>
          </w:p>
        </w:tc>
      </w:tr>
      <w:tr w:rsidR="00CB47A2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B1.2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explain, using both normative and positive economic analysis, the interrelationship between needs/wants, production decisions, and consumer choices and decisions</w:t>
            </w:r>
          </w:p>
        </w:tc>
      </w:tr>
      <w:tr w:rsidR="00CB47A2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B1.3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demonstrate an understanding of production possibilities curves (PPCs) and how they can </w:t>
            </w:r>
            <w:r>
              <w:rPr>
                <w:rFonts w:ascii="Quicksand" w:eastAsia="Quicksand" w:hAnsi="Quicksand" w:cs="Quicksand"/>
              </w:rPr>
              <w:t>be used to guide economic decisions about the allocation of scarce resources</w:t>
            </w:r>
          </w:p>
        </w:tc>
      </w:tr>
      <w:tr w:rsidR="00CB47A2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B1.4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how the concepts of scarcity and opportunity costs influence economic decisions, at both the personal and societal levels</w:t>
            </w:r>
          </w:p>
        </w:tc>
      </w:tr>
      <w:tr w:rsidR="00CB47A2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B4.1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the key ideas of a variety of prominent economic theorists</w:t>
            </w:r>
          </w:p>
        </w:tc>
      </w:tr>
    </w:tbl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CB47A2">
      <w:pPr>
        <w:rPr>
          <w:rFonts w:ascii="Quicksand" w:eastAsia="Quicksand" w:hAnsi="Quicksand" w:cs="Quicksand"/>
        </w:rPr>
      </w:pP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 xml:space="preserve">Instructions: </w:t>
      </w:r>
    </w:p>
    <w:p w:rsidR="00CB47A2" w:rsidRDefault="00CB47A2">
      <w:pPr>
        <w:rPr>
          <w:rFonts w:ascii="Quicksand" w:eastAsia="Quicksand" w:hAnsi="Quicksand" w:cs="Quicksand"/>
          <w:sz w:val="24"/>
          <w:szCs w:val="24"/>
          <w:u w:val="single"/>
        </w:rPr>
      </w:pPr>
    </w:p>
    <w:p w:rsidR="00CB47A2" w:rsidRDefault="00F0373B">
      <w:pPr>
        <w:rPr>
          <w:rFonts w:ascii="Quicksand" w:eastAsia="Quicksand" w:hAnsi="Quicksand" w:cs="Quicksand"/>
          <w:color w:val="343A40"/>
          <w:sz w:val="27"/>
          <w:szCs w:val="27"/>
        </w:rPr>
      </w:pPr>
      <w:r>
        <w:rPr>
          <w:rFonts w:ascii="Quicksand" w:eastAsia="Quicksand" w:hAnsi="Quicksand" w:cs="Quicksand"/>
          <w:color w:val="0E101A"/>
          <w:sz w:val="27"/>
          <w:szCs w:val="27"/>
        </w:rPr>
        <w:t xml:space="preserve">Use the following data to create a graph. Be sure you have graph paper. Label the x-axis as plows and the y-axis as bread. After plotting the points, connect them to form a curve. </w:t>
      </w:r>
    </w:p>
    <w:p w:rsidR="00CB47A2" w:rsidRDefault="00CB47A2">
      <w:pPr>
        <w:rPr>
          <w:b/>
          <w:color w:val="343A40"/>
          <w:sz w:val="31"/>
          <w:szCs w:val="31"/>
        </w:rPr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215"/>
        <w:gridCol w:w="1260"/>
      </w:tblGrid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spacing w:line="240" w:lineRule="auto"/>
              <w:rPr>
                <w:rFonts w:ascii="Quicksand" w:eastAsia="Quicksand" w:hAnsi="Quicksand" w:cs="Quicksand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Ploughs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Bread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16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B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14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12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9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</w:p>
        </w:tc>
      </w:tr>
      <w:tr w:rsidR="00CB47A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F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0</w:t>
            </w:r>
          </w:p>
        </w:tc>
      </w:tr>
    </w:tbl>
    <w:p w:rsidR="00CB47A2" w:rsidRDefault="00CB47A2">
      <w:pPr>
        <w:rPr>
          <w:rFonts w:ascii="Quicksand" w:eastAsia="Quicksand" w:hAnsi="Quicksand" w:cs="Quicksand"/>
          <w:sz w:val="24"/>
          <w:szCs w:val="24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  <w:b/>
        </w:rPr>
      </w:pPr>
      <w:proofErr w:type="spellStart"/>
      <w:r>
        <w:rPr>
          <w:rFonts w:ascii="Quicksand" w:eastAsia="Quicksand" w:hAnsi="Quicksand" w:cs="Quicksand"/>
          <w:b/>
        </w:rPr>
        <w:t>Self Assessment</w:t>
      </w:r>
      <w:proofErr w:type="spellEnd"/>
      <w:r>
        <w:rPr>
          <w:rFonts w:ascii="Quicksand" w:eastAsia="Quicksand" w:hAnsi="Quicksand" w:cs="Quicksand"/>
          <w:b/>
        </w:rPr>
        <w:t>: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Are both axes labeled accurately?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2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br/>
        <w:t xml:space="preserve"> </w:t>
      </w:r>
    </w:p>
    <w:p w:rsidR="00CB47A2" w:rsidRDefault="00F0373B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Are the points accurate?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3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br/>
        <w:t xml:space="preserve"> </w:t>
      </w:r>
    </w:p>
    <w:p w:rsidR="00CB47A2" w:rsidRDefault="00F0373B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Are the points connected to create a curve?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4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br/>
        <w:t xml:space="preserve"> </w:t>
      </w:r>
    </w:p>
    <w:p w:rsidR="00CB47A2" w:rsidRDefault="00F0373B">
      <w:pPr>
        <w:numPr>
          <w:ilvl w:val="0"/>
          <w:numId w:val="2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What would a point at (5, 8) mean?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5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  <w:b/>
        </w:rPr>
      </w:pPr>
      <w:r>
        <w:rPr>
          <w:rFonts w:ascii="Quicksand" w:eastAsia="Quicksand" w:hAnsi="Quicksand" w:cs="Quicksand"/>
          <w:b/>
        </w:rPr>
        <w:t>Applying Opportunity Cost</w:t>
      </w:r>
    </w:p>
    <w:p w:rsidR="00CB47A2" w:rsidRDefault="00CB47A2">
      <w:pPr>
        <w:spacing w:line="240" w:lineRule="auto"/>
        <w:rPr>
          <w:rFonts w:ascii="Quicksand" w:eastAsia="Quicksand" w:hAnsi="Quicksand" w:cs="Quicksand"/>
          <w:b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Using the concept of opportunity cost and scarcity, explain one of the following questions. Make a connection to something you have observed.</w:t>
      </w:r>
    </w:p>
    <w:p w:rsidR="00CB47A2" w:rsidRDefault="00F0373B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Many Canadians today are much more pressed for time than their grandparents. This is odd because today’s homes are</w:t>
      </w:r>
      <w:r>
        <w:rPr>
          <w:rFonts w:ascii="Quicksand" w:eastAsia="Quicksand" w:hAnsi="Quicksand" w:cs="Quicksand"/>
        </w:rPr>
        <w:t xml:space="preserve"> full of so many time-saving devices that our grandparents had no access to. How would </w:t>
      </w:r>
      <w:proofErr w:type="spellStart"/>
      <w:r>
        <w:rPr>
          <w:rFonts w:ascii="Quicksand" w:eastAsia="Quicksand" w:hAnsi="Quicksand" w:cs="Quicksand"/>
        </w:rPr>
        <w:t>you</w:t>
      </w:r>
      <w:proofErr w:type="spellEnd"/>
      <w:r>
        <w:rPr>
          <w:rFonts w:ascii="Quicksand" w:eastAsia="Quicksand" w:hAnsi="Quicksand" w:cs="Quicksand"/>
        </w:rPr>
        <w:t xml:space="preserve"> account for this?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6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br/>
        <w:t xml:space="preserve"> </w:t>
      </w:r>
    </w:p>
    <w:p w:rsidR="00CB47A2" w:rsidRDefault="00F0373B">
      <w:pPr>
        <w:numPr>
          <w:ilvl w:val="0"/>
          <w:numId w:val="1"/>
        </w:numPr>
        <w:spacing w:line="240" w:lineRule="auto"/>
        <w:rPr>
          <w:color w:val="0E101A"/>
        </w:rPr>
      </w:pPr>
      <w:r>
        <w:rPr>
          <w:rFonts w:ascii="Quicksand" w:eastAsia="Quicksand" w:hAnsi="Quicksand" w:cs="Quicksand"/>
          <w:color w:val="0E101A"/>
        </w:rPr>
        <w:t>TV and radio networks offer “free air</w:t>
      </w:r>
      <w:proofErr w:type="gramStart"/>
      <w:r>
        <w:rPr>
          <w:rFonts w:ascii="Quicksand" w:eastAsia="Quicksand" w:hAnsi="Quicksand" w:cs="Quicksand"/>
          <w:color w:val="0E101A"/>
        </w:rPr>
        <w:t>“ for</w:t>
      </w:r>
      <w:proofErr w:type="gramEnd"/>
      <w:r>
        <w:rPr>
          <w:rFonts w:ascii="Quicksand" w:eastAsia="Quicksand" w:hAnsi="Quicksand" w:cs="Quicksand"/>
          <w:color w:val="0E101A"/>
        </w:rPr>
        <w:t xml:space="preserve"> public service announcements. What is the cost of this “free” time for the station? Why are there more public service announcements on Sunday than on other days of the week?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7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br/>
        <w:t xml:space="preserve"> </w:t>
      </w:r>
    </w:p>
    <w:p w:rsidR="00CB47A2" w:rsidRDefault="00F0373B">
      <w:pPr>
        <w:numPr>
          <w:ilvl w:val="0"/>
          <w:numId w:val="1"/>
        </w:numPr>
        <w:spacing w:line="240" w:lineRule="auto"/>
        <w:rPr>
          <w:color w:val="0E101A"/>
        </w:rPr>
      </w:pPr>
      <w:r>
        <w:rPr>
          <w:rFonts w:ascii="Quicksand" w:eastAsia="Quicksand" w:hAnsi="Quicksand" w:cs="Quicksand"/>
          <w:color w:val="0E101A"/>
        </w:rPr>
        <w:t>The acres of grass surrounding the Taj Mahal in Agra, India, are often cut by young women using kitchen shears instead of lawnmowers. Is this a standard or high-cost way to cut the lawn?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8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Why, on a rainy day would farmers go into town to do errands, while a business person who lives in town forego their errands?</w:t>
      </w:r>
    </w:p>
    <w:p w:rsidR="00CB47A2" w:rsidRDefault="00CB47A2">
      <w:pPr>
        <w:spacing w:line="240" w:lineRule="auto"/>
        <w:rPr>
          <w:rFonts w:ascii="Quicksand" w:eastAsia="Quicksand" w:hAnsi="Quicksand" w:cs="Quicksand"/>
          <w:b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  <w:b/>
        </w:rPr>
      </w:pPr>
    </w:p>
    <w:tbl>
      <w:tblPr>
        <w:tblStyle w:val="a9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CB47A2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CB4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b/>
              </w:rPr>
            </w:pPr>
          </w:p>
        </w:tc>
      </w:tr>
    </w:tbl>
    <w:p w:rsidR="00CB47A2" w:rsidRDefault="00CB47A2">
      <w:pPr>
        <w:spacing w:line="240" w:lineRule="auto"/>
        <w:rPr>
          <w:rFonts w:ascii="Quicksand" w:eastAsia="Quicksand" w:hAnsi="Quicksand" w:cs="Quicksand"/>
          <w:b/>
        </w:rPr>
      </w:pPr>
    </w:p>
    <w:p w:rsidR="00CB47A2" w:rsidRDefault="00CB47A2">
      <w:pPr>
        <w:rPr>
          <w:rFonts w:ascii="Quicksand" w:eastAsia="Quicksand" w:hAnsi="Quicksand" w:cs="Quicksand"/>
          <w:b/>
          <w:sz w:val="28"/>
          <w:szCs w:val="28"/>
        </w:rPr>
      </w:pP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Choose the correct answer for the following questions: </w:t>
      </w:r>
    </w:p>
    <w:p w:rsidR="00CB47A2" w:rsidRDefault="00CB47A2">
      <w:pPr>
        <w:rPr>
          <w:rFonts w:ascii="Quicksand" w:eastAsia="Quicksand" w:hAnsi="Quicksand" w:cs="Quicksand"/>
          <w:b/>
          <w:sz w:val="28"/>
          <w:szCs w:val="28"/>
        </w:rPr>
      </w:pPr>
    </w:p>
    <w:p w:rsidR="00CB47A2" w:rsidRDefault="00F0373B">
      <w:pPr>
        <w:numPr>
          <w:ilvl w:val="0"/>
          <w:numId w:val="9"/>
        </w:numPr>
        <w:spacing w:line="240" w:lineRule="auto"/>
        <w:rPr>
          <w:color w:val="0E101A"/>
        </w:rPr>
      </w:pPr>
      <w:r>
        <w:rPr>
          <w:rFonts w:ascii="Quicksand" w:eastAsia="Quicksand" w:hAnsi="Quicksand" w:cs="Quicksand"/>
          <w:color w:val="0E101A"/>
        </w:rPr>
        <w:t>Consumers will seek the lowest prices for goods and services to maximize their consumption.</w:t>
      </w:r>
    </w:p>
    <w:p w:rsidR="00CB47A2" w:rsidRDefault="00F0373B">
      <w:pPr>
        <w:numPr>
          <w:ilvl w:val="0"/>
          <w:numId w:val="7"/>
        </w:numPr>
        <w:spacing w:line="240" w:lineRule="auto"/>
        <w:rPr>
          <w:rFonts w:ascii="Quicksand" w:eastAsia="Quicksand" w:hAnsi="Quicksand" w:cs="Quicksand"/>
        </w:rPr>
      </w:pPr>
      <w:proofErr w:type="spellStart"/>
      <w:r>
        <w:rPr>
          <w:rFonts w:ascii="Quicksand" w:eastAsia="Quicksand" w:hAnsi="Quicksand" w:cs="Quicksand"/>
        </w:rPr>
        <w:t>Ceterus</w:t>
      </w:r>
      <w:proofErr w:type="spellEnd"/>
      <w:r>
        <w:rPr>
          <w:rFonts w:ascii="Quicksand" w:eastAsia="Quicksand" w:hAnsi="Quicksand" w:cs="Quicksand"/>
        </w:rPr>
        <w:t xml:space="preserve"> Paribus</w:t>
      </w:r>
    </w:p>
    <w:p w:rsidR="00CB47A2" w:rsidRDefault="00F0373B">
      <w:pPr>
        <w:numPr>
          <w:ilvl w:val="0"/>
          <w:numId w:val="7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Model</w:t>
      </w:r>
    </w:p>
    <w:p w:rsidR="00CB47A2" w:rsidRDefault="00F0373B">
      <w:pPr>
        <w:numPr>
          <w:ilvl w:val="0"/>
          <w:numId w:val="7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Positive economics</w:t>
      </w:r>
    </w:p>
    <w:p w:rsidR="00CB47A2" w:rsidRDefault="00F0373B">
      <w:pPr>
        <w:numPr>
          <w:ilvl w:val="0"/>
          <w:numId w:val="7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Normative economics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2. 2. Gas stations should only be allowed to raise their prices briefly after long weekends.</w:t>
      </w:r>
    </w:p>
    <w:p w:rsidR="00CB47A2" w:rsidRDefault="00F0373B">
      <w:pPr>
        <w:numPr>
          <w:ilvl w:val="0"/>
          <w:numId w:val="8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Positive </w:t>
      </w:r>
      <w:r>
        <w:rPr>
          <w:rFonts w:ascii="Quicksand" w:eastAsia="Quicksand" w:hAnsi="Quicksand" w:cs="Quicksand"/>
        </w:rPr>
        <w:t>economics</w:t>
      </w:r>
    </w:p>
    <w:p w:rsidR="00CB47A2" w:rsidRDefault="00F0373B">
      <w:pPr>
        <w:numPr>
          <w:ilvl w:val="0"/>
          <w:numId w:val="8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Variables</w:t>
      </w:r>
    </w:p>
    <w:p w:rsidR="00CB47A2" w:rsidRDefault="00F0373B">
      <w:pPr>
        <w:numPr>
          <w:ilvl w:val="0"/>
          <w:numId w:val="8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Normative economics</w:t>
      </w:r>
    </w:p>
    <w:p w:rsidR="00CB47A2" w:rsidRDefault="00F0373B">
      <w:pPr>
        <w:numPr>
          <w:ilvl w:val="0"/>
          <w:numId w:val="8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Fallacy of composition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  3. Why do economists often use ‘guns’ and ‘butter’ as alternatives when explaining PPCs? What do these goods signify?</w:t>
      </w:r>
    </w:p>
    <w:p w:rsidR="00CB47A2" w:rsidRDefault="00F0373B">
      <w:pPr>
        <w:numPr>
          <w:ilvl w:val="0"/>
          <w:numId w:val="5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We always have only two choices in life.</w:t>
      </w:r>
    </w:p>
    <w:p w:rsidR="00CB47A2" w:rsidRDefault="00F0373B">
      <w:pPr>
        <w:numPr>
          <w:ilvl w:val="0"/>
          <w:numId w:val="5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Guns represent military goods and butter represents consumer goods and some countries make different choices.</w:t>
      </w:r>
    </w:p>
    <w:p w:rsidR="00CB47A2" w:rsidRDefault="00F0373B">
      <w:pPr>
        <w:numPr>
          <w:ilvl w:val="0"/>
          <w:numId w:val="5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Guns require more capital than butter so it makes for a good comparison.</w:t>
      </w:r>
    </w:p>
    <w:p w:rsidR="00CB47A2" w:rsidRDefault="00F0373B">
      <w:pPr>
        <w:numPr>
          <w:ilvl w:val="0"/>
          <w:numId w:val="5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Both b and c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 4. Which of the following are needed?</w:t>
      </w:r>
    </w:p>
    <w:p w:rsidR="00CB47A2" w:rsidRDefault="00F0373B">
      <w:pPr>
        <w:numPr>
          <w:ilvl w:val="0"/>
          <w:numId w:val="4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Food, lunch at an ex</w:t>
      </w:r>
      <w:r>
        <w:rPr>
          <w:rFonts w:ascii="Quicksand" w:eastAsia="Quicksand" w:hAnsi="Quicksand" w:cs="Quicksand"/>
        </w:rPr>
        <w:t>pensive restaurant, clean water</w:t>
      </w:r>
    </w:p>
    <w:p w:rsidR="00CB47A2" w:rsidRDefault="00F0373B">
      <w:pPr>
        <w:numPr>
          <w:ilvl w:val="0"/>
          <w:numId w:val="4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Bottled water, bagged lunch, a movie with friends</w:t>
      </w:r>
    </w:p>
    <w:p w:rsidR="00CB47A2" w:rsidRDefault="00F0373B">
      <w:pPr>
        <w:numPr>
          <w:ilvl w:val="0"/>
          <w:numId w:val="4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Bagged lunch, clean water, clean air</w:t>
      </w:r>
    </w:p>
    <w:p w:rsidR="00CB47A2" w:rsidRDefault="00F0373B">
      <w:pPr>
        <w:numPr>
          <w:ilvl w:val="0"/>
          <w:numId w:val="4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Drive through coffee, clean air, bagged lunch with friends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spacing w:line="240" w:lineRule="auto"/>
        <w:rPr>
          <w:rFonts w:ascii="Quicksand" w:eastAsia="Quicksand" w:hAnsi="Quicksand" w:cs="Quicksand"/>
        </w:rPr>
      </w:pPr>
      <w:proofErr w:type="gramStart"/>
      <w:r>
        <w:rPr>
          <w:rFonts w:ascii="Quicksand" w:eastAsia="Quicksand" w:hAnsi="Quicksand" w:cs="Quicksand"/>
        </w:rPr>
        <w:t>5 .</w:t>
      </w:r>
      <w:proofErr w:type="gramEnd"/>
      <w:r>
        <w:rPr>
          <w:rFonts w:ascii="Quicksand" w:eastAsia="Quicksand" w:hAnsi="Quicksand" w:cs="Quicksand"/>
        </w:rPr>
        <w:t xml:space="preserve"> What is the opportunity cost of increasing hockey stick production from 2 dozen to 3 dozen?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a"/>
        <w:tblW w:w="5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375"/>
      </w:tblGrid>
      <w:tr w:rsidR="00CB47A2">
        <w:trPr>
          <w:trHeight w:val="890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Dozens of Hockey Sticks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Pairs of Skates</w:t>
            </w:r>
          </w:p>
        </w:tc>
      </w:tr>
      <w:tr w:rsidR="00CB47A2">
        <w:trPr>
          <w:trHeight w:val="875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2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11</w:t>
            </w:r>
          </w:p>
        </w:tc>
      </w:tr>
      <w:tr w:rsidR="00CB47A2">
        <w:trPr>
          <w:trHeight w:val="875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9</w:t>
            </w:r>
          </w:p>
        </w:tc>
      </w:tr>
      <w:tr w:rsidR="00CB47A2">
        <w:trPr>
          <w:trHeight w:val="875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4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7</w:t>
            </w:r>
          </w:p>
        </w:tc>
      </w:tr>
      <w:tr w:rsidR="00CB47A2">
        <w:trPr>
          <w:trHeight w:val="875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5</w:t>
            </w:r>
          </w:p>
        </w:tc>
      </w:tr>
      <w:tr w:rsidR="00CB47A2">
        <w:trPr>
          <w:trHeight w:val="875"/>
        </w:trPr>
        <w:tc>
          <w:tcPr>
            <w:tcW w:w="353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6</w:t>
            </w:r>
          </w:p>
        </w:tc>
        <w:tc>
          <w:tcPr>
            <w:tcW w:w="23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EA2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7A2" w:rsidRDefault="00F0373B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3</w:t>
            </w:r>
          </w:p>
        </w:tc>
      </w:tr>
    </w:tbl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F0373B">
      <w:pPr>
        <w:numPr>
          <w:ilvl w:val="0"/>
          <w:numId w:val="6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11 fewer pairs of skates are produced</w:t>
      </w:r>
    </w:p>
    <w:p w:rsidR="00CB47A2" w:rsidRDefault="00F0373B">
      <w:pPr>
        <w:numPr>
          <w:ilvl w:val="0"/>
          <w:numId w:val="6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9 fewer pairs of skates are produced</w:t>
      </w:r>
    </w:p>
    <w:p w:rsidR="00CB47A2" w:rsidRDefault="00F0373B">
      <w:pPr>
        <w:numPr>
          <w:ilvl w:val="0"/>
          <w:numId w:val="6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2 fewer pairs of skates are produced</w:t>
      </w:r>
    </w:p>
    <w:p w:rsidR="00CB47A2" w:rsidRDefault="00F0373B">
      <w:pPr>
        <w:numPr>
          <w:ilvl w:val="0"/>
          <w:numId w:val="6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2 more pairs of skates are produced</w:t>
      </w:r>
    </w:p>
    <w:p w:rsidR="00CB47A2" w:rsidRDefault="00F0373B">
      <w:pPr>
        <w:numPr>
          <w:ilvl w:val="0"/>
          <w:numId w:val="6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Can’t tell with this data</w:t>
      </w: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</w:rPr>
      </w:pPr>
    </w:p>
    <w:p w:rsidR="00CB47A2" w:rsidRDefault="00CB47A2">
      <w:pPr>
        <w:spacing w:line="240" w:lineRule="auto"/>
        <w:rPr>
          <w:rFonts w:ascii="Quicksand" w:eastAsia="Quicksand" w:hAnsi="Quicksand" w:cs="Quicksand"/>
          <w:b/>
        </w:rPr>
      </w:pPr>
    </w:p>
    <w:p w:rsidR="00CB47A2" w:rsidRDefault="00F0373B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Submit your assignment in your shared course folder. </w:t>
      </w:r>
    </w:p>
    <w:p w:rsidR="00CB47A2" w:rsidRDefault="00CB47A2">
      <w:pPr>
        <w:rPr>
          <w:rFonts w:ascii="Quicksand" w:eastAsia="Quicksand" w:hAnsi="Quicksand" w:cs="Quicksand"/>
          <w:b/>
          <w:sz w:val="28"/>
          <w:szCs w:val="28"/>
        </w:rPr>
      </w:pPr>
    </w:p>
    <w:sectPr w:rsidR="00CB47A2">
      <w:headerReference w:type="default" r:id="rId8"/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3B" w:rsidRDefault="00F0373B">
      <w:pPr>
        <w:spacing w:line="240" w:lineRule="auto"/>
      </w:pPr>
      <w:r>
        <w:separator/>
      </w:r>
    </w:p>
  </w:endnote>
  <w:endnote w:type="continuationSeparator" w:id="0">
    <w:p w:rsidR="00F0373B" w:rsidRDefault="00F03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3B" w:rsidRDefault="00F0373B">
      <w:pPr>
        <w:spacing w:line="240" w:lineRule="auto"/>
      </w:pPr>
      <w:r>
        <w:separator/>
      </w:r>
    </w:p>
  </w:footnote>
  <w:footnote w:type="continuationSeparator" w:id="0">
    <w:p w:rsidR="00F0373B" w:rsidRDefault="00F037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7A2" w:rsidRDefault="00CB47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80A"/>
    <w:multiLevelType w:val="multilevel"/>
    <w:tmpl w:val="DAD01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A342DF"/>
    <w:multiLevelType w:val="multilevel"/>
    <w:tmpl w:val="3594F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FB3CD5"/>
    <w:multiLevelType w:val="multilevel"/>
    <w:tmpl w:val="E73C9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A2279E"/>
    <w:multiLevelType w:val="multilevel"/>
    <w:tmpl w:val="1178A8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D458BD"/>
    <w:multiLevelType w:val="multilevel"/>
    <w:tmpl w:val="20B883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FC00CE"/>
    <w:multiLevelType w:val="multilevel"/>
    <w:tmpl w:val="148203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52D740E"/>
    <w:multiLevelType w:val="multilevel"/>
    <w:tmpl w:val="128268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94219E"/>
    <w:multiLevelType w:val="multilevel"/>
    <w:tmpl w:val="B824C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C56884"/>
    <w:multiLevelType w:val="multilevel"/>
    <w:tmpl w:val="C130C12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A2"/>
    <w:rsid w:val="008D2E2D"/>
    <w:rsid w:val="00CB47A2"/>
    <w:rsid w:val="00F0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2B8E0-9F3E-473C-BDEB-078807FF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2024-02-27T01:07:00Z</dcterms:created>
  <dcterms:modified xsi:type="dcterms:W3CDTF">2024-02-27T01:08:00Z</dcterms:modified>
</cp:coreProperties>
</file>