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73B3" w:rsidRDefault="000F32BC">
      <w:pPr>
        <w:spacing w:after="160" w:line="259" w:lineRule="auto"/>
        <w:jc w:val="center"/>
        <w:rPr>
          <w:rFonts w:ascii="Quicksand" w:eastAsia="Quicksand" w:hAnsi="Quicksand" w:cs="Quicksand"/>
          <w:b/>
          <w:sz w:val="28"/>
          <w:szCs w:val="28"/>
        </w:rPr>
      </w:pPr>
      <w:bookmarkStart w:id="0" w:name="_gjdgxs" w:colFirst="0" w:colLast="0"/>
      <w:bookmarkStart w:id="1" w:name="_GoBack"/>
      <w:bookmarkEnd w:id="0"/>
      <w:r>
        <w:rPr>
          <w:rFonts w:ascii="Times New Roman" w:eastAsia="Times New Roman" w:hAnsi="Times New Roman" w:cs="Times New Roman"/>
          <w:noProof/>
          <w:lang w:val="en-PH"/>
        </w:rPr>
        <w:drawing>
          <wp:inline distT="19050" distB="19050" distL="19050" distR="19050">
            <wp:extent cx="1228725" cy="110490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41" cy="1105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4873B3" w:rsidRDefault="000F32BC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CIA4U </w:t>
      </w:r>
    </w:p>
    <w:p w:rsidR="004873B3" w:rsidRDefault="000F32BC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 Lesson 2.2 Economic Trade-Offs and Decisions Assessment </w:t>
      </w:r>
    </w:p>
    <w:p w:rsidR="004873B3" w:rsidRDefault="004873B3">
      <w:pPr>
        <w:rPr>
          <w:rFonts w:ascii="Quicksand" w:eastAsia="Quicksand" w:hAnsi="Quicksand" w:cs="Quicksand"/>
          <w:b/>
        </w:rPr>
      </w:pPr>
    </w:p>
    <w:p w:rsidR="004873B3" w:rsidRDefault="004873B3">
      <w:pPr>
        <w:rPr>
          <w:rFonts w:ascii="Quicksand" w:eastAsia="Quicksand" w:hAnsi="Quicksand" w:cs="Quicksand"/>
          <w:b/>
        </w:rPr>
      </w:pPr>
    </w:p>
    <w:p w:rsidR="004873B3" w:rsidRDefault="004873B3">
      <w:pPr>
        <w:jc w:val="center"/>
        <w:rPr>
          <w:rFonts w:ascii="Josefin Sans" w:eastAsia="Josefin Sans" w:hAnsi="Josefin Sans" w:cs="Josefin Sans"/>
          <w:b/>
          <w:sz w:val="28"/>
          <w:szCs w:val="28"/>
          <w:u w:val="single"/>
        </w:rPr>
      </w:pPr>
    </w:p>
    <w:p w:rsidR="004873B3" w:rsidRDefault="000F32BC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Type of Assessment: Homework</w:t>
      </w:r>
    </w:p>
    <w:p w:rsidR="004873B3" w:rsidRDefault="000F32BC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Purpose of Assessment: Assessment FOR Learning</w:t>
      </w:r>
    </w:p>
    <w:p w:rsidR="004873B3" w:rsidRDefault="000F32BC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Method of Assessment: Yes/No</w:t>
      </w:r>
    </w:p>
    <w:p w:rsidR="004873B3" w:rsidRDefault="004873B3">
      <w:pPr>
        <w:rPr>
          <w:rFonts w:ascii="Quicksand" w:eastAsia="Quicksand" w:hAnsi="Quicksand" w:cs="Quicksand"/>
          <w:b/>
          <w:sz w:val="28"/>
          <w:szCs w:val="28"/>
        </w:rPr>
      </w:pPr>
    </w:p>
    <w:p w:rsidR="004873B3" w:rsidRDefault="000F32BC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>Learnings Goals:</w:t>
      </w:r>
    </w:p>
    <w:p w:rsidR="004873B3" w:rsidRDefault="004873B3">
      <w:pPr>
        <w:rPr>
          <w:rFonts w:ascii="Quicksand" w:eastAsia="Quicksand" w:hAnsi="Quicksand" w:cs="Quicksand"/>
          <w:b/>
          <w:sz w:val="28"/>
          <w:szCs w:val="28"/>
        </w:rPr>
      </w:pPr>
    </w:p>
    <w:p w:rsidR="004873B3" w:rsidRDefault="000F32BC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8"/>
          <w:szCs w:val="28"/>
        </w:rPr>
      </w:pPr>
      <w:r>
        <w:rPr>
          <w:rFonts w:ascii="Quicksand" w:eastAsia="Quicksand" w:hAnsi="Quicksand" w:cs="Quicksand"/>
        </w:rPr>
        <w:t xml:space="preserve">Students will demonstrate an understanding of economic trade-offs (e.g., whether to buy a car or a transit pass, to rent an apartment or buy a house, to send a child from an impoverished family to school or to work, to pay down government debt or increase </w:t>
      </w:r>
      <w:r>
        <w:rPr>
          <w:rFonts w:ascii="Quicksand" w:eastAsia="Quicksand" w:hAnsi="Quicksand" w:cs="Quicksand"/>
        </w:rPr>
        <w:t>government spending on infrastructure or social services), and explain their significance for individuals and society.</w:t>
      </w:r>
    </w:p>
    <w:p w:rsidR="004873B3" w:rsidRDefault="000F32BC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8"/>
          <w:szCs w:val="28"/>
        </w:rPr>
      </w:pPr>
      <w:r>
        <w:rPr>
          <w:rFonts w:ascii="Quicksand" w:eastAsia="Quicksand" w:hAnsi="Quicksand" w:cs="Quicksand"/>
        </w:rPr>
        <w:t xml:space="preserve">Students will </w:t>
      </w:r>
      <w:proofErr w:type="spellStart"/>
      <w:r>
        <w:rPr>
          <w:rFonts w:ascii="Quicksand" w:eastAsia="Quicksand" w:hAnsi="Quicksand" w:cs="Quicksand"/>
        </w:rPr>
        <w:t>analyse</w:t>
      </w:r>
      <w:proofErr w:type="spellEnd"/>
      <w:r>
        <w:rPr>
          <w:rFonts w:ascii="Quicksand" w:eastAsia="Quicksand" w:hAnsi="Quicksand" w:cs="Quicksand"/>
        </w:rPr>
        <w:t xml:space="preserve"> how different stakeholders view the trade-off between economic growth and concerns for the environment.</w:t>
      </w:r>
    </w:p>
    <w:p w:rsidR="004873B3" w:rsidRDefault="000F32BC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8"/>
          <w:szCs w:val="28"/>
        </w:rPr>
      </w:pPr>
      <w:r>
        <w:rPr>
          <w:rFonts w:ascii="Quicksand" w:eastAsia="Quicksand" w:hAnsi="Quicksand" w:cs="Quicksand"/>
        </w:rPr>
        <w:t>Students wi</w:t>
      </w:r>
      <w:r>
        <w:rPr>
          <w:rFonts w:ascii="Quicksand" w:eastAsia="Quicksand" w:hAnsi="Quicksand" w:cs="Quicksand"/>
        </w:rPr>
        <w:t>ll evaluate the impact of some key socioeconomic trends on economic policy in different countries.</w:t>
      </w:r>
    </w:p>
    <w:p w:rsidR="004873B3" w:rsidRDefault="000F32BC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8"/>
          <w:szCs w:val="28"/>
        </w:rPr>
      </w:pPr>
      <w:r>
        <w:rPr>
          <w:rFonts w:ascii="Quicksand" w:eastAsia="Quicksand" w:hAnsi="Quicksand" w:cs="Quicksand"/>
        </w:rPr>
        <w:t>Students will assess some responses, or possible responses, to current economic issues, using cost/benefit analysis.</w:t>
      </w: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tbl>
      <w:tblPr>
        <w:tblStyle w:val="a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16590"/>
      </w:tblGrid>
      <w:tr w:rsidR="004873B3">
        <w:tc>
          <w:tcPr>
            <w:tcW w:w="64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Firms, Markets, and Economic Stakehol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ders</w:t>
            </w:r>
          </w:p>
        </w:tc>
        <w:tc>
          <w:tcPr>
            <w:tcW w:w="1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C2 Economic Trade-Offs and Decisions: </w:t>
            </w:r>
            <w:proofErr w:type="spellStart"/>
            <w:r>
              <w:rPr>
                <w:rFonts w:ascii="Quicksand" w:eastAsia="Quicksand" w:hAnsi="Quicksand" w:cs="Quicksand"/>
              </w:rPr>
              <w:t>analyse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economic trade-offs from the perspective of different stakeholders, including those in different countries, and how trade-offs influence economic decisions</w:t>
            </w:r>
          </w:p>
        </w:tc>
      </w:tr>
    </w:tbl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tbl>
      <w:tblPr>
        <w:tblStyle w:val="a0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6605"/>
      </w:tblGrid>
      <w:tr w:rsidR="004873B3">
        <w:trPr>
          <w:trHeight w:val="420"/>
        </w:trPr>
        <w:tc>
          <w:tcPr>
            <w:tcW w:w="23040" w:type="dxa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Ontario Curriculum Expectations</w:t>
            </w:r>
          </w:p>
        </w:tc>
      </w:tr>
      <w:tr w:rsidR="004873B3">
        <w:trPr>
          <w:trHeight w:val="514"/>
        </w:trPr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C2.1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demonstrate an understanding of economic trade-offs (e.g., whether to buy a car or a transit pass, to rent an apartment or buy a house, to send a child from an impoverished family to school or to work, to pay down government debt or increase government spe</w:t>
            </w:r>
            <w:r>
              <w:rPr>
                <w:rFonts w:ascii="Quicksand" w:eastAsia="Quicksand" w:hAnsi="Quicksand" w:cs="Quicksand"/>
              </w:rPr>
              <w:t>nding on infrastructure or social services), and explain their significance for individuals and society.</w:t>
            </w:r>
          </w:p>
        </w:tc>
      </w:tr>
      <w:tr w:rsidR="004873B3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C2.2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spacing w:line="240" w:lineRule="auto"/>
              <w:rPr>
                <w:rFonts w:ascii="Quicksand" w:eastAsia="Quicksand" w:hAnsi="Quicksand" w:cs="Quicksand"/>
              </w:rPr>
            </w:pPr>
            <w:proofErr w:type="spellStart"/>
            <w:proofErr w:type="gramStart"/>
            <w:r>
              <w:rPr>
                <w:rFonts w:ascii="Quicksand" w:eastAsia="Quicksand" w:hAnsi="Quicksand" w:cs="Quicksand"/>
              </w:rPr>
              <w:t>analyse</w:t>
            </w:r>
            <w:proofErr w:type="spellEnd"/>
            <w:proofErr w:type="gramEnd"/>
            <w:r>
              <w:rPr>
                <w:rFonts w:ascii="Quicksand" w:eastAsia="Quicksand" w:hAnsi="Quicksand" w:cs="Quicksand"/>
              </w:rPr>
              <w:t xml:space="preserve"> how different stakeholders view the trade-off between economic growth and concerns for the environment.</w:t>
            </w:r>
          </w:p>
        </w:tc>
      </w:tr>
      <w:tr w:rsidR="004873B3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C2.3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spacing w:line="240" w:lineRule="auto"/>
              <w:rPr>
                <w:rFonts w:ascii="Quicksand" w:eastAsia="Quicksand" w:hAnsi="Quicksand" w:cs="Quicksand"/>
              </w:rPr>
            </w:pPr>
            <w:proofErr w:type="gramStart"/>
            <w:r>
              <w:rPr>
                <w:rFonts w:ascii="Quicksand" w:eastAsia="Quicksand" w:hAnsi="Quicksand" w:cs="Quicksand"/>
              </w:rPr>
              <w:t>evaluate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 the impact of some</w:t>
            </w:r>
            <w:r>
              <w:rPr>
                <w:rFonts w:ascii="Quicksand" w:eastAsia="Quicksand" w:hAnsi="Quicksand" w:cs="Quicksand"/>
              </w:rPr>
              <w:t xml:space="preserve"> key socioeconomic trends on economic policy in different countries.</w:t>
            </w:r>
          </w:p>
        </w:tc>
      </w:tr>
      <w:tr w:rsidR="004873B3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C2.4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0F32BC">
            <w:pPr>
              <w:spacing w:line="240" w:lineRule="auto"/>
              <w:rPr>
                <w:rFonts w:ascii="Quicksand" w:eastAsia="Quicksand" w:hAnsi="Quicksand" w:cs="Quicksand"/>
              </w:rPr>
            </w:pPr>
            <w:proofErr w:type="gramStart"/>
            <w:r>
              <w:rPr>
                <w:rFonts w:ascii="Quicksand" w:eastAsia="Quicksand" w:hAnsi="Quicksand" w:cs="Quicksand"/>
              </w:rPr>
              <w:t>assess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 some responses, or possible responses, to current economic issues, using cost/benefit analysis.</w:t>
            </w:r>
          </w:p>
        </w:tc>
      </w:tr>
    </w:tbl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4873B3">
      <w:pPr>
        <w:rPr>
          <w:rFonts w:ascii="Quicksand" w:eastAsia="Quicksand" w:hAnsi="Quicksand" w:cs="Quicksand"/>
        </w:rPr>
      </w:pPr>
    </w:p>
    <w:p w:rsidR="004873B3" w:rsidRDefault="000F32BC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 xml:space="preserve">Instructions: </w:t>
      </w:r>
    </w:p>
    <w:p w:rsidR="004873B3" w:rsidRDefault="004873B3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</w:p>
    <w:p w:rsidR="004873B3" w:rsidRDefault="000F32BC">
      <w:pPr>
        <w:spacing w:line="240" w:lineRule="auto"/>
        <w:rPr>
          <w:rFonts w:ascii="Quicksand" w:eastAsia="Quicksand" w:hAnsi="Quicksand" w:cs="Quicksand"/>
          <w:color w:val="0E101A"/>
        </w:rPr>
      </w:pPr>
      <w:r>
        <w:rPr>
          <w:rFonts w:ascii="Quicksand" w:eastAsia="Quicksand" w:hAnsi="Quicksand" w:cs="Quicksand"/>
          <w:color w:val="0E101A"/>
        </w:rPr>
        <w:t xml:space="preserve">Using the sources provided in the Pear Deck, complete a full cost-benefit analysis for one of the issues in this activity (the bottled water issue, the migrant worker issue, or the sweatshop issue), </w:t>
      </w:r>
    </w:p>
    <w:p w:rsidR="004873B3" w:rsidRDefault="004873B3">
      <w:pPr>
        <w:spacing w:line="240" w:lineRule="auto"/>
        <w:rPr>
          <w:rFonts w:ascii="Quicksand" w:eastAsia="Quicksand" w:hAnsi="Quicksand" w:cs="Quicksand"/>
          <w:color w:val="0E101A"/>
        </w:rPr>
      </w:pPr>
    </w:p>
    <w:p w:rsidR="004873B3" w:rsidRDefault="000F32BC">
      <w:pPr>
        <w:spacing w:line="240" w:lineRule="auto"/>
        <w:rPr>
          <w:rFonts w:ascii="Quicksand" w:eastAsia="Quicksand" w:hAnsi="Quicksand" w:cs="Quicksand"/>
          <w:color w:val="0E101A"/>
        </w:rPr>
      </w:pPr>
      <w:r>
        <w:rPr>
          <w:rFonts w:ascii="Quicksand" w:eastAsia="Quicksand" w:hAnsi="Quicksand" w:cs="Quicksand"/>
          <w:color w:val="0E101A"/>
        </w:rPr>
        <w:t xml:space="preserve">The steps are listed below. </w:t>
      </w:r>
    </w:p>
    <w:p w:rsidR="004873B3" w:rsidRDefault="004873B3">
      <w:pPr>
        <w:spacing w:line="240" w:lineRule="auto"/>
        <w:rPr>
          <w:rFonts w:ascii="Quicksand" w:eastAsia="Quicksand" w:hAnsi="Quicksand" w:cs="Quicksand"/>
          <w:color w:val="0E101A"/>
        </w:rPr>
      </w:pPr>
    </w:p>
    <w:p w:rsidR="004873B3" w:rsidRDefault="000F32BC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  <w:color w:val="0E101A"/>
        </w:rPr>
        <w:t>Defining the Issue -</w:t>
      </w:r>
      <w:r>
        <w:rPr>
          <w:rFonts w:ascii="Quicksand" w:eastAsia="Quicksand" w:hAnsi="Quicksand" w:cs="Quicksand"/>
          <w:color w:val="0E101A"/>
        </w:rPr>
        <w:t xml:space="preserve"> a de</w:t>
      </w:r>
      <w:r>
        <w:rPr>
          <w:rFonts w:ascii="Quicksand" w:eastAsia="Quicksand" w:hAnsi="Quicksand" w:cs="Quicksand"/>
          <w:color w:val="0E101A"/>
        </w:rPr>
        <w:t>scription of the nature of the Issue or problem under investigation that will usually include a description of the current situation or policy, written as a question.</w:t>
      </w: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1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4873B3">
        <w:trPr>
          <w:trHeight w:val="2299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487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0F32BC">
      <w:pPr>
        <w:numPr>
          <w:ilvl w:val="0"/>
          <w:numId w:val="3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 xml:space="preserve">Identify Choices – </w:t>
      </w:r>
      <w:r>
        <w:rPr>
          <w:rFonts w:ascii="Quicksand" w:eastAsia="Quicksand" w:hAnsi="Quicksand" w:cs="Quicksand"/>
        </w:rPr>
        <w:t>classification of options with an analysis of the costs and benefits of each.</w:t>
      </w: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2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4873B3">
        <w:trPr>
          <w:trHeight w:val="2585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487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0F32BC">
      <w:pPr>
        <w:numPr>
          <w:ilvl w:val="0"/>
          <w:numId w:val="3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  <w:color w:val="0E101A"/>
        </w:rPr>
        <w:t xml:space="preserve">Clarifying Criteria – </w:t>
      </w:r>
      <w:r>
        <w:rPr>
          <w:rFonts w:ascii="Quicksand" w:eastAsia="Quicksand" w:hAnsi="Quicksand" w:cs="Quicksand"/>
          <w:color w:val="0E101A"/>
        </w:rPr>
        <w:t>a listing of the factors used to measure the costs and benefits on which the final choice will be based.</w:t>
      </w: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3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4873B3">
        <w:trPr>
          <w:trHeight w:val="2900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487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0F32BC">
      <w:pPr>
        <w:numPr>
          <w:ilvl w:val="0"/>
          <w:numId w:val="3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  <w:color w:val="0E101A"/>
        </w:rPr>
        <w:t>Analyzing Choices –</w:t>
      </w:r>
      <w:r>
        <w:rPr>
          <w:rFonts w:ascii="Quicksand" w:eastAsia="Quicksand" w:hAnsi="Quicksand" w:cs="Quicksand"/>
          <w:color w:val="0E101A"/>
        </w:rPr>
        <w:t xml:space="preserve"> apply the criteria to analyze the costs and benefits of each option.</w:t>
      </w: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4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4873B3">
        <w:trPr>
          <w:trHeight w:val="2415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487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0F32BC">
      <w:pPr>
        <w:numPr>
          <w:ilvl w:val="0"/>
          <w:numId w:val="3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  <w:color w:val="0E101A"/>
        </w:rPr>
        <w:t>Evaluation/Conclusion –</w:t>
      </w:r>
      <w:r>
        <w:rPr>
          <w:rFonts w:ascii="Quicksand" w:eastAsia="Quicksand" w:hAnsi="Quicksand" w:cs="Quicksand"/>
          <w:color w:val="0E101A"/>
        </w:rPr>
        <w:t xml:space="preserve"> the net benefit of each option is determined, and the selection of option or artful combination of options with the most significant net benefit is explained.</w:t>
      </w: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5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4873B3">
        <w:trPr>
          <w:trHeight w:val="2325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B3" w:rsidRDefault="00487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4873B3">
      <w:pPr>
        <w:jc w:val="center"/>
        <w:rPr>
          <w:rFonts w:ascii="Quicksand" w:eastAsia="Quicksand" w:hAnsi="Quicksand" w:cs="Quicksand"/>
          <w:b/>
          <w:sz w:val="28"/>
          <w:szCs w:val="28"/>
        </w:rPr>
      </w:pPr>
    </w:p>
    <w:p w:rsidR="004873B3" w:rsidRDefault="004873B3">
      <w:pPr>
        <w:spacing w:line="240" w:lineRule="auto"/>
        <w:rPr>
          <w:rFonts w:ascii="Quicksand" w:eastAsia="Quicksand" w:hAnsi="Quicksand" w:cs="Quicksand"/>
        </w:rPr>
      </w:pPr>
    </w:p>
    <w:p w:rsidR="004873B3" w:rsidRDefault="000F32BC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Submit your assignment in your shared course folder. </w:t>
      </w:r>
    </w:p>
    <w:p w:rsidR="004873B3" w:rsidRDefault="004873B3">
      <w:pPr>
        <w:rPr>
          <w:rFonts w:ascii="Quicksand" w:eastAsia="Quicksand" w:hAnsi="Quicksand" w:cs="Quicksand"/>
          <w:b/>
          <w:sz w:val="28"/>
          <w:szCs w:val="28"/>
        </w:rPr>
      </w:pPr>
    </w:p>
    <w:sectPr w:rsidR="004873B3">
      <w:pgSz w:w="24480" w:h="158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charset w:val="00"/>
    <w:family w:val="auto"/>
    <w:pitch w:val="default"/>
  </w:font>
  <w:font w:name="Josefi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035A"/>
    <w:multiLevelType w:val="multilevel"/>
    <w:tmpl w:val="AC0A6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375C2"/>
    <w:multiLevelType w:val="multilevel"/>
    <w:tmpl w:val="C86C8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5C11DC"/>
    <w:multiLevelType w:val="multilevel"/>
    <w:tmpl w:val="970AE08A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B3"/>
    <w:rsid w:val="000F32BC"/>
    <w:rsid w:val="0048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6B100C-9427-4D00-96BD-75AECB42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Course Developer Jonas</cp:lastModifiedBy>
  <cp:revision>2</cp:revision>
  <dcterms:created xsi:type="dcterms:W3CDTF">2024-02-27T01:29:00Z</dcterms:created>
  <dcterms:modified xsi:type="dcterms:W3CDTF">2024-02-27T01:29:00Z</dcterms:modified>
</cp:coreProperties>
</file>