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New study sheds light on most effective approach to basic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income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policyalternatives.ca/newsroom/news-releases/new-study-sheds-light-most-effective-approach-basic-income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OTTAWA—As Canadian governments, including the province of Ontario, move forward with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basic income pilot projects, a Canadian Centre for Policy Alternatives (CCPA) study reveals 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federally run negative income tax model is most effective approach.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study simulates eight potential basic income models and concludes that a federal negative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income tax which shrinks in value as incomes rise — so that it’s targeted to lower income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individuals and phased out for the rich — is more effective at poverty reduction than providing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 identical transfer to everyone.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“Canada already has 33 federal and provincial income support programs that are forms of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basic income,” says the study’s author CCPA Senior Economist David Macdonald. “What 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clear is that replacing existing income supports with a single, equivalent cost, basic income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would either substantially worsen poverty or plunge seniors into poverty in order to lift adults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children out of it.”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Among the study’s key findings: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Canada already has 33 basic income programs that send money with no requirements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no strings attached, such as provincial sales tax credits and Old Age Security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(OAS).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Creating a 34th program which ensures that all Canadians receive a basic income of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$10,000 a year, but phases out as incomes rise, would cost $14.5 billion and would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reduce poverty by 2.4 percentage points.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Such a program would most benefit middle-aged adults who live in poverty, but it would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have less impact on children, those under 30, and seniors living in poverty.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Going even further with a basic income program designed to completely eliminate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poverty in Canada would cost between $49 billion and $177 billion a year in new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spending, depending on the clawback rate.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“There is no magic bullet to eliminating poverty,” Macdonald concludes. “Poverty reduction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requires multiple targeted solutions. Basic income programs can be a part of the mix, but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increased wages, lower unemployment for youth, and better financial support for seniors also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have to be part of the deal,” Macdonald concludes.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–30–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Policymaker’s Guide to Basic Income is available for download on the CCPA website.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 more information contact Kerri-Anne Finn, CCPA Director of Communications, at 613-563-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1341 x306 or 613-266-9491.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