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Will the Next Generation of Microcredit Products for women Look Like?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poverty-action.org/blog/what-will-next-generation-microcredit-products-women-look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Editors note: This blog is a cross-post from theSEEP blog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2006, the Nobel Prize Committee awarded a Nobel Peace Prize to one of the original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architects of modern-day microfinance, Professor Muhammad Yunus. Professor Yunus’s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microfinance model, along with similar group-liability lending models targeting women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throughout the world, was based on a simple premise. Women could increase their incomes 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thereby, their own lots and the future of their families – by owning and operating their own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microenterprises. Yunus and others surmised that a lack of access to capital stood between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many of these women and the ability to invest in income-generation activities. Indeed, many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structural barriers often prevent women from accessing credit from formal sources: lack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assets for collateral, lack of formal identification documents, and a lack of financial products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targeting them directly.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this theory of change perhaps failed to take into account, however, was the enduring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influence of social gender norms and how they often play a role in circumventing larger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impacts of access to working capital on women’s empowerment. In general, the evidence 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impact of access to credit on female entrepreneurs has shown little to no transformative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effect on consumption or women’s empowerment outcomes (for more information on this, see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Abhijit Banerjee, Dean Karlan, and Jonathan Zinman’s overview of Six Randomized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Evaluations of Microcredit in the American Economic Journal). Researchers are finding instead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that financial products can have an impact on women’s empowerment, but only when these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products are designed in a way that is responsive to gender norms and the barriers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limitations they might normally create. What would it take for the next generation of financial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products for women to be gender responsive?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Let’s consider some of the potential obstacles stemming from social norms and gender roles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that may impact women’s entrepreneurship: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Demands on time: Women who take on unpaid labor in the household, for example 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caretakers for children or elderly family members, may have less time to devote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business activities;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Business activities: Women and men may also tend to cluster in different types 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business activities, with different potential for earnings and growth;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Mobility restrictions: In some cultures, women may have limited mobility and be unable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easily travel or work outside the home independently;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Degrees of control over resources: Women may have limited bargaining power within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household, and thus limited control over how their own resources and assets, including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loans and earned income, are invested.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 Innovations for Poverty Action study conducted by economist Nathan Fiala may shed more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light on the impact this last point has, intra-household bargaining power, on outcomes 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women. In a randomized study in Uganda, Fiala finds that women face strong constraints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their decision-making power, and tend to hide resources as the only way to maintain control.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 found that men are less likely to fear losing resources within the household and don’t hide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money as frequently. Fiala looked at the impact of business capital – either by loan or grant –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both men and women’s economic outcomes, and found that women who hide money from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their husbands experienced increased economic outcomes, while those who don’t see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decrease. Conversely, men in the study who do not hide money from their wives saw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increased economic outcomes. This may help explain some of the lackluster impacts 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microcredit among women, particularly those who experience low levels of bargaining power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within the home.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Digital payments are emerging as a promising tool for promoting women’s economic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empowerment, precisely because they allow for elements of privacy and control that cash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does not. Digital payments, through either a debit card or a mobile money product, for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example, can give women exclusive access to their own resources and keep information about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their balances and financial activities private. Recent studies on the impact of digital payments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women are indeed promising. In India, for example, Field et al. looked at women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participants in a public workfare program who received their wages directly deposited into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personal account, compared to women who were paid through their husband’s account, which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was standard practice. They found that these women were more likely to work outside of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home, a difference which was especially pronounced among those women who hadn’t worked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before or whose husbands disapproved of women working.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Another study in Niger by Aker et al. looked at the impact of delivering social benefits transfers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electronically versus in cash, and found that the likelihood that the intended recipient,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woman, was responsible for receiving the transfers increased from 8 to 47 percent. What’s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more, those women who received digital transfers increased their diet diversity by buying more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types of food items.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These emerging lessons on women’s bargaining power, privacy, and control provide important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lessons for future iterations of microcredit products for women. For example, microcredit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delivered via digital payments may be a powerful tool to not only reduce capital constraints for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women microenterprise owners, but also to help them retain control over investment decisions.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Giving women’s businesses the ability to accept digital payments may also be an impactful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way to ensure that they retain control over their earned income. Of course, digital finance – like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Yunus’s original lending circles – is by no means a silver bullet for women’s empowerment.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Women are more likely to not own their own personal mobile phones which would allow them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 access mobile money, for example. There is still much to learn about how to build trust 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digital products, help women understand their rights and responsibilities when using new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products, and create cost-effective distribution channels. There is a need for more evidence 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ways that financial products, when appropriately designed, can help to directly address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2/3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gender norms which may still limit women’s success.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