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an employer can't do when workers want to form a union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cmaw.ca/become-member/organizing/employers-cant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Labour law prohibits employers from doing certain things to deter employees from joining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union. Labour law prohibits the following "Unfair Labour Practices":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Management threats about job loss, layoffs, loss of benefits because of union.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Friendly manager's offer of assistance to help workers join the union.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Leaflets from anti-union employees if they have been copied on machines at work.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Anti-union employees holding meetings at 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Reassigning union supporters to less desirable shift/work area without cause 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reasonable business justification.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Laying off Union supporters without business justification.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Transferring or firing Union supporters without cause or proper justification.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Management calling union supporters in for interviews.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Management intimidating workers by saying she/he knows who's signed cards.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Anti-union "revocation" cards circulating during work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Management posting or circulating threatening, intimidating or coercive letter or leaflet.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unfair labour practices occur during an organizing campaign at your workplace, contact your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union's representatives as soon as possible.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an employer is permitted to 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Employers are permitted by law to do the following when employees want to form a union: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Employers (and that means all management people including supervisors) can tell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employees what they think about a union so long as they don't use threats or undue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influence.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Employers can make a pitch for the company or organization and say how good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working conditions 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Employers can guess the questions about the union that might be bothering people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give their answers. But they're not supposed to put pressure on workers.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Employers can give everyone a raise or increase benefits during an organizing drive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some do. (There are restrictions on what an employer can do once the union has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applied for a union certificate and also once the union gives notice to bargain the 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collective agreement. The rules vary by jurisdiction. Generally the union has to agree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changes, including wage increases.)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Employers can start to hold monthly, weekly or daily meetings to solve problems.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Employers can set up a suggestion box.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Employers can set up a complaint process. 1/2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Employers can provide free coffee and doughnuts for employees.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Employers can send letters to their employees' homes.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