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w:t>
      </w:r>
      <w:proofErr w:type="spellStart"/>
      <w:r w:rsidRPr="00855B44">
        <w:rPr>
          <w:b/>
          <w:highlight w:val="yellow"/>
        </w:rPr>
        <w:t>numero_contrato</w:t>
      </w:r>
      <w:proofErr w:type="spellEnd"/>
      <w:r w:rsidRPr="00855B44">
        <w:rPr>
          <w:b/>
          <w:highlight w:val="yellow"/>
        </w:rPr>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{CONTRATADA_RAZAO_SOCIAL}}</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{{CNPJ_CONTRATADA}}</w:t>
      </w:r>
      <w:r w:rsidRPr="00855B44">
        <w:rPr>
          <w:rFonts w:ascii="Verdana" w:eastAsia="Verdana" w:hAnsi="Verdana" w:cs="Verdana"/>
          <w:sz w:val="20"/>
          <w:szCs w:val="20"/>
        </w:rPr>
        <w:t>, com sede na</w:t>
      </w:r>
      <w:r w:rsidRPr="00855B44">
        <w:rPr>
          <w:highlight w:val="yellow"/>
        </w:rPr>
        <w:t>{{ENDERECO_COMPLETO_COM_NUMERO_CONTRATADA}}</w:t>
      </w:r>
      <w:r w:rsidRPr="00855B44">
        <w:rPr>
          <w:rFonts w:ascii="Verdana" w:eastAsia="Verdana" w:hAnsi="Verdana" w:cs="Verdana"/>
          <w:sz w:val="20"/>
          <w:szCs w:val="20"/>
        </w:rPr>
        <w:t xml:space="preserve">, na Cidade de {{CIDADE_CONTRATADA}} e Estado de </w:t>
      </w:r>
      <w:r w:rsidRPr="00855B44">
        <w:rPr>
          <w:rFonts w:ascii="Verdana" w:eastAsia="Verdana" w:hAnsi="Verdana" w:cs="Verdana"/>
          <w:sz w:val="20"/>
          <w:szCs w:val="20"/>
          <w:highlight w:val="yellow"/>
        </w:rPr>
        <w:t>{{ESTADO_CONTRATADA}}</w:t>
      </w:r>
      <w:r w:rsidRPr="00855B44">
        <w:rPr>
          <w:rFonts w:ascii="Verdana" w:eastAsia="Verdana" w:hAnsi="Verdana" w:cs="Verdana"/>
          <w:sz w:val="20"/>
          <w:szCs w:val="20"/>
        </w:rPr>
        <w:t xml:space="preserve">, CEP </w:t>
      </w:r>
      <w:r w:rsidRPr="00855B44">
        <w:rPr>
          <w:highlight w:val="yellow"/>
        </w:rPr>
        <w:t>{{CEP_CONTRATADA}}</w:t>
      </w:r>
      <w:r w:rsidRPr="00855B44">
        <w:rPr>
          <w:rFonts w:ascii="Verdana" w:eastAsia="Verdana" w:hAnsi="Verdana" w:cs="Verdana"/>
          <w:sz w:val="20"/>
          <w:szCs w:val="20"/>
        </w:rPr>
        <w:t xml:space="preserve"> , inscrita no CNPJ/MF sob nº </w:t>
      </w:r>
      <w:r w:rsidRPr="00855B44">
        <w:rPr>
          <w:highlight w:val="yellow"/>
        </w:rPr>
        <w:t>{{CNPJ_CONTRATADA}}</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“{{NOME_FANTASIA_CONTRATADA}}</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{{CONTRATANTE_RAZAO_SOCIAL}}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{{CNPJ_CONTRATANTE}}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{{ENDERECO_COMPLETO_COM_NUMERO_CONTRATANTE}}</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{{CIDADE_CONTRATANTE}} do Estado de {{ESTADO_CONTRATANTE}}</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{{CEP_CONTRATANTE}}</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{{NOME_FANTASIA_CONTRATANTE}}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{{CONTRATADA_RAZAO_SOCIAL}}</w:t>
      </w:r>
      <w:r w:rsidRPr="00855B44">
        <w:t xml:space="preserve">, denominada </w:t>
      </w:r>
      <w:r w:rsidRPr="00855B44">
        <w:rPr>
          <w:rFonts w:ascii="Verdana" w:eastAsia="Verdana" w:hAnsi="Verdana" w:cs="Verdana"/>
          <w:sz w:val="20"/>
          <w:szCs w:val="20"/>
          <w:highlight w:val="yellow"/>
        </w:rPr>
        <w:t>{{NOME_FANTASIA_CONTRATADA}}</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{{CONTRATANTE_RAZAO_SOCIAL}}</w:t>
      </w:r>
      <w:r w:rsidRPr="00855B44">
        <w:rPr>
          <w:color w:val="000000"/>
        </w:rPr>
        <w:t xml:space="preserve">denominada </w:t>
      </w:r>
      <w:r w:rsidRPr="00855B44">
        <w:rPr>
          <w:rFonts w:ascii="Verdana" w:eastAsia="Verdana" w:hAnsi="Verdana" w:cs="Verdana"/>
          <w:sz w:val="20"/>
          <w:szCs w:val="20"/>
          <w:highlight w:val="yellow"/>
        </w:rPr>
        <w:t xml:space="preserve">{{NOME_FANTASIA_CONTRATANTE}}.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highlight w:val="yellow"/>
                <w:lang w:val="en-US" w:eastAsia="en-US"/>
              </w:rPr>
            </w:pPr>
            <w:r w:rsidRPr="00855B44">
              <w:rPr>
                <w:highlight w:val="yellow"/>
                <w:lang w:val="en-US" w:eastAsia="en-US"/>
              </w:rPr>
              <w:t>R$ {{valor1}}/</w:t>
            </w:r>
            <w:proofErr w:type="spellStart"/>
            <w:r w:rsidRPr="00855B44">
              <w:rPr>
                <w:highlight w:val="yellow"/>
                <w:lang w:val="en-US" w:eastAsia="en-US"/>
              </w:rPr>
              <w:t>mês</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highlight w:val="yellow"/>
                <w:lang w:val="en-US" w:eastAsia="en-US"/>
              </w:rPr>
            </w:pPr>
            <w:r w:rsidRPr="00855B44">
              <w:rPr>
                <w:highlight w:val="yellow"/>
                <w:lang w:val="en-US" w:eastAsia="en-US"/>
              </w:rPr>
              <w:t>R$ {{valor2}}/</w:t>
            </w:r>
            <w:proofErr w:type="spellStart"/>
            <w:r w:rsidRPr="00855B44">
              <w:rPr>
                <w:highlight w:val="yellow"/>
                <w:lang w:val="en-US" w:eastAsia="en-US"/>
              </w:rPr>
              <w:t>mês</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0166A8" w:rsidP="00471165">
            <w:pPr>
              <w:pStyle w:val="normal0"/>
              <w:widowControl w:val="0"/>
              <w:spacing w:after="0" w:line="240" w:lineRule="auto"/>
              <w:rPr>
                <w:highlight w:val="yellow"/>
                <w:lang w:val="en-US" w:eastAsia="en-US"/>
              </w:rPr>
            </w:pPr>
            <w:r>
              <w:rPr>
                <w:highlight w:val="yellow"/>
                <w:lang w:val="en-US" w:eastAsia="en-US"/>
              </w:rPr>
              <w:t>R${{valor3</w:t>
            </w:r>
            <w:r w:rsidRPr="00855B44">
              <w:rPr>
                <w:highlight w:val="yellow"/>
                <w:lang w:val="en-US" w:eastAsia="en-US"/>
              </w:rPr>
              <w:t>}}</w:t>
            </w:r>
            <w:r w:rsidR="002B68AD" w:rsidRPr="00855B44">
              <w:rPr>
                <w:highlight w:val="yellow"/>
                <w:lang w:val="en-US" w:eastAsia="en-US"/>
              </w:rPr>
              <w:t>/</w:t>
            </w:r>
            <w:proofErr w:type="spellStart"/>
            <w:r w:rsidR="002B68AD" w:rsidRPr="00855B44">
              <w:rPr>
                <w:highlight w:val="yellow"/>
                <w:lang w:val="en-US" w:eastAsia="en-US"/>
              </w:rPr>
              <w:t>mês</w:t>
            </w:r>
            <w:proofErr w:type="spellEnd"/>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w:t>
      </w:r>
      <w:proofErr w:type="spellStart"/>
      <w:r w:rsidRPr="00855B44">
        <w:rPr>
          <w:highlight w:val="yellow"/>
        </w:rPr>
        <w:t>qtde_lojas</w:t>
      </w:r>
      <w:proofErr w:type="spellEnd"/>
      <w:r w:rsidRPr="00855B44">
        <w:rPr>
          <w:highlight w:val="yellow"/>
        </w:rPr>
        <w:t xml:space="preserve">}} </w:t>
      </w:r>
      <w:r w:rsidRPr="00855B44">
        <w:t xml:space="preserve"> lojas (filiais) é de </w:t>
      </w:r>
      <w:r w:rsidRPr="00855B44">
        <w:rPr>
          <w:highlight w:val="yellow"/>
        </w:rPr>
        <w:t>R$ {{</w:t>
      </w:r>
      <w:proofErr w:type="spellStart"/>
      <w:r w:rsidRPr="00855B44">
        <w:rPr>
          <w:highlight w:val="yellow"/>
        </w:rPr>
        <w:t>valor_final</w:t>
      </w:r>
      <w:proofErr w:type="spellEnd"/>
      <w:r w:rsidRPr="00855B44">
        <w:rPr>
          <w:highlight w:val="yellow"/>
        </w:rPr>
        <w:t>}} ,00 ({{</w:t>
      </w:r>
      <w:proofErr w:type="spellStart"/>
      <w:r w:rsidRPr="00855B44">
        <w:rPr>
          <w:highlight w:val="yellow"/>
        </w:rPr>
        <w:t>valor_por_extenso</w:t>
      </w:r>
      <w:proofErr w:type="spellEnd"/>
      <w:r w:rsidRPr="00855B44">
        <w:rPr>
          <w:highlight w:val="yellow"/>
        </w:rPr>
        <w:t>}})</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w:t>
      </w:r>
      <w:proofErr w:type="spellStart"/>
      <w:r w:rsidRPr="00855B44">
        <w:rPr>
          <w:highlight w:val="yellow"/>
        </w:rPr>
        <w:t>data_inicio_contrato</w:t>
      </w:r>
      <w:proofErr w:type="spellEnd"/>
      <w:r w:rsidRPr="00855B44">
        <w:rPr>
          <w:highlight w:val="yellow"/>
        </w:rPr>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{{CONTRATADA_RAZAO_SOCIAL}}</w:t>
      </w:r>
    </w:p>
    <w:p w:rsidR="002B68AD" w:rsidRPr="00855B44" w:rsidRDefault="002B68AD" w:rsidP="002B68AD">
      <w:pPr>
        <w:pStyle w:val="normal0"/>
        <w:spacing w:after="0" w:line="240" w:lineRule="auto"/>
        <w:jc w:val="both"/>
        <w:rPr>
          <w:b/>
        </w:rPr>
      </w:pPr>
      <w:r w:rsidRPr="00855B44">
        <w:rPr>
          <w:b/>
        </w:rPr>
        <w:t>(“{{NOME_FANTASIA_CONTRATADA}}”)</w:t>
      </w:r>
    </w:p>
    <w:p w:rsidR="002B68AD" w:rsidRPr="00855B44" w:rsidRDefault="002B68AD" w:rsidP="002B68AD">
      <w:pPr>
        <w:pStyle w:val="normal0"/>
        <w:spacing w:after="0" w:line="240" w:lineRule="auto"/>
        <w:jc w:val="both"/>
      </w:pPr>
      <w:r w:rsidRPr="00855B44">
        <w:t>{{CNPJ_CONTRATADA}}</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{{CONTRATANTE_RAZAO_SOCIAL}}</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{{NOME_FANTASIA_CONTRATANTE}}”)</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{{CNPJ_CONTRATANTE}}</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{{NOME_TESTEMUNHA1}</w:t>
      </w:r>
      <w:proofErr w:type="gramStart"/>
      <w:r w:rsidRPr="00855B44">
        <w:rPr>
          <w:rFonts w:ascii="Arial" w:eastAsia="Arial" w:hAnsi="Arial" w:cs="Arial"/>
          <w:b/>
          <w:color w:val="1B2936"/>
          <w:sz w:val="21"/>
          <w:szCs w:val="21"/>
          <w:highlight w:val="white"/>
        </w:rPr>
        <w:t>}</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{{NOME_TESTEMUNHA2}}</w:t>
      </w:r>
    </w:p>
    <w:p w:rsidR="002B68AD" w:rsidRPr="00855B44" w:rsidRDefault="002B68AD" w:rsidP="002B68AD">
      <w:r w:rsidRPr="00855B44">
        <w:rPr>
          <w:b/>
        </w:rPr>
        <w:t xml:space="preserve">CPF: </w:t>
      </w:r>
      <w:r w:rsidRPr="00855B44">
        <w:rPr>
          <w:rFonts w:ascii="Arial" w:eastAsia="Arial" w:hAnsi="Arial" w:cs="Arial"/>
          <w:b/>
          <w:sz w:val="20"/>
          <w:szCs w:val="20"/>
        </w:rPr>
        <w:t>{{CPF_TESTEMUNHA1}</w:t>
      </w:r>
      <w:proofErr w:type="gramStart"/>
      <w:r w:rsidRPr="00855B44">
        <w:rPr>
          <w:rFonts w:ascii="Arial" w:eastAsia="Arial" w:hAnsi="Arial" w:cs="Arial"/>
          <w:b/>
          <w:sz w:val="20"/>
          <w:szCs w:val="20"/>
        </w:rPr>
        <w:t>}</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{{CPF_TESTEMUNHA2}}</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w:t>
      </w:r>
      <w:proofErr w:type="spellStart"/>
      <w:r w:rsidRPr="00855B44">
        <w:rPr>
          <w:b/>
          <w:highlight w:val="yellow"/>
        </w:rPr>
        <w:t>numero_contrato</w:t>
      </w:r>
      <w:proofErr w:type="spellEnd"/>
      <w:r w:rsidRPr="00855B44">
        <w:rPr>
          <w:b/>
          <w:highlight w:val="yellow"/>
        </w:rPr>
        <w:t>}}</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{CONTRATADA_RAZAO</w:t>
      </w:r>
      <w:r w:rsidR="004F177D"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{{CNPJ_CONTRATADA}}</w:t>
      </w:r>
      <w:r w:rsidRPr="00855B44">
        <w:rPr>
          <w:rFonts w:ascii="Verdana" w:eastAsia="Verdana" w:hAnsi="Verdana" w:cs="Verdana"/>
          <w:sz w:val="20"/>
          <w:szCs w:val="20"/>
        </w:rPr>
        <w:t>, com sede na</w:t>
      </w:r>
      <w:r w:rsidRPr="00855B44">
        <w:rPr>
          <w:highlight w:val="yellow"/>
        </w:rPr>
        <w:t>{{ENDERECO_COMPLETO_COM_NUMERO_CONTRATADA}}</w:t>
      </w:r>
      <w:r w:rsidRPr="00855B44">
        <w:rPr>
          <w:rFonts w:ascii="Verdana" w:eastAsia="Verdana" w:hAnsi="Verdana" w:cs="Verdana"/>
          <w:sz w:val="20"/>
          <w:szCs w:val="20"/>
        </w:rPr>
        <w:t xml:space="preserve">, na Cidade de {{CIDADE_CONTRATADA}} e Estado de </w:t>
      </w:r>
      <w:r w:rsidRPr="00855B44">
        <w:rPr>
          <w:rFonts w:ascii="Verdana" w:eastAsia="Verdana" w:hAnsi="Verdana" w:cs="Verdana"/>
          <w:sz w:val="20"/>
          <w:szCs w:val="20"/>
          <w:highlight w:val="yellow"/>
        </w:rPr>
        <w:t>{{ESTADO_CONTRATADA}}</w:t>
      </w:r>
      <w:r w:rsidRPr="00855B44">
        <w:rPr>
          <w:rFonts w:ascii="Verdana" w:eastAsia="Verdana" w:hAnsi="Verdana" w:cs="Verdana"/>
          <w:sz w:val="20"/>
          <w:szCs w:val="20"/>
        </w:rPr>
        <w:t xml:space="preserve">, CEP </w:t>
      </w:r>
      <w:r w:rsidRPr="00855B44">
        <w:rPr>
          <w:highlight w:val="yellow"/>
        </w:rPr>
        <w:t>{{CEP_CONTRATADA}}</w:t>
      </w:r>
      <w:r w:rsidRPr="00855B44">
        <w:rPr>
          <w:rFonts w:ascii="Verdana" w:eastAsia="Verdana" w:hAnsi="Verdana" w:cs="Verdana"/>
          <w:sz w:val="20"/>
          <w:szCs w:val="20"/>
        </w:rPr>
        <w:t xml:space="preserve"> , inscrita no CNPJ/MF sob nº </w:t>
      </w:r>
      <w:r w:rsidRPr="00855B44">
        <w:rPr>
          <w:highlight w:val="yellow"/>
        </w:rPr>
        <w:t>{{CNPJ_CONTRATADA}}</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“{{NOME_FANTASIA_CONTRATADA}}</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{{RAZAO_SOCIAL_CONTRATANTE}}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{{CNPJ_CONTRATANTE}}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{{ENDERECO_COMPLETO_COM_NUMERO_CONTRATANTE}}</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{{CIDADE_CONTRATANTE}} do Estado de {{ESTADO_CONTRATANTE}}</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{{CEP_CONTRATANTE}}</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{{NOME_FANTASIA_CONTRATANTE}}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{{CONTRATADA_RAZAO</w:t>
      </w:r>
      <w:r w:rsidR="00D2358D"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t xml:space="preserve">, denominada </w:t>
      </w:r>
      <w:r w:rsidRPr="00855B44">
        <w:rPr>
          <w:rFonts w:ascii="Verdana" w:eastAsia="Verdana" w:hAnsi="Verdana" w:cs="Verdana"/>
          <w:sz w:val="20"/>
          <w:szCs w:val="20"/>
          <w:highlight w:val="yellow"/>
        </w:rPr>
        <w:t>{{NOME_FANTASIA_CONTRATADA}}</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{{RAZAO_SOCIAL_CONTRATANTE}}</w:t>
      </w:r>
      <w:r w:rsidRPr="00855B44">
        <w:rPr>
          <w:color w:val="000000"/>
        </w:rPr>
        <w:t xml:space="preserve">denominada </w:t>
      </w:r>
      <w:r w:rsidRPr="00855B44">
        <w:rPr>
          <w:rFonts w:ascii="Verdana" w:eastAsia="Verdana" w:hAnsi="Verdana" w:cs="Verdana"/>
          <w:sz w:val="20"/>
          <w:szCs w:val="20"/>
          <w:highlight w:val="yellow"/>
        </w:rPr>
        <w:t>{{NOME_FANTASIA</w:t>
      </w:r>
      <w:r w:rsidR="00C17D18" w:rsidRPr="00855B44">
        <w:rPr>
          <w:rFonts w:ascii="Verdana" w:eastAsia="Verdana" w:hAnsi="Verdana" w:cs="Verdana"/>
          <w:sz w:val="20"/>
          <w:szCs w:val="20"/>
          <w:highlight w:val="yellow"/>
        </w:rPr>
        <w:t xml:space="preserve">_CONTRATANTE </w:t>
      </w:r>
      <w:r w:rsidRPr="00855B44">
        <w:rPr>
          <w:rFonts w:ascii="Verdana" w:eastAsia="Verdana" w:hAnsi="Verdana" w:cs="Verdana"/>
          <w:sz w:val="20"/>
          <w:szCs w:val="20"/>
          <w:highlight w:val="yellow"/>
        </w:rPr>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rPr>
                <w:highlight w:val="yellow"/>
              </w:rPr>
            </w:pPr>
            <w:r w:rsidRPr="00855B44">
              <w:rPr>
                <w:highlight w:val="yellow"/>
              </w:rPr>
              <w:t>R$ {{valor1}}/mês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rPr>
                <w:highlight w:val="yellow"/>
              </w:rPr>
            </w:pPr>
            <w:r w:rsidRPr="00855B44">
              <w:rPr>
                <w:highlight w:val="yellow"/>
              </w:rPr>
              <w:t>R$ {{valor2}}/mês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sidR="00615480" w:rsidRPr="00855B44" w:rsidRDefault="000166A8" w:rsidP="00A0650E">
            <w:pPr>
              <w:pStyle w:val="normal0"/>
              <w:widowControl w:val="0"/>
              <w:pBdr>
                <w:top w:val="nil"/>
                <w:left w:val="nil"/>
                <w:bottom w:val="nil"/>
                <w:right w:val="nil"/>
                <w:between w:val="nil"/>
              </w:pBdr>
              <w:spacing w:after="0" w:line="240" w:lineRule="auto"/>
              <w:rPr>
                <w:highlight w:val="yellow"/>
              </w:rPr>
            </w:pPr>
            <w:r>
              <w:rPr>
                <w:highlight w:val="yellow"/>
              </w:rPr>
              <w:t xml:space="preserve">R$ </w:t>
            </w:r>
            <w:r>
              <w:rPr>
                <w:highlight w:val="yellow"/>
                <w:lang w:val="en-US" w:eastAsia="en-US"/>
              </w:rPr>
              <w:t>{{valor3</w:t>
            </w:r>
            <w:r w:rsidRPr="00855B44">
              <w:rPr>
                <w:highlight w:val="yellow"/>
                <w:lang w:val="en-US" w:eastAsia="en-US"/>
              </w:rPr>
              <w:t>}</w:t>
            </w:r>
            <w:proofErr w:type="gramStart"/>
            <w:r w:rsidRPr="00855B44">
              <w:rPr>
                <w:highlight w:val="yellow"/>
                <w:lang w:val="en-US" w:eastAsia="en-US"/>
              </w:rPr>
              <w:t>}</w:t>
            </w:r>
            <w:proofErr w:type="gramEnd"/>
            <w:r w:rsidR="00644E18" w:rsidRPr="00855B44">
              <w:rPr>
                <w:highlight w:val="yellow"/>
              </w:rPr>
              <w:t>/</w:t>
            </w:r>
            <w:r w:rsidR="001C2AFE" w:rsidRPr="00855B44">
              <w:rPr>
                <w:highlight w:val="yellow"/>
              </w:rPr>
              <w:t>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w:t>
      </w:r>
      <w:proofErr w:type="spellStart"/>
      <w:r w:rsidRPr="00855B44">
        <w:rPr>
          <w:highlight w:val="yellow"/>
        </w:rPr>
        <w:t>qtde_lojas</w:t>
      </w:r>
      <w:proofErr w:type="spellEnd"/>
      <w:r w:rsidRPr="00855B44">
        <w:rPr>
          <w:highlight w:val="yellow"/>
        </w:rPr>
        <w:t xml:space="preserve">}} </w:t>
      </w:r>
      <w:r w:rsidRPr="00855B44">
        <w:t xml:space="preserve"> lojas (filiais) é de </w:t>
      </w:r>
      <w:r w:rsidRPr="00855B44">
        <w:rPr>
          <w:highlight w:val="yellow"/>
        </w:rPr>
        <w:t>R$ {{</w:t>
      </w:r>
      <w:proofErr w:type="spellStart"/>
      <w:r w:rsidRPr="00855B44">
        <w:rPr>
          <w:highlight w:val="yellow"/>
        </w:rPr>
        <w:t>valor_final</w:t>
      </w:r>
      <w:proofErr w:type="spellEnd"/>
      <w:r w:rsidRPr="00855B44">
        <w:rPr>
          <w:highlight w:val="yellow"/>
        </w:rPr>
        <w:t>}} ,00 ({{</w:t>
      </w:r>
      <w:proofErr w:type="spellStart"/>
      <w:r w:rsidRPr="00855B44">
        <w:rPr>
          <w:highlight w:val="yellow"/>
        </w:rPr>
        <w:t>valor_por_extenso</w:t>
      </w:r>
      <w:proofErr w:type="spellEnd"/>
      <w:r w:rsidRPr="00855B44">
        <w:rPr>
          <w:highlight w:val="yellow"/>
        </w:rPr>
        <w:t>}})</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w:t>
      </w:r>
      <w:proofErr w:type="spellStart"/>
      <w:r w:rsidRPr="00855B44">
        <w:rPr>
          <w:highlight w:val="yellow"/>
        </w:rPr>
        <w:t>data_inicio_contrato</w:t>
      </w:r>
      <w:proofErr w:type="spellEnd"/>
      <w:r w:rsidRPr="00855B44">
        <w:rPr>
          <w:highlight w:val="yellow"/>
        </w:rPr>
        <w:t>}}.</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{{CONTRATADA_RAZAO</w:t>
      </w:r>
      <w:r w:rsidR="00E03904"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rPr>
          <w:b/>
        </w:rPr>
        <w:t>(“{{NOME_FANTASIA_CONTRATADA</w:t>
      </w:r>
      <w:r w:rsidR="008E2268" w:rsidRPr="00855B44">
        <w:rPr>
          <w:b/>
        </w:rPr>
        <w:t>}}</w:t>
      </w:r>
      <w:r w:rsidRPr="00855B44">
        <w:rPr>
          <w:b/>
        </w:rPr>
        <w:t>”)</w:t>
      </w:r>
    </w:p>
    <w:p w:rsidR="00615480" w:rsidRPr="00855B44" w:rsidRDefault="001C2AFE">
      <w:pPr>
        <w:pStyle w:val="normal0"/>
        <w:spacing w:after="0" w:line="240" w:lineRule="auto"/>
        <w:jc w:val="both"/>
      </w:pPr>
      <w:r w:rsidRPr="00855B44">
        <w:t>{{CNPJ_CONTRATADA}}</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{{CONTRATANTE_RAZAO</w:t>
      </w:r>
      <w:r w:rsidR="00E03904" w:rsidRPr="00855B44">
        <w:rPr>
          <w:rFonts w:ascii="Verdana" w:eastAsia="Verdana" w:hAnsi="Verdana" w:cs="Verdana"/>
          <w:sz w:val="20"/>
          <w:szCs w:val="20"/>
          <w:highlight w:val="yellow"/>
        </w:rPr>
        <w:t>_</w:t>
      </w:r>
      <w:r w:rsidRPr="00855B44">
        <w:rPr>
          <w:rFonts w:ascii="Verdana" w:eastAsia="Verdana" w:hAnsi="Verdana" w:cs="Verdana"/>
          <w:sz w:val="20"/>
          <w:szCs w:val="20"/>
          <w:highlight w:val="yellow"/>
        </w:rPr>
        <w:t>SOCIAL}}</w:t>
      </w:r>
      <w:r w:rsidRPr="00855B44">
        <w:rPr>
          <w:b/>
          <w:highlight w:val="yellow"/>
        </w:rPr>
        <w:t xml:space="preserve">  (“</w:t>
      </w:r>
      <w:r w:rsidRPr="00855B44">
        <w:rPr>
          <w:rFonts w:ascii="Verdana" w:eastAsia="Verdana" w:hAnsi="Verdana" w:cs="Verdana"/>
          <w:b/>
          <w:sz w:val="20"/>
          <w:szCs w:val="20"/>
          <w:highlight w:val="yellow"/>
        </w:rPr>
        <w:t>{{NOME_FANTASIA_CONTRATANTE}}”)</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{{CNPJ_CONTRATANTE}}</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{{NOME_TESTEMUNHA1}}</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{{NOME_TESTEMUNHA2}}</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{{CPF_TESTEMUNHA1}}</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{{CPF_TESTEMUNHA2}}</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166A8"/>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44E18"/>
    <w:rsid w:val="006A43B3"/>
    <w:rsid w:val="006D0E9F"/>
    <w:rsid w:val="00855B44"/>
    <w:rsid w:val="008A501C"/>
    <w:rsid w:val="008C5BC1"/>
    <w:rsid w:val="008D4147"/>
    <w:rsid w:val="008D5FD3"/>
    <w:rsid w:val="008E2268"/>
    <w:rsid w:val="00972758"/>
    <w:rsid w:val="00A0650E"/>
    <w:rsid w:val="00A40AD2"/>
    <w:rsid w:val="00C17D18"/>
    <w:rsid w:val="00C33660"/>
    <w:rsid w:val="00C97A2D"/>
    <w:rsid w:val="00CE7680"/>
    <w:rsid w:val="00D15B28"/>
    <w:rsid w:val="00D2358D"/>
    <w:rsid w:val="00D40282"/>
    <w:rsid w:val="00D66A03"/>
    <w:rsid w:val="00DA1BD1"/>
    <w:rsid w:val="00E03904"/>
    <w:rsid w:val="00E45C58"/>
    <w:rsid w:val="00E71A65"/>
    <w:rsid w:val="00F567E0"/>
    <w:rsid w:val="00F702DF"/>
    <w:rsid w:val="00F97CE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b.gov.br/htms/novaPaginaSPB/ArranjosNaoIntegrantes-Relacao2016.asp?IDPAI=ARRANJOSNAOINTEG" TargetMode="External"/><Relationship Id="rId5" Type="http://schemas.openxmlformats.org/officeDocument/2006/relationships/hyperlink" Target="https://www.bcb.gov.br/htms/novaPaginaSPB/ArranjosNaoIntegrantes-Relacao2016.asp?IDPAI=ARRANJOSNAOINT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28</Pages>
  <Words>10251</Words>
  <Characters>55356</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65477</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Evaldo</dc:creator>
  <cp:lastModifiedBy>Evaldo</cp:lastModifiedBy>
  <cp:revision>32</cp:revision>
  <dcterms:created xsi:type="dcterms:W3CDTF">2023-01-21T23:13:00Z</dcterms:created>
  <dcterms:modified xsi:type="dcterms:W3CDTF">2023-02-10T19:49:00Z</dcterms:modified>
</cp:coreProperties>
</file>