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zjnv3sztgri" w:id="0"/>
      <w:bookmarkEnd w:id="0"/>
      <w:r w:rsidDel="00000000" w:rsidR="00000000" w:rsidRPr="00000000">
        <w:rPr>
          <w:rtl w:val="0"/>
        </w:rPr>
        <w:t xml:space="preserve">SUPPLEMENTARY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Supplementary Table 1: Age distributions of each condition.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denotes number of samples per condition. Label shows the distribution of ages between predefined age ranges.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9.2035398230087"/>
        <w:gridCol w:w="2553.9823008849557"/>
        <w:gridCol w:w="1504.7787610619469"/>
        <w:gridCol w:w="1477.1681415929202"/>
        <w:gridCol w:w="1214.867256637168"/>
        <w:tblGridChange w:id="0">
          <w:tblGrid>
            <w:gridCol w:w="2609.2035398230087"/>
            <w:gridCol w:w="2553.9823008849557"/>
            <w:gridCol w:w="1504.7787610619469"/>
            <w:gridCol w:w="1477.1681415929202"/>
            <w:gridCol w:w="1214.867256637168"/>
          </w:tblGrid>
        </w:tblGridChange>
      </w:tblGrid>
      <w:tr>
        <w:trPr>
          <w:cantSplit w:val="0"/>
          <w:trHeight w:val="332.37304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 Median (IQR); n (%)</w:t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0" w:val="nil"/>
              <w:bottom w:color="000000" w:space="0" w:sz="0" w:val="nil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Label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Characteristic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young (0-29)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adult (30-69)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old (70+)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Healthy,</w:t>
              <w:br w:type="textWrapping"/>
              <w:t xml:space="preserve">N = 1,352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50 (39, 62)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130 (9.6%)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1,021 (76%)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201 (15%)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Cancer,</w:t>
              <w:br w:type="textWrapping"/>
              <w:t xml:space="preserve">N = 600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68 (64, 73)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370 (62%)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230 (38%)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AMD,</w:t>
              <w:br w:type="textWrapping"/>
              <w:t xml:space="preserve">N = 388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83 (75, 89)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48 (12%)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340 (88%)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Dilated cardiomyopathy (DCM),</w:t>
              <w:br w:type="textWrapping"/>
              <w:t xml:space="preserve">N = 166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54 (47, 59)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9 (5.4%)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157 (95%)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AD,</w:t>
              <w:br w:type="textWrapping"/>
              <w:t xml:space="preserve">N = 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87 (81, 91)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 (3.6%)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81 (96%)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Serous Ovarian Cancer Tumor,</w:t>
              <w:br w:type="textWrapping"/>
              <w:t xml:space="preserve">N = 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67 (61, 72)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55 (70%)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24 (30%)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Major depression,</w:t>
              <w:br w:type="textWrapping"/>
              <w:t xml:space="preserve">N = 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46 (39, 53)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10 (17%)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48 (80%)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 (3.3%)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Schizophrenia,</w:t>
              <w:br w:type="textWrapping"/>
              <w:t xml:space="preserve">N = 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42 (35, 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 (8.8%)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52 (91%)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Bipolar disorder,</w:t>
              <w:br w:type="textWrapping"/>
              <w:t xml:space="preserve">N = 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51 (40, 56)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 (11%)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47 (85%)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 (3.6%)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Insulin resistant,</w:t>
              <w:br w:type="textWrapping"/>
              <w:t xml:space="preserve">N = 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61 (53, 66)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46 (90%)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 (9.8%)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Dysplasia,</w:t>
              <w:br w:type="textWrapping"/>
              <w:t xml:space="preserve">N = 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64 (55, 69)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39 (78%)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11 (22%)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Alzheimer’s,</w:t>
              <w:br w:type="textWrapping"/>
              <w:t xml:space="preserve">N = 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88 (85, 91)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 (4.1%)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47 (96%)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Hypertrophic cardiomyopathy (HCM),</w:t>
              <w:br w:type="textWrapping"/>
              <w:t xml:space="preserve">N = 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51 (43, 57)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 (11%)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24 (89%)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Unknown,</w:t>
              <w:br w:type="textWrapping"/>
              <w:t xml:space="preserve">N =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61 (60, 64)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 (86%)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 (14%)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Early age-related maculopathy,</w:t>
              <w:br w:type="textWrapping"/>
              <w:t xml:space="preserve">N =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85 (73, 86)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 (33%)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 (67%)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Late non-exudative age-related maculopathy,</w:t>
              <w:br w:type="textWrapping"/>
              <w:t xml:space="preserve">N =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86 (84, 93)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 (100%)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Peripartum cardiomyopathy (PPCM),</w:t>
              <w:br w:type="textWrapping"/>
              <w:t xml:space="preserve">N =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32 (27, 41)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 (33%)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 (67%)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Adenocarcinoma,</w:t>
              <w:br w:type="textWrapping"/>
              <w:t xml:space="preserve">N =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31 (31, 31)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 (100%)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Early AMD,</w:t>
              <w:br w:type="textWrapping"/>
              <w:t xml:space="preserve">N =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87 (87, 87)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 (100%)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Late AMD,</w:t>
              <w:br w:type="textWrapping"/>
              <w:t xml:space="preserve">N =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87 (87, 87)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 (100%)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Late exudative age-related maculopathy,</w:t>
              <w:br w:type="textWrapping"/>
              <w:t xml:space="preserve">N =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87 (87, 87)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 (100%)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Other (RPEcell epithelial dystrophy (suspected)),</w:t>
              <w:br w:type="textWrapping"/>
              <w:t xml:space="preserve">N =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86 (86, 86)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 (100%)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Rheumatoid arthritis,</w:t>
              <w:br w:type="textWrapping"/>
              <w:t xml:space="preserve">N =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72 (72, 72)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 (100%)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AMD or AMD,</w:t>
              <w:br w:type="textWrapping"/>
              <w:t xml:space="preserve">N =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80 (80, 80)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 (100%)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Healthy gingiva; Hypertension,</w:t>
              <w:br w:type="textWrapping"/>
              <w:t xml:space="preserve">N =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66 (66, 66)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 (100%)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Healthy gingiva; Liver cancer,</w:t>
              <w:br w:type="textWrapping"/>
              <w:t xml:space="preserve">N =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64 (64, 64)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 (100%)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Healthy gingiva; Osteoporosis,</w:t>
              <w:br w:type="textWrapping"/>
              <w:t xml:space="preserve">N =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66 (66, 66)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 (100%)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Sporadic ALS,</w:t>
              <w:br w:type="textWrapping"/>
              <w:t xml:space="preserve">N =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67 (67, 67)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 (100%)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</w:tbl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Supplementary Table 2: Age distributions of each tissue.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denotes number of samples per condition. Label shows the distribution of ages between predefined age ranges.</w:t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9.2035398230087"/>
        <w:gridCol w:w="2553.9823008849557"/>
        <w:gridCol w:w="1504.7787610619469"/>
        <w:gridCol w:w="1477.1681415929202"/>
        <w:gridCol w:w="1214.867256637168"/>
        <w:tblGridChange w:id="0">
          <w:tblGrid>
            <w:gridCol w:w="2609.2035398230087"/>
            <w:gridCol w:w="2553.9823008849557"/>
            <w:gridCol w:w="1504.7787610619469"/>
            <w:gridCol w:w="1477.1681415929202"/>
            <w:gridCol w:w="1214.867256637168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right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 Median (IQR); n (%)</w:t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label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Characteristic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young (0-29)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adult (30-69)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old (70+)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NSCLC,</w:t>
              <w:br w:type="textWrapping"/>
              <w:t xml:space="preserve">N = 600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68 (64, 73)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370 (62%)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230 (38%)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Retina,</w:t>
              <w:br w:type="textWrapping"/>
              <w:t xml:space="preserve">N = 521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81 (72, 88)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93 (18%)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428 (82%)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Adipose;,</w:t>
              <w:br w:type="textWrapping"/>
              <w:t xml:space="preserve">N = 382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41 (38, 46)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 (2.1%)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374 (98%)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Heart;Left Ventricle,</w:t>
              <w:br w:type="textWrapping"/>
              <w:t xml:space="preserve">N = 361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56 (48, 62)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25 (6.9%)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313 (87%)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23 (6.4%)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Blood;PBMC,</w:t>
              <w:br w:type="textWrapping"/>
              <w:t xml:space="preserve">N = 172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f38 (29, 51)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44 (26%)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128 (74%)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Brain; DLPFC,</w:t>
              <w:br w:type="textWrapping"/>
              <w:t xml:space="preserve">N = 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47 (39, 53)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10 (8.5%)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104 (88%)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 (3.4%)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Brain; fusiform gyrus,</w:t>
              <w:br w:type="textWrapping"/>
              <w:t xml:space="preserve">N = 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86 (81, 91)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 (2.6%)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113 (97%)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Brain; AnCg,</w:t>
              <w:br w:type="textWrapping"/>
              <w:t xml:space="preserve">N = 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46 (39, 55)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11 (9.7%)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98 (87%)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 (3.5%)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Ovary;,</w:t>
              <w:br w:type="textWrapping"/>
              <w:t xml:space="preserve">N = 105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66 (61, 72)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75 (71%)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30 (29%)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Blood;Erythroblasts,</w:t>
              <w:br w:type="textWrapping"/>
              <w:t xml:space="preserve">N = 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60 (53, 65)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86 (91%)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 (8.5%)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Lung;Bronchial brushing,</w:t>
              <w:br w:type="textWrapping"/>
              <w:t xml:space="preserve">N = 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64 (57, 69)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63 (77%)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19 (23%)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Pancreatic islet,</w:t>
              <w:br w:type="textWrapping"/>
              <w:t xml:space="preserve">N = 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58 (53, 63)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57 (92%)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 (8.1%)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right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Liver;liver hepatocytes,</w:t>
              <w:br w:type="textWrapping"/>
              <w:t xml:space="preserve">N= 601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44 (29, 54)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16 (27%)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43 (72%)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 (1.7%)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Brain;prefrontal cortex,</w:t>
              <w:br w:type="textWrapping"/>
              <w:t xml:space="preserve">N = 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88 (85, 91)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 (4.1%)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47 (96%)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Bone marrow; erythroid precursors,</w:t>
              <w:br w:type="textWrapping"/>
              <w:t xml:space="preserve">N = 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51 (28, 56)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13 (43%)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17 (57%)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Bone marrow; haematopoietic stem and progenitor cells,</w:t>
              <w:br w:type="textWrapping"/>
              <w:t xml:space="preserve">N = 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54 (30, 56)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 (28%)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21 (72%)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Bone marrow; monocytes/macrophages and precursors,</w:t>
              <w:br w:type="textWrapping"/>
              <w:t xml:space="preserve">N = 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54 (30, 56)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 (30%)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19 (70%)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Bone marrow; lymphocytes and precursors,</w:t>
              <w:br w:type="textWrapping"/>
              <w:t xml:space="preserve">N = 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54 (28, 56)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10 (40%)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15 (60%)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Retina; peripheral retina,</w:t>
              <w:br w:type="textWrapping"/>
              <w:t xml:space="preserve">N = 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84 (76, 86)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 (17%)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19 (83%)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Bone marrow; mesenchymal stem/stromal cells,</w:t>
              <w:br w:type="textWrapping"/>
              <w:t xml:space="preserve">N = 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39 (24, 55)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 (50%)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 (50%)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Retina; peripheral RPE-choroid-sclera,</w:t>
              <w:br w:type="textWrapping"/>
              <w:t xml:space="preserve">N = 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85 (83, 86)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 (6.7%)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14 (93%)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Bone marrow; mononuclear cells,</w:t>
              <w:br w:type="textWrapping"/>
              <w:t xml:space="preserve">N =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49 (45, 52)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 (13%)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7 (88%)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Retina; macular RPE/choroid/sclera,</w:t>
              <w:br w:type="textWrapping"/>
              <w:t xml:space="preserve">N =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71 (63, 81)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 (38%)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 (63%)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Retina; macular retina,</w:t>
              <w:br w:type="textWrapping"/>
              <w:t xml:space="preserve">N =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71 (63, 81)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 (38%)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 (63%)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Retina; peripheral RPE/choroid/sclera,</w:t>
              <w:br w:type="textWrapping"/>
              <w:t xml:space="preserve">N =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71 (63, 81)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 (38%)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 (63%)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Blood;Activated T-Cells,</w:t>
              <w:br w:type="textWrapping"/>
              <w:t xml:space="preserve">N =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53 (49, 66)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 (86%)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1 (14%)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Gingiva,</w:t>
              <w:br w:type="textWrapping"/>
              <w:t xml:space="preserve">N =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42 (19, 66)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 (50%)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 (50%)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Bone; osteoblasts,</w:t>
              <w:br w:type="textWrapping"/>
              <w:t xml:space="preserve">N =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69 (66, 72)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 (50%)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 (50%)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Olfactory epithelium,</w:t>
              <w:br w:type="textWrapping"/>
              <w:t xml:space="preserve">N =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62 (60, 63)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4 (100%)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Cerebrospinal fluid; exosomes,</w:t>
              <w:br w:type="textWrapping"/>
              <w:t xml:space="preserve">N =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60 (59, 64)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 (100%)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Cervix; HeLa S3 cells,</w:t>
              <w:br w:type="textWrapping"/>
              <w:t xml:space="preserve">N =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31 (31, 31)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 (100%)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right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Retina; RPE,</w:t>
              <w:br w:type="textWrapping"/>
              <w:t xml:space="preserve">N =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4"/>
                <w:szCs w:val="1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87 (87, 87)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0 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4"/>
                <w:szCs w:val="14"/>
                <w:rtl w:val="0"/>
              </w:rPr>
              <w:t xml:space="preserve">2 (100%)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Supplementary Table 3: Top 10 up-regulated tissue-independent pathways.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Pathways are sorted by decreasing coefficient estimates. CP: Canonical pathways. CGP: Chemical and genetic perturbations.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0.7335907335907"/>
        <w:gridCol w:w="5288.339768339767"/>
        <w:gridCol w:w="975.7528957528957"/>
        <w:gridCol w:w="975.7528957528957"/>
        <w:gridCol w:w="1409.4208494208492"/>
        <w:tblGridChange w:id="0">
          <w:tblGrid>
            <w:gridCol w:w="710.7335907335907"/>
            <w:gridCol w:w="5288.339768339767"/>
            <w:gridCol w:w="975.7528957528957"/>
            <w:gridCol w:w="975.7528957528957"/>
            <w:gridCol w:w="1409.4208494208492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Top 10 up-regulated tissue-independent pathways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Category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n genes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Coefficient estimate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BIOCARTA RHODOPSIN PATHWAY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0.090601850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REACTOME ACTIVATION OF THE PHOTOTRANSDUCTION CASCADE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0.090402200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PID RHODOPSIN PATHWAY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0.079535460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MIKKELSEN IPS LCP WITH H3K4ME3 AND H3K27ME3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CGP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0.070753020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REACTOME OPSINS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0.070558100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PID CONE PATHWAY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0.069599400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REACTOME ACETYLCHOLINE BINDING AND DOWNSTREAM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0.068847760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REACTOME HIGHLY CALCIUM PERMEABLE NICOTINIC ACETYLCHOLINE RECEPTORS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0.068847760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REACTOME HIGHLY CALCIUM PERMEABLE POSTSYNAPTIC NICOTINIC ACETYLCHOLINE RECEPTORS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0.068847760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REACTOME HIGHLY SODIUM PERMEABLE POSTSYNAPTIC ACETYLCHOLINE NICOTINIC RECEPTORS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0.068847760</w:t>
            </w:r>
          </w:p>
        </w:tc>
      </w:tr>
    </w:tbl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Supplementary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X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Top 10 down-regulated tissue-independent pathways.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Pathways are sorted by increasing coefficient estimates. CP: Canonical pathways. CGP: Chemical and genetic perturbations.</w:t>
      </w:r>
    </w:p>
    <w:tbl>
      <w:tblPr>
        <w:tblStyle w:val="Table4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7.0934699103713"/>
        <w:gridCol w:w="5309.193341869397"/>
        <w:gridCol w:w="1042.663252240717"/>
        <w:gridCol w:w="898.8476312419973"/>
        <w:gridCol w:w="1402.202304737516"/>
        <w:tblGridChange w:id="0">
          <w:tblGrid>
            <w:gridCol w:w="707.0934699103713"/>
            <w:gridCol w:w="5309.193341869397"/>
            <w:gridCol w:w="1042.663252240717"/>
            <w:gridCol w:w="898.8476312419973"/>
            <w:gridCol w:w="1402.202304737516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Top 10 down-regulated tissue-independent pathways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Category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n genes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Coefficient estimate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KORKOLA CHORIOCARCINOMA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CGP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-0.046989880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REACTOME AMINO ACID CONJUGATION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-0.046259260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BIOCARTA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TCAPOPTOSIS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PATHWAY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-0.044700030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BIOCARTA THELPER PATHWAY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-0.042427500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BIOCARTA TCRA PATHWAY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-0.042419040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BIOCARTA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TCYTOTOXIC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PATHWAY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-0.041964470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REACTOME PROSTANOID LIGAND RECEPTORS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-0.040446270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BIOCARTA CTL PATHWAY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0.039046460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REACTOME FICOLINS BIND TO REPETITIVE CARBOHYDRATE STRUCTURES ON THE TARGET CELL SURFACE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-0.036717150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REACTOME LECTIN PATHWAY OF COMPLEMENT ACTIVATION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-0.036717150</w:t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