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55524">
      <w:pPr>
        <w:spacing w:before="480" w:after="480" w:line="288" w:lineRule="auto"/>
        <w:ind w:left="0"/>
      </w:pPr>
      <w:r>
        <w:rPr>
          <w:rFonts w:ascii="Arial" w:hAnsi="Arial" w:eastAsia="等线" w:cs="Arial"/>
          <w:b/>
          <w:sz w:val="52"/>
        </w:rPr>
        <w:t>碳排放全套核心概念汇总文档</w:t>
      </w:r>
    </w:p>
    <w:p w14:paraId="223F158D">
      <w:pPr>
        <w:spacing w:before="120" w:after="120" w:line="288" w:lineRule="auto"/>
        <w:ind w:left="0"/>
        <w:jc w:val="left"/>
      </w:pPr>
      <w:r>
        <w:rPr>
          <w:rFonts w:ascii="Arial" w:hAnsi="Arial" w:eastAsia="等线" w:cs="Arial"/>
          <w:sz w:val="22"/>
        </w:rPr>
        <w:t>本文档整合碳排放、温室气体、碳核算、碳中和、碳市场、碳足迹等全领域核心标准概念，参考IPCC、ISO 14068、国内双碳政策及企业核算准则，定义精准、体系清晰，适用于学习培训、企业合规、项目申报、行业科普等场景。</w:t>
      </w:r>
    </w:p>
    <w:p w14:paraId="275D82A2">
      <w:pPr>
        <w:spacing w:before="380" w:after="140" w:line="288" w:lineRule="auto"/>
        <w:ind w:left="0"/>
        <w:jc w:val="left"/>
        <w:outlineLvl w:val="0"/>
      </w:pPr>
      <w:bookmarkStart w:id="0" w:name="heading_0"/>
      <w:r>
        <w:rPr>
          <w:rFonts w:ascii="Arial" w:hAnsi="Arial" w:eastAsia="等线" w:cs="Arial"/>
          <w:b/>
          <w:sz w:val="36"/>
        </w:rPr>
        <w:t>一、基础核心概念</w:t>
      </w:r>
      <w:bookmarkEnd w:id="0"/>
      <w:bookmarkStart w:id="33" w:name="_GoBack"/>
      <w:bookmarkEnd w:id="33"/>
    </w:p>
    <w:p w14:paraId="40B386F4">
      <w:pPr>
        <w:spacing w:before="320" w:after="120" w:line="288" w:lineRule="auto"/>
        <w:ind w:left="0"/>
        <w:jc w:val="left"/>
        <w:outlineLvl w:val="1"/>
      </w:pPr>
      <w:bookmarkStart w:id="1" w:name="heading_1"/>
      <w:r>
        <w:rPr>
          <w:rFonts w:ascii="Arial" w:hAnsi="Arial" w:eastAsia="等线" w:cs="Arial"/>
          <w:b/>
          <w:sz w:val="32"/>
        </w:rPr>
        <w:t>1. 碳排放</w:t>
      </w:r>
      <w:bookmarkEnd w:id="1"/>
    </w:p>
    <w:p w14:paraId="26CFB42A">
      <w:pPr>
        <w:spacing w:before="120" w:after="120" w:line="288" w:lineRule="auto"/>
        <w:ind w:left="0"/>
        <w:jc w:val="left"/>
      </w:pPr>
      <w:r>
        <w:rPr>
          <w:rFonts w:ascii="Arial" w:hAnsi="Arial" w:eastAsia="等线" w:cs="Arial"/>
          <w:sz w:val="22"/>
        </w:rPr>
        <w:t>狭义上特指人类活动产生的二氧化碳（CO₂）排放；广义为行业通用口径，泛指所有人为温室气体排放，是气候变化管控的核心对象。碳排放主要来源于化石能源燃烧、工业生产过程、土地利用变化、废弃物处理、农林畜牧活动等，涵盖直接与间接全链条排放，日常双碳工作中均采用广义核算口径。</w:t>
      </w:r>
    </w:p>
    <w:p w14:paraId="07470B9A">
      <w:pPr>
        <w:spacing w:before="320" w:after="120" w:line="288" w:lineRule="auto"/>
        <w:ind w:left="0"/>
        <w:jc w:val="left"/>
        <w:outlineLvl w:val="1"/>
      </w:pPr>
      <w:bookmarkStart w:id="2" w:name="heading_2"/>
      <w:r>
        <w:rPr>
          <w:rFonts w:ascii="Arial" w:hAnsi="Arial" w:eastAsia="等线" w:cs="Arial"/>
          <w:b/>
          <w:sz w:val="32"/>
        </w:rPr>
        <w:t>2. 温室气体（GHG）</w:t>
      </w:r>
      <w:bookmarkEnd w:id="2"/>
    </w:p>
    <w:p w14:paraId="52EC7463">
      <w:pPr>
        <w:spacing w:before="120" w:after="120" w:line="288" w:lineRule="auto"/>
        <w:ind w:left="0"/>
        <w:jc w:val="left"/>
      </w:pPr>
      <w:r>
        <w:rPr>
          <w:rFonts w:ascii="Arial" w:hAnsi="Arial" w:eastAsia="等线" w:cs="Arial"/>
          <w:sz w:val="22"/>
        </w:rPr>
        <w:t>指大气中能够吸收并反射地面红外辐射、产生温室效应的气态组分，包含自然排放与人为排放两类。根据IPCC及ISO 14068标准，核心管控的人为温室气体包含六大类：二氧化碳（CO₂）、甲烷（CH₄）、氧化亚氮（N₂O）、氢氟碳化物（HFCs）、全氟碳化物（PFCs）、六氟化硫（SF₆）。不同气体温室效应强度差异极大，统一通过二氧化碳当量折算统计。</w:t>
      </w:r>
    </w:p>
    <w:p w14:paraId="6553B7EF">
      <w:pPr>
        <w:spacing w:before="320" w:after="120" w:line="288" w:lineRule="auto"/>
        <w:ind w:left="0"/>
        <w:jc w:val="left"/>
        <w:outlineLvl w:val="1"/>
      </w:pPr>
      <w:bookmarkStart w:id="3" w:name="heading_3"/>
      <w:r>
        <w:rPr>
          <w:rFonts w:ascii="Arial" w:hAnsi="Arial" w:eastAsia="等线" w:cs="Arial"/>
          <w:b/>
          <w:sz w:val="32"/>
        </w:rPr>
        <w:t>3. 二氧化碳当量（CO₂e）</w:t>
      </w:r>
      <w:bookmarkEnd w:id="3"/>
    </w:p>
    <w:p w14:paraId="416B96C3">
      <w:pPr>
        <w:spacing w:before="120" w:after="120" w:line="288" w:lineRule="auto"/>
        <w:ind w:left="0"/>
        <w:jc w:val="left"/>
      </w:pPr>
      <w:r>
        <w:rPr>
          <w:rFonts w:ascii="Arial" w:hAnsi="Arial" w:eastAsia="等线" w:cs="Arial"/>
          <w:sz w:val="22"/>
        </w:rPr>
        <w:t>碳排放统一核算计量单位，用于将不同温室气体按温室效应强弱标准化换算为等效二氧化碳排放量。换算核心依据为</w:t>
      </w:r>
      <w:r>
        <w:rPr>
          <w:rFonts w:ascii="Arial" w:hAnsi="Arial" w:eastAsia="等线" w:cs="Arial"/>
          <w:b/>
          <w:sz w:val="22"/>
        </w:rPr>
        <w:t>全球增温潜势（GWP）</w:t>
      </w:r>
      <w:r>
        <w:rPr>
          <w:rFonts w:ascii="Arial" w:hAnsi="Arial" w:eastAsia="等线" w:cs="Arial"/>
          <w:sz w:val="22"/>
        </w:rPr>
        <w:t>，即一定时间尺度内，单位质量温室气体的温室效应相对二氧化碳的倍数，主流核算采用100年时间尺度GWP值，是所有碳数据统计、报告、交易的通用基准。</w:t>
      </w:r>
    </w:p>
    <w:p w14:paraId="1621151D">
      <w:pPr>
        <w:spacing w:before="320" w:after="120" w:line="288" w:lineRule="auto"/>
        <w:ind w:left="0"/>
        <w:jc w:val="left"/>
        <w:outlineLvl w:val="1"/>
      </w:pPr>
      <w:bookmarkStart w:id="4" w:name="heading_4"/>
      <w:r>
        <w:rPr>
          <w:rFonts w:ascii="Arial" w:hAnsi="Arial" w:eastAsia="等线" w:cs="Arial"/>
          <w:b/>
          <w:sz w:val="32"/>
        </w:rPr>
        <w:t>4. 人为排放与人为清除</w:t>
      </w:r>
      <w:bookmarkEnd w:id="4"/>
    </w:p>
    <w:p w14:paraId="7EB62196">
      <w:pPr>
        <w:spacing w:before="120" w:after="120" w:line="288" w:lineRule="auto"/>
        <w:ind w:left="0"/>
        <w:jc w:val="left"/>
      </w:pPr>
      <w:r>
        <w:rPr>
          <w:rFonts w:ascii="Arial" w:hAnsi="Arial" w:eastAsia="等线" w:cs="Arial"/>
          <w:sz w:val="22"/>
        </w:rPr>
        <w:t>人为排放：人类生产生活活动主动产生的温室气体排放，包括化石燃料燃烧、工业制造、畜禽养殖、垃圾处置、毁林等，是碳排放管控的核心范围。</w:t>
      </w:r>
    </w:p>
    <w:p w14:paraId="00EC4028">
      <w:pPr>
        <w:spacing w:before="120" w:after="120" w:line="288" w:lineRule="auto"/>
        <w:ind w:left="0"/>
        <w:jc w:val="left"/>
      </w:pPr>
      <w:r>
        <w:rPr>
          <w:rFonts w:ascii="Arial" w:hAnsi="Arial" w:eastAsia="等线" w:cs="Arial"/>
          <w:sz w:val="22"/>
        </w:rPr>
        <w:t>人为清除：通过人工干预方式主动从大气中移除温室气体的行为，主要包括植树造林、生态修复、碳捕集利用与封存（CCUS）、生物质固碳等，是抵消碳排放、实现碳中和的关键手段。</w:t>
      </w:r>
    </w:p>
    <w:p w14:paraId="7E670679">
      <w:pPr>
        <w:spacing w:before="380" w:after="140" w:line="288" w:lineRule="auto"/>
        <w:ind w:left="0"/>
        <w:jc w:val="left"/>
        <w:outlineLvl w:val="0"/>
      </w:pPr>
      <w:bookmarkStart w:id="5" w:name="heading_5"/>
      <w:r>
        <w:rPr>
          <w:rFonts w:ascii="Arial" w:hAnsi="Arial" w:eastAsia="等线" w:cs="Arial"/>
          <w:b/>
          <w:sz w:val="36"/>
        </w:rPr>
        <w:t>二、碳排放核算核心体系（范围一/二/三）</w:t>
      </w:r>
      <w:bookmarkEnd w:id="5"/>
    </w:p>
    <w:p w14:paraId="5AA1E1C0">
      <w:pPr>
        <w:spacing w:before="120" w:after="120" w:line="288" w:lineRule="auto"/>
        <w:ind w:left="0"/>
        <w:jc w:val="left"/>
      </w:pPr>
      <w:r>
        <w:rPr>
          <w:rFonts w:ascii="Arial" w:hAnsi="Arial" w:eastAsia="等线" w:cs="Arial"/>
          <w:sz w:val="22"/>
        </w:rPr>
        <w:t>依据国际通用GHG Protocol及国内企业核算准则，将碳排放划分为三个边界范围，覆盖企业、组织全价值链排放，是碳盘查、碳报告的核心依据。</w:t>
      </w:r>
    </w:p>
    <w:p w14:paraId="7859246B">
      <w:pPr>
        <w:spacing w:before="320" w:after="120" w:line="288" w:lineRule="auto"/>
        <w:ind w:left="0"/>
        <w:jc w:val="left"/>
        <w:outlineLvl w:val="1"/>
      </w:pPr>
      <w:bookmarkStart w:id="6" w:name="heading_6"/>
      <w:r>
        <w:rPr>
          <w:rFonts w:ascii="Arial" w:hAnsi="Arial" w:eastAsia="等线" w:cs="Arial"/>
          <w:b/>
          <w:sz w:val="32"/>
        </w:rPr>
        <w:t>1. 范围一（直接排放）</w:t>
      </w:r>
      <w:bookmarkEnd w:id="6"/>
    </w:p>
    <w:p w14:paraId="5501F2EE">
      <w:pPr>
        <w:spacing w:before="120" w:after="120" w:line="288" w:lineRule="auto"/>
        <w:ind w:left="0"/>
        <w:jc w:val="left"/>
      </w:pPr>
      <w:r>
        <w:rPr>
          <w:rFonts w:ascii="Arial" w:hAnsi="Arial" w:eastAsia="等线" w:cs="Arial"/>
          <w:sz w:val="22"/>
        </w:rPr>
        <w:t>组织拥有或控制的排放源产生的直接温室气体排放，属于企业自有可控排放。主要包含：自有锅炉、发电机组、生产设备的化石燃料燃烧排放；生产工艺化学反应排放；自有车辆、船舶等移动源排放；厂区废弃物现场处理排放等。数据可通过现场计量、燃料消耗量直接核算。</w:t>
      </w:r>
    </w:p>
    <w:p w14:paraId="0AFB3802">
      <w:pPr>
        <w:spacing w:before="320" w:after="120" w:line="288" w:lineRule="auto"/>
        <w:ind w:left="0"/>
        <w:jc w:val="left"/>
        <w:outlineLvl w:val="1"/>
      </w:pPr>
      <w:bookmarkStart w:id="7" w:name="heading_7"/>
      <w:r>
        <w:rPr>
          <w:rFonts w:ascii="Arial" w:hAnsi="Arial" w:eastAsia="等线" w:cs="Arial"/>
          <w:b/>
          <w:sz w:val="32"/>
        </w:rPr>
        <w:t>2. 范围二（外购能源间接排放）</w:t>
      </w:r>
      <w:bookmarkEnd w:id="7"/>
    </w:p>
    <w:p w14:paraId="47EDAB8F">
      <w:pPr>
        <w:spacing w:before="120" w:after="120" w:line="288" w:lineRule="auto"/>
        <w:ind w:left="0"/>
        <w:jc w:val="left"/>
      </w:pPr>
      <w:r>
        <w:rPr>
          <w:rFonts w:ascii="Arial" w:hAnsi="Arial" w:eastAsia="等线" w:cs="Arial"/>
          <w:sz w:val="22"/>
        </w:rPr>
        <w:t>组织外购电力、热力（蒸汽、热水、冷水）在生产端产生的间接碳排放，是企业生产经营必备的间接排放。排放发生在能源供给侧，但归属用电/用热企业核算，核算方式为外购能源消耗量×对应区域碳排放因子，是企业最基础、最刚需的核算范围。</w:t>
      </w:r>
    </w:p>
    <w:p w14:paraId="0EE44CD3">
      <w:pPr>
        <w:spacing w:before="320" w:after="120" w:line="288" w:lineRule="auto"/>
        <w:ind w:left="0"/>
        <w:jc w:val="left"/>
        <w:outlineLvl w:val="1"/>
      </w:pPr>
      <w:bookmarkStart w:id="8" w:name="heading_8"/>
      <w:r>
        <w:rPr>
          <w:rFonts w:ascii="Arial" w:hAnsi="Arial" w:eastAsia="等线" w:cs="Arial"/>
          <w:b/>
          <w:sz w:val="32"/>
        </w:rPr>
        <w:t>3. 范围三（价值链间接排放）</w:t>
      </w:r>
      <w:bookmarkEnd w:id="8"/>
    </w:p>
    <w:p w14:paraId="5102E8D3">
      <w:pPr>
        <w:spacing w:before="120" w:after="120" w:line="288" w:lineRule="auto"/>
        <w:ind w:left="0"/>
        <w:jc w:val="left"/>
      </w:pPr>
      <w:r>
        <w:rPr>
          <w:rFonts w:ascii="Arial" w:hAnsi="Arial" w:eastAsia="等线" w:cs="Arial"/>
          <w:sz w:val="22"/>
        </w:rPr>
        <w:t>除范围一、二外，企业上下游全价值链产生的所有间接碳排放，覆盖上下游全产业链，共分为15大类核心场景。上游包含外购商品与服务、原材料运输、资本设备、燃料能源相关间接活动等；下游包含产品运输分销、产品使用、废弃处理、员工通勤、商务差旅、外包服务等。范围三是企业碳足迹、供应链减碳、绿色产品认证的核心核算范围。</w:t>
      </w:r>
    </w:p>
    <w:p w14:paraId="4FB10BBA">
      <w:pPr>
        <w:spacing w:before="380" w:after="140" w:line="288" w:lineRule="auto"/>
        <w:ind w:left="0"/>
        <w:jc w:val="left"/>
        <w:outlineLvl w:val="0"/>
      </w:pPr>
      <w:bookmarkStart w:id="9" w:name="heading_9"/>
      <w:r>
        <w:rPr>
          <w:rFonts w:ascii="Arial" w:hAnsi="Arial" w:eastAsia="等线" w:cs="Arial"/>
          <w:b/>
          <w:sz w:val="36"/>
        </w:rPr>
        <w:t>三、关键核算指标概念</w:t>
      </w:r>
      <w:bookmarkEnd w:id="9"/>
    </w:p>
    <w:p w14:paraId="77B493B0">
      <w:pPr>
        <w:spacing w:before="320" w:after="120" w:line="288" w:lineRule="auto"/>
        <w:ind w:left="0"/>
        <w:jc w:val="left"/>
        <w:outlineLvl w:val="1"/>
      </w:pPr>
      <w:bookmarkStart w:id="10" w:name="heading_10"/>
      <w:r>
        <w:rPr>
          <w:rFonts w:ascii="Arial" w:hAnsi="Arial" w:eastAsia="等线" w:cs="Arial"/>
          <w:b/>
          <w:sz w:val="32"/>
        </w:rPr>
        <w:t>1. 碳排放因子</w:t>
      </w:r>
      <w:bookmarkEnd w:id="10"/>
    </w:p>
    <w:p w14:paraId="27182C79">
      <w:pPr>
        <w:spacing w:before="120" w:after="120" w:line="288" w:lineRule="auto"/>
        <w:ind w:left="0"/>
        <w:jc w:val="left"/>
      </w:pPr>
      <w:r>
        <w:rPr>
          <w:rFonts w:ascii="Arial" w:hAnsi="Arial" w:eastAsia="等线" w:cs="Arial"/>
          <w:sz w:val="22"/>
        </w:rPr>
        <w:t>核心核算参数，指单位活动量对应的温室气体排放量，即碳排放换算系数。常见类型包含：燃煤、燃油、天然气等燃料燃烧因子；区域电网排放因子；热力排放因子；废弃物处理排放因子等。核算公式：碳排放量=活动数据×碳排放因子，因子数值由国家、行业权威数据库统一更新。</w:t>
      </w:r>
    </w:p>
    <w:p w14:paraId="2E86FF25">
      <w:pPr>
        <w:spacing w:before="320" w:after="120" w:line="288" w:lineRule="auto"/>
        <w:ind w:left="0"/>
        <w:jc w:val="left"/>
        <w:outlineLvl w:val="1"/>
      </w:pPr>
      <w:bookmarkStart w:id="11" w:name="heading_11"/>
      <w:r>
        <w:rPr>
          <w:rFonts w:ascii="Arial" w:hAnsi="Arial" w:eastAsia="等线" w:cs="Arial"/>
          <w:b/>
          <w:sz w:val="32"/>
        </w:rPr>
        <w:t>2. 碳排放强度</w:t>
      </w:r>
      <w:bookmarkEnd w:id="11"/>
    </w:p>
    <w:p w14:paraId="44A0F330">
      <w:pPr>
        <w:spacing w:before="120" w:after="120" w:line="288" w:lineRule="auto"/>
        <w:ind w:left="0"/>
        <w:jc w:val="left"/>
      </w:pPr>
      <w:r>
        <w:rPr>
          <w:rFonts w:ascii="Arial" w:hAnsi="Arial" w:eastAsia="等线" w:cs="Arial"/>
          <w:sz w:val="22"/>
        </w:rPr>
        <w:t>衡量经济发展与碳排放耦合关系的核心指标，核心分为两类：区域层面为单位GDP碳排放量，反映地区低碳发展水平；企业/产品层面为单位产值、单位产量碳排放量。强度下降是双碳考核、节能降碳评价的核心目标，区别于绝对排放量，更侧重低碳效率提升。</w:t>
      </w:r>
    </w:p>
    <w:p w14:paraId="63AD5CA6">
      <w:pPr>
        <w:spacing w:before="320" w:after="120" w:line="288" w:lineRule="auto"/>
        <w:ind w:left="0"/>
        <w:jc w:val="left"/>
        <w:outlineLvl w:val="1"/>
      </w:pPr>
      <w:bookmarkStart w:id="12" w:name="heading_12"/>
      <w:r>
        <w:rPr>
          <w:rFonts w:ascii="Arial" w:hAnsi="Arial" w:eastAsia="等线" w:cs="Arial"/>
          <w:b/>
          <w:sz w:val="32"/>
        </w:rPr>
        <w:t>3. 碳盘查</w:t>
      </w:r>
      <w:bookmarkEnd w:id="12"/>
    </w:p>
    <w:p w14:paraId="63EEF353">
      <w:pPr>
        <w:spacing w:before="120" w:after="120" w:line="288" w:lineRule="auto"/>
        <w:ind w:left="0"/>
        <w:jc w:val="left"/>
      </w:pPr>
      <w:r>
        <w:rPr>
          <w:rFonts w:ascii="Arial" w:hAnsi="Arial" w:eastAsia="等线" w:cs="Arial"/>
          <w:sz w:val="22"/>
        </w:rPr>
        <w:t>企业、区域、项目对一定周期内所有温室气体排放源、排放量、排放结构进行全面排查、统计、核算、分析的全过程，是碳核查、碳减排、碳中和认证的前置基础。核心输出为碳排放清单、排放数据分析报告，明确自身排放短板与减排空间。</w:t>
      </w:r>
    </w:p>
    <w:p w14:paraId="4AC487F6">
      <w:pPr>
        <w:spacing w:before="320" w:after="120" w:line="288" w:lineRule="auto"/>
        <w:ind w:left="0"/>
        <w:jc w:val="left"/>
        <w:outlineLvl w:val="1"/>
      </w:pPr>
      <w:bookmarkStart w:id="13" w:name="heading_13"/>
      <w:r>
        <w:rPr>
          <w:rFonts w:ascii="Arial" w:hAnsi="Arial" w:eastAsia="等线" w:cs="Arial"/>
          <w:b/>
          <w:sz w:val="32"/>
        </w:rPr>
        <w:t>4. MRV体系</w:t>
      </w:r>
      <w:bookmarkEnd w:id="13"/>
    </w:p>
    <w:p w14:paraId="714335E4">
      <w:pPr>
        <w:spacing w:before="120" w:after="120" w:line="288" w:lineRule="auto"/>
        <w:ind w:left="0"/>
        <w:jc w:val="left"/>
      </w:pPr>
      <w:r>
        <w:rPr>
          <w:rFonts w:ascii="Arial" w:hAnsi="Arial" w:eastAsia="等线" w:cs="Arial"/>
          <w:sz w:val="22"/>
        </w:rPr>
        <w:t>碳排放监测、报告与核查（Monitoring、Reporting、Verification）三位一体的标准化管控体系，是碳市场、碳核算的制度基础。监测即常态化采集排放活动数据；报告即按规范编制年度碳排放报告；核查即第三方机构核验数据真实性、合规性，保障碳数据精准、透明、可追溯。</w:t>
      </w:r>
    </w:p>
    <w:p w14:paraId="3CDD9E56">
      <w:pPr>
        <w:spacing w:before="380" w:after="140" w:line="288" w:lineRule="auto"/>
        <w:ind w:left="0"/>
        <w:jc w:val="left"/>
        <w:outlineLvl w:val="0"/>
      </w:pPr>
      <w:bookmarkStart w:id="14" w:name="heading_14"/>
      <w:r>
        <w:rPr>
          <w:rFonts w:ascii="Arial" w:hAnsi="Arial" w:eastAsia="等线" w:cs="Arial"/>
          <w:b/>
          <w:sz w:val="36"/>
        </w:rPr>
        <w:t>四、碳中和与碳抵消体系</w:t>
      </w:r>
      <w:bookmarkEnd w:id="14"/>
    </w:p>
    <w:p w14:paraId="7533030B">
      <w:pPr>
        <w:spacing w:before="320" w:after="120" w:line="288" w:lineRule="auto"/>
        <w:ind w:left="0"/>
        <w:jc w:val="left"/>
        <w:outlineLvl w:val="1"/>
      </w:pPr>
      <w:bookmarkStart w:id="15" w:name="heading_15"/>
      <w:r>
        <w:rPr>
          <w:rFonts w:ascii="Arial" w:hAnsi="Arial" w:eastAsia="等线" w:cs="Arial"/>
          <w:b/>
          <w:sz w:val="32"/>
        </w:rPr>
        <w:t>1. 碳中和（碳净零排放）</w:t>
      </w:r>
      <w:bookmarkEnd w:id="15"/>
    </w:p>
    <w:p w14:paraId="4D215782">
      <w:pPr>
        <w:spacing w:before="120" w:after="120" w:line="288" w:lineRule="auto"/>
        <w:ind w:left="0"/>
        <w:jc w:val="left"/>
      </w:pPr>
      <w:r>
        <w:rPr>
          <w:rFonts w:ascii="Arial" w:hAnsi="Arial" w:eastAsia="等线" w:cs="Arial"/>
          <w:sz w:val="22"/>
        </w:rPr>
        <w:t>指国家、企业、产品、个人在固定周期内产生的全部温室气体排放总量，通过节能减排、产业升级减少增量排放，同时通过生态固碳、碳汇、碳信用抵消剩余排放，最终实现</w:t>
      </w:r>
      <w:r>
        <w:rPr>
          <w:rFonts w:ascii="Arial" w:hAnsi="Arial" w:eastAsia="等线" w:cs="Arial"/>
          <w:b/>
          <w:sz w:val="22"/>
        </w:rPr>
        <w:t>排放总量=清除总量</w:t>
      </w:r>
      <w:r>
        <w:rPr>
          <w:rFonts w:ascii="Arial" w:hAnsi="Arial" w:eastAsia="等线" w:cs="Arial"/>
          <w:sz w:val="22"/>
        </w:rPr>
        <w:t>的净零排放状态。可分为国家碳中和、企业碳中和、产品碳中和、活动碳中和四大类型。</w:t>
      </w:r>
    </w:p>
    <w:p w14:paraId="19CC46F0">
      <w:pPr>
        <w:spacing w:before="320" w:after="120" w:line="288" w:lineRule="auto"/>
        <w:ind w:left="0"/>
        <w:jc w:val="left"/>
        <w:outlineLvl w:val="1"/>
      </w:pPr>
      <w:bookmarkStart w:id="16" w:name="heading_16"/>
      <w:r>
        <w:rPr>
          <w:rFonts w:ascii="Arial" w:hAnsi="Arial" w:eastAsia="等线" w:cs="Arial"/>
          <w:b/>
          <w:sz w:val="32"/>
        </w:rPr>
        <w:t>2. 碳汇</w:t>
      </w:r>
      <w:bookmarkEnd w:id="16"/>
    </w:p>
    <w:p w14:paraId="4BAFEDBF">
      <w:pPr>
        <w:spacing w:before="120" w:after="120" w:line="288" w:lineRule="auto"/>
        <w:ind w:left="0"/>
        <w:jc w:val="left"/>
      </w:pPr>
      <w:r>
        <w:rPr>
          <w:rFonts w:ascii="Arial" w:hAnsi="Arial" w:eastAsia="等线" w:cs="Arial"/>
          <w:sz w:val="22"/>
        </w:rPr>
        <w:t>指自然生态系统吸收、固定大气中二氧化碳的能力与总量，是最主要的自然碳抵消方式。核心类型包含林业碳汇、草原碳汇、湿地碳汇、土壤碳汇等，其中林业碳汇应用最广泛，可通过造林、营林、生态修复等人工措施提升碳汇量，可转化为合规碳资产。</w:t>
      </w:r>
    </w:p>
    <w:p w14:paraId="19170A7B">
      <w:pPr>
        <w:spacing w:before="320" w:after="120" w:line="288" w:lineRule="auto"/>
        <w:ind w:left="0"/>
        <w:jc w:val="left"/>
        <w:outlineLvl w:val="1"/>
      </w:pPr>
      <w:bookmarkStart w:id="17" w:name="heading_17"/>
      <w:r>
        <w:rPr>
          <w:rFonts w:ascii="Arial" w:hAnsi="Arial" w:eastAsia="等线" w:cs="Arial"/>
          <w:b/>
          <w:sz w:val="32"/>
        </w:rPr>
        <w:t>3. 碳抵消/碳信用</w:t>
      </w:r>
      <w:bookmarkEnd w:id="17"/>
    </w:p>
    <w:p w14:paraId="69A4CB49">
      <w:pPr>
        <w:spacing w:before="120" w:after="120" w:line="288" w:lineRule="auto"/>
        <w:ind w:left="0"/>
        <w:jc w:val="left"/>
      </w:pPr>
      <w:r>
        <w:rPr>
          <w:rFonts w:ascii="Arial" w:hAnsi="Arial" w:eastAsia="等线" w:cs="Arial"/>
          <w:sz w:val="22"/>
        </w:rPr>
        <w:t>针对无法通过技术减排消除的碳排放，通过购买合规碳减排项目额度实现排放量抵消的行为。碳信用是碳减排项目产生的可交易额度，来源包括林业碳汇、光伏风电、节能改造、垃圾资源化利用等合规减排项目，是企业、活动实现碳中和的重要补充手段。</w:t>
      </w:r>
    </w:p>
    <w:p w14:paraId="57A75134">
      <w:pPr>
        <w:spacing w:before="320" w:after="120" w:line="288" w:lineRule="auto"/>
        <w:ind w:left="0"/>
        <w:jc w:val="left"/>
        <w:outlineLvl w:val="1"/>
      </w:pPr>
      <w:bookmarkStart w:id="18" w:name="heading_18"/>
      <w:r>
        <w:rPr>
          <w:rFonts w:ascii="Arial" w:hAnsi="Arial" w:eastAsia="等线" w:cs="Arial"/>
          <w:b/>
          <w:sz w:val="32"/>
        </w:rPr>
        <w:t>4. CCUS（碳捕集、利用与封存）</w:t>
      </w:r>
      <w:bookmarkEnd w:id="18"/>
    </w:p>
    <w:p w14:paraId="46A6D100">
      <w:pPr>
        <w:spacing w:before="120" w:after="120" w:line="288" w:lineRule="auto"/>
        <w:ind w:left="0"/>
        <w:jc w:val="left"/>
      </w:pPr>
      <w:r>
        <w:rPr>
          <w:rFonts w:ascii="Arial" w:hAnsi="Arial" w:eastAsia="等线" w:cs="Arial"/>
          <w:sz w:val="22"/>
        </w:rPr>
        <w:t>工业端硬核减碳技术，指将工业生产、能源燃烧产生的二氧化碳，通过技术手段捕捉、分离，再进行资源化利用或深部地质封存，避免其进入大气。是高耗能、高排放行业实现深度减排、兜底碳中和的核心技术路径。</w:t>
      </w:r>
    </w:p>
    <w:p w14:paraId="7B62FB97">
      <w:pPr>
        <w:spacing w:before="380" w:after="140" w:line="288" w:lineRule="auto"/>
        <w:ind w:left="0"/>
        <w:jc w:val="left"/>
        <w:outlineLvl w:val="0"/>
      </w:pPr>
      <w:bookmarkStart w:id="19" w:name="heading_19"/>
      <w:r>
        <w:rPr>
          <w:rFonts w:ascii="Arial" w:hAnsi="Arial" w:eastAsia="等线" w:cs="Arial"/>
          <w:b/>
          <w:sz w:val="36"/>
        </w:rPr>
        <w:t>五、碳足迹相关概念</w:t>
      </w:r>
      <w:bookmarkEnd w:id="19"/>
    </w:p>
    <w:p w14:paraId="60125531">
      <w:pPr>
        <w:spacing w:before="320" w:after="120" w:line="288" w:lineRule="auto"/>
        <w:ind w:left="0"/>
        <w:jc w:val="left"/>
        <w:outlineLvl w:val="1"/>
      </w:pPr>
      <w:bookmarkStart w:id="20" w:name="heading_20"/>
      <w:r>
        <w:rPr>
          <w:rFonts w:ascii="Arial" w:hAnsi="Arial" w:eastAsia="等线" w:cs="Arial"/>
          <w:b/>
          <w:sz w:val="32"/>
        </w:rPr>
        <w:t>1. 碳足迹</w:t>
      </w:r>
      <w:bookmarkEnd w:id="20"/>
    </w:p>
    <w:p w14:paraId="225FD862">
      <w:pPr>
        <w:spacing w:before="120" w:after="120" w:line="288" w:lineRule="auto"/>
        <w:ind w:left="0"/>
        <w:jc w:val="left"/>
      </w:pPr>
      <w:r>
        <w:rPr>
          <w:rFonts w:ascii="Arial" w:hAnsi="Arial" w:eastAsia="等线" w:cs="Arial"/>
          <w:sz w:val="22"/>
        </w:rPr>
        <w:t>又称“碳排放账本”，指产品、服务、活动从全生命周期产生的全部温室气体排放总量，以CO₂e为单位统计。核心核心逻辑是全生命周期溯源，覆盖从原料开采、生产加工、运输流通、使用消耗到废弃回收的全流程，是绿色产品认证、低碳供应链、出口碳壁垒应对的核心依据。</w:t>
      </w:r>
    </w:p>
    <w:p w14:paraId="741E839A">
      <w:pPr>
        <w:spacing w:before="320" w:after="120" w:line="288" w:lineRule="auto"/>
        <w:ind w:left="0"/>
        <w:jc w:val="left"/>
        <w:outlineLvl w:val="1"/>
      </w:pPr>
      <w:bookmarkStart w:id="21" w:name="heading_21"/>
      <w:r>
        <w:rPr>
          <w:rFonts w:ascii="Arial" w:hAnsi="Arial" w:eastAsia="等线" w:cs="Arial"/>
          <w:b/>
          <w:sz w:val="32"/>
        </w:rPr>
        <w:t>2. 全生命周期核算（LCA）</w:t>
      </w:r>
      <w:bookmarkEnd w:id="21"/>
    </w:p>
    <w:p w14:paraId="02B4472A">
      <w:pPr>
        <w:spacing w:before="120" w:after="120" w:line="288" w:lineRule="auto"/>
        <w:ind w:left="0"/>
        <w:jc w:val="left"/>
      </w:pPr>
      <w:r>
        <w:rPr>
          <w:rFonts w:ascii="Arial" w:hAnsi="Arial" w:eastAsia="等线" w:cs="Arial"/>
          <w:sz w:val="22"/>
        </w:rPr>
        <w:t>碳足迹核算的标准方法，通过量化产品全生命周期各环节资源消耗、能源消耗、污染物排放，精准统计整体碳足迹，杜绝局部减排、全局增排的问题，是国际通用的低碳评价标准。</w:t>
      </w:r>
    </w:p>
    <w:p w14:paraId="69CBFEF8">
      <w:pPr>
        <w:spacing w:before="380" w:after="140" w:line="288" w:lineRule="auto"/>
        <w:ind w:left="0"/>
        <w:jc w:val="left"/>
        <w:outlineLvl w:val="0"/>
      </w:pPr>
      <w:bookmarkStart w:id="22" w:name="heading_22"/>
      <w:r>
        <w:rPr>
          <w:rFonts w:ascii="Arial" w:hAnsi="Arial" w:eastAsia="等线" w:cs="Arial"/>
          <w:b/>
          <w:sz w:val="36"/>
        </w:rPr>
        <w:t>六、碳市场与碳资产核心概念</w:t>
      </w:r>
      <w:bookmarkEnd w:id="22"/>
    </w:p>
    <w:p w14:paraId="392C4FED">
      <w:pPr>
        <w:spacing w:before="320" w:after="120" w:line="288" w:lineRule="auto"/>
        <w:ind w:left="0"/>
        <w:jc w:val="left"/>
        <w:outlineLvl w:val="1"/>
      </w:pPr>
      <w:bookmarkStart w:id="23" w:name="heading_23"/>
      <w:r>
        <w:rPr>
          <w:rFonts w:ascii="Arial" w:hAnsi="Arial" w:eastAsia="等线" w:cs="Arial"/>
          <w:b/>
          <w:sz w:val="32"/>
        </w:rPr>
        <w:t>1. 碳排放权</w:t>
      </w:r>
      <w:bookmarkEnd w:id="23"/>
    </w:p>
    <w:p w14:paraId="622AD4CF">
      <w:pPr>
        <w:spacing w:before="120" w:after="120" w:line="288" w:lineRule="auto"/>
        <w:ind w:left="0"/>
        <w:jc w:val="left"/>
      </w:pPr>
      <w:r>
        <w:rPr>
          <w:rFonts w:ascii="Arial" w:hAnsi="Arial" w:eastAsia="等线" w:cs="Arial"/>
          <w:sz w:val="22"/>
        </w:rPr>
        <w:t>政府依法分配给重点排放单位的温室气体排放额度，本质是</w:t>
      </w:r>
      <w:r>
        <w:rPr>
          <w:rFonts w:ascii="Arial" w:hAnsi="Arial" w:eastAsia="等线" w:cs="Arial"/>
          <w:b/>
          <w:sz w:val="22"/>
        </w:rPr>
        <w:t>合法排放的权利</w:t>
      </w:r>
      <w:r>
        <w:rPr>
          <w:rFonts w:ascii="Arial" w:hAnsi="Arial" w:eastAsia="等线" w:cs="Arial"/>
          <w:sz w:val="22"/>
        </w:rPr>
        <w:t>，属于可交易、可流转的稀缺环境资产。企业年度排放量不得超过所持碳排放权配额，超额需购买，富余可出售变现。</w:t>
      </w:r>
    </w:p>
    <w:p w14:paraId="1FD27181">
      <w:pPr>
        <w:spacing w:before="320" w:after="120" w:line="288" w:lineRule="auto"/>
        <w:ind w:left="0"/>
        <w:jc w:val="left"/>
        <w:outlineLvl w:val="1"/>
      </w:pPr>
      <w:bookmarkStart w:id="24" w:name="heading_24"/>
      <w:r>
        <w:rPr>
          <w:rFonts w:ascii="Arial" w:hAnsi="Arial" w:eastAsia="等线" w:cs="Arial"/>
          <w:b/>
          <w:sz w:val="32"/>
        </w:rPr>
        <w:t>2. 碳市场</w:t>
      </w:r>
      <w:bookmarkEnd w:id="24"/>
    </w:p>
    <w:p w14:paraId="548E49EA">
      <w:pPr>
        <w:spacing w:before="120" w:after="120" w:line="288" w:lineRule="auto"/>
        <w:ind w:left="0"/>
        <w:jc w:val="left"/>
      </w:pPr>
      <w:r>
        <w:rPr>
          <w:rFonts w:ascii="Arial" w:hAnsi="Arial" w:eastAsia="等线" w:cs="Arial"/>
          <w:sz w:val="22"/>
        </w:rPr>
        <w:t>以碳排放权交易为核心的市场化减排机制，通过“总量控制、交易履约”模式倒逼企业减排。国内分为</w:t>
      </w:r>
      <w:r>
        <w:rPr>
          <w:rFonts w:ascii="Arial" w:hAnsi="Arial" w:eastAsia="等线" w:cs="Arial"/>
          <w:b/>
          <w:sz w:val="22"/>
        </w:rPr>
        <w:t>全国碳市场</w:t>
      </w:r>
      <w:r>
        <w:rPr>
          <w:rFonts w:ascii="Arial" w:hAnsi="Arial" w:eastAsia="等线" w:cs="Arial"/>
          <w:sz w:val="22"/>
        </w:rPr>
        <w:t>（覆盖电力、钢铁、水泥等重点行业）和</w:t>
      </w:r>
      <w:r>
        <w:rPr>
          <w:rFonts w:ascii="Arial" w:hAnsi="Arial" w:eastAsia="等线" w:cs="Arial"/>
          <w:b/>
          <w:sz w:val="22"/>
        </w:rPr>
        <w:t>地方试点碳市场</w:t>
      </w:r>
      <w:r>
        <w:rPr>
          <w:rFonts w:ascii="Arial" w:hAnsi="Arial" w:eastAsia="等线" w:cs="Arial"/>
          <w:sz w:val="22"/>
        </w:rPr>
        <w:t>（覆盖更多中小行业企业），是国家双碳管控的核心市场化工具。</w:t>
      </w:r>
    </w:p>
    <w:p w14:paraId="56DAF173">
      <w:pPr>
        <w:spacing w:before="320" w:after="120" w:line="288" w:lineRule="auto"/>
        <w:ind w:left="0"/>
        <w:jc w:val="left"/>
        <w:outlineLvl w:val="1"/>
      </w:pPr>
      <w:bookmarkStart w:id="25" w:name="heading_25"/>
      <w:r>
        <w:rPr>
          <w:rFonts w:ascii="Arial" w:hAnsi="Arial" w:eastAsia="等线" w:cs="Arial"/>
          <w:b/>
          <w:sz w:val="32"/>
        </w:rPr>
        <w:t>3. 碳配额（CEA）</w:t>
      </w:r>
      <w:bookmarkEnd w:id="25"/>
    </w:p>
    <w:p w14:paraId="1B837997">
      <w:pPr>
        <w:spacing w:before="120" w:after="120" w:line="288" w:lineRule="auto"/>
        <w:ind w:left="0"/>
        <w:jc w:val="left"/>
      </w:pPr>
      <w:r>
        <w:rPr>
          <w:rFonts w:ascii="Arial" w:hAnsi="Arial" w:eastAsia="等线" w:cs="Arial"/>
          <w:sz w:val="22"/>
        </w:rPr>
        <w:t>全国碳市场发放的官方碳排放配额，由生态环境部门按年度、按行业基准免费分配或少量竞价分配，是重点控排企业年度履约的核心凭证。</w:t>
      </w:r>
    </w:p>
    <w:p w14:paraId="6F75C8BF">
      <w:pPr>
        <w:spacing w:before="320" w:after="120" w:line="288" w:lineRule="auto"/>
        <w:ind w:left="0"/>
        <w:jc w:val="left"/>
        <w:outlineLvl w:val="1"/>
      </w:pPr>
      <w:bookmarkStart w:id="26" w:name="heading_26"/>
      <w:r>
        <w:rPr>
          <w:rFonts w:ascii="Arial" w:hAnsi="Arial" w:eastAsia="等线" w:cs="Arial"/>
          <w:b/>
          <w:sz w:val="32"/>
        </w:rPr>
        <w:t>4. 国家核证自愿减排量（CCER）</w:t>
      </w:r>
      <w:bookmarkEnd w:id="26"/>
    </w:p>
    <w:p w14:paraId="7BF9424D">
      <w:pPr>
        <w:spacing w:before="120" w:after="120" w:line="288" w:lineRule="auto"/>
        <w:ind w:left="0"/>
        <w:jc w:val="left"/>
      </w:pPr>
      <w:r>
        <w:rPr>
          <w:rFonts w:ascii="Arial" w:hAnsi="Arial" w:eastAsia="等线" w:cs="Arial"/>
          <w:sz w:val="22"/>
        </w:rPr>
        <w:t>国内合规自愿减排项目产生的减排额度，由国家主管部门核证备案。控排企业可使用CCER抵扣部分碳排放配额履约，是林业、新能源、节能项目转化碳资产的核心渠道，补充碳市场减排体系。</w:t>
      </w:r>
    </w:p>
    <w:p w14:paraId="1863C0B1">
      <w:pPr>
        <w:spacing w:before="380" w:after="140" w:line="288" w:lineRule="auto"/>
        <w:ind w:left="0"/>
        <w:jc w:val="left"/>
        <w:outlineLvl w:val="0"/>
      </w:pPr>
      <w:bookmarkStart w:id="27" w:name="heading_27"/>
      <w:r>
        <w:rPr>
          <w:rFonts w:ascii="Arial" w:hAnsi="Arial" w:eastAsia="等线" w:cs="Arial"/>
          <w:b/>
          <w:sz w:val="36"/>
        </w:rPr>
        <w:t>七、常见衍生关键概念</w:t>
      </w:r>
      <w:bookmarkEnd w:id="27"/>
    </w:p>
    <w:p w14:paraId="6324CB75">
      <w:pPr>
        <w:spacing w:before="320" w:after="120" w:line="288" w:lineRule="auto"/>
        <w:ind w:left="0"/>
        <w:jc w:val="left"/>
        <w:outlineLvl w:val="1"/>
      </w:pPr>
      <w:bookmarkStart w:id="28" w:name="heading_28"/>
      <w:r>
        <w:rPr>
          <w:rFonts w:ascii="Arial" w:hAnsi="Arial" w:eastAsia="等线" w:cs="Arial"/>
          <w:b/>
          <w:sz w:val="32"/>
        </w:rPr>
        <w:t>1. 碳达峰</w:t>
      </w:r>
      <w:bookmarkEnd w:id="28"/>
    </w:p>
    <w:p w14:paraId="1A8283C2">
      <w:pPr>
        <w:spacing w:before="120" w:after="120" w:line="288" w:lineRule="auto"/>
        <w:ind w:left="0"/>
        <w:jc w:val="left"/>
      </w:pPr>
      <w:r>
        <w:rPr>
          <w:rFonts w:ascii="Arial" w:hAnsi="Arial" w:eastAsia="等线" w:cs="Arial"/>
          <w:sz w:val="22"/>
        </w:rPr>
        <w:t>指区域、行业、企业的碳排放总量达到历史最高峰值后，进入平稳下降的拐点状态，核心是</w:t>
      </w:r>
      <w:r>
        <w:rPr>
          <w:rFonts w:ascii="Arial" w:hAnsi="Arial" w:eastAsia="等线" w:cs="Arial"/>
          <w:b/>
          <w:sz w:val="22"/>
        </w:rPr>
        <w:t>不再新增排放增量</w:t>
      </w:r>
      <w:r>
        <w:rPr>
          <w:rFonts w:ascii="Arial" w:hAnsi="Arial" w:eastAsia="等线" w:cs="Arial"/>
          <w:sz w:val="22"/>
        </w:rPr>
        <w:t>。碳达峰是碳中和的前置基础，我国目标为2030年前实现碳达峰，2060年前实现碳中和。</w:t>
      </w:r>
    </w:p>
    <w:p w14:paraId="50B5054E">
      <w:pPr>
        <w:spacing w:before="320" w:after="120" w:line="288" w:lineRule="auto"/>
        <w:ind w:left="0"/>
        <w:jc w:val="left"/>
        <w:outlineLvl w:val="1"/>
      </w:pPr>
      <w:bookmarkStart w:id="29" w:name="heading_29"/>
      <w:r>
        <w:rPr>
          <w:rFonts w:ascii="Arial" w:hAnsi="Arial" w:eastAsia="等线" w:cs="Arial"/>
          <w:b/>
          <w:sz w:val="32"/>
        </w:rPr>
        <w:t>2. 低碳转型</w:t>
      </w:r>
      <w:bookmarkEnd w:id="29"/>
    </w:p>
    <w:p w14:paraId="68034629">
      <w:pPr>
        <w:spacing w:before="120" w:after="120" w:line="288" w:lineRule="auto"/>
        <w:ind w:left="0"/>
        <w:jc w:val="left"/>
      </w:pPr>
      <w:r>
        <w:rPr>
          <w:rFonts w:ascii="Arial" w:hAnsi="Arial" w:eastAsia="等线" w:cs="Arial"/>
          <w:sz w:val="22"/>
        </w:rPr>
        <w:t>通过能源结构调整、产业升级、技术改造、管理优化，降低生产经营全流程碳排放强度与绝对排放量的系统性转型过程，核心是摆脱高化石能源依赖，构建绿色低碳发展模式。</w:t>
      </w:r>
    </w:p>
    <w:p w14:paraId="12082FC4">
      <w:pPr>
        <w:spacing w:before="320" w:after="120" w:line="288" w:lineRule="auto"/>
        <w:ind w:left="0"/>
        <w:jc w:val="left"/>
        <w:outlineLvl w:val="1"/>
      </w:pPr>
      <w:bookmarkStart w:id="30" w:name="heading_30"/>
      <w:r>
        <w:rPr>
          <w:rFonts w:ascii="Arial" w:hAnsi="Arial" w:eastAsia="等线" w:cs="Arial"/>
          <w:b/>
          <w:sz w:val="32"/>
        </w:rPr>
        <w:t>3. 碳壁垒（碳关税）</w:t>
      </w:r>
      <w:bookmarkEnd w:id="30"/>
    </w:p>
    <w:p w14:paraId="35B02EC5">
      <w:pPr>
        <w:spacing w:before="120" w:after="120" w:line="288" w:lineRule="auto"/>
        <w:ind w:left="0"/>
        <w:jc w:val="left"/>
      </w:pPr>
      <w:r>
        <w:rPr>
          <w:rFonts w:ascii="Arial" w:hAnsi="Arial" w:eastAsia="等线" w:cs="Arial"/>
          <w:sz w:val="22"/>
        </w:rPr>
        <w:t>国际贸易中的低碳准入规则，以欧盟CBAM为代表，对高耗能进口产品核算碳排放、征收碳关税，倒逼出口企业降低产品碳足迹，是当前外贸企业低碳合规的重要管控要求。</w:t>
      </w:r>
    </w:p>
    <w:p w14:paraId="73C6BE4D">
      <w:pPr>
        <w:spacing w:before="320" w:after="120" w:line="288" w:lineRule="auto"/>
        <w:ind w:left="0"/>
        <w:jc w:val="left"/>
        <w:outlineLvl w:val="1"/>
      </w:pPr>
      <w:bookmarkStart w:id="31" w:name="heading_31"/>
      <w:r>
        <w:rPr>
          <w:rFonts w:ascii="Arial" w:hAnsi="Arial" w:eastAsia="等线" w:cs="Arial"/>
          <w:b/>
          <w:sz w:val="32"/>
        </w:rPr>
        <w:t>4.  Scope1/2/3 简写释义</w:t>
      </w:r>
      <w:bookmarkEnd w:id="31"/>
    </w:p>
    <w:p w14:paraId="60474D61">
      <w:pPr>
        <w:spacing w:before="120" w:after="120" w:line="288" w:lineRule="auto"/>
        <w:ind w:left="0"/>
        <w:jc w:val="left"/>
      </w:pPr>
      <w:r>
        <w:rPr>
          <w:rFonts w:ascii="Arial" w:hAnsi="Arial" w:eastAsia="等线" w:cs="Arial"/>
          <w:sz w:val="22"/>
        </w:rPr>
        <w:t>行业通用简写：S1=范围一直接排放、S2=范围二外购能源排放、S3=范围三价值链间接排放，是企业碳披露、ESG报告、国际供应链审核的通用标注方式。</w:t>
      </w:r>
    </w:p>
    <w:p w14:paraId="292969F5">
      <w:pPr>
        <w:spacing w:before="380" w:after="140" w:line="288" w:lineRule="auto"/>
        <w:ind w:left="0"/>
        <w:jc w:val="left"/>
        <w:outlineLvl w:val="0"/>
      </w:pPr>
      <w:bookmarkStart w:id="32" w:name="heading_32"/>
      <w:r>
        <w:rPr>
          <w:rFonts w:ascii="Arial" w:hAnsi="Arial" w:eastAsia="等线" w:cs="Arial"/>
          <w:b/>
          <w:sz w:val="36"/>
        </w:rPr>
        <w:t>八、概念总结（核心逻辑）</w:t>
      </w:r>
      <w:bookmarkEnd w:id="32"/>
    </w:p>
    <w:p w14:paraId="45A2D79C">
      <w:pPr>
        <w:spacing w:before="120" w:after="120" w:line="288" w:lineRule="auto"/>
        <w:ind w:left="0"/>
        <w:jc w:val="left"/>
      </w:pPr>
      <w:r>
        <w:rPr>
          <w:rFonts w:ascii="Arial" w:hAnsi="Arial" w:eastAsia="等线" w:cs="Arial"/>
          <w:sz w:val="22"/>
        </w:rPr>
        <w:t>1. 基础层：温室气体统一以CO₂e计量，所有碳排放核算均依托因子、GWP系数完成标准化换算；</w:t>
      </w:r>
    </w:p>
    <w:p w14:paraId="6E8E7E88">
      <w:pPr>
        <w:spacing w:before="120" w:after="120" w:line="288" w:lineRule="auto"/>
        <w:ind w:left="0"/>
        <w:jc w:val="left"/>
      </w:pPr>
      <w:r>
        <w:rPr>
          <w:rFonts w:ascii="Arial" w:hAnsi="Arial" w:eastAsia="等线" w:cs="Arial"/>
          <w:sz w:val="22"/>
        </w:rPr>
        <w:t>2. 核算层：以S1/S2/S3三范围为边界，搭配MRV体系，保障碳数据合规精准；</w:t>
      </w:r>
    </w:p>
    <w:p w14:paraId="578B7828">
      <w:pPr>
        <w:spacing w:before="120" w:after="120" w:line="288" w:lineRule="auto"/>
        <w:ind w:left="0"/>
        <w:jc w:val="left"/>
      </w:pPr>
      <w:r>
        <w:rPr>
          <w:rFonts w:ascii="Arial" w:hAnsi="Arial" w:eastAsia="等线" w:cs="Arial"/>
          <w:sz w:val="22"/>
        </w:rPr>
        <w:t>3. 目标层：碳达峰为峰值拐点，碳中和为净零终极目标，依靠减排+固碳+抵消实现；</w:t>
      </w:r>
    </w:p>
    <w:p w14:paraId="4F335A99">
      <w:pPr>
        <w:spacing w:before="120" w:after="120" w:line="288" w:lineRule="auto"/>
        <w:ind w:left="0"/>
        <w:jc w:val="left"/>
      </w:pPr>
      <w:r>
        <w:rPr>
          <w:rFonts w:ascii="Arial" w:hAnsi="Arial" w:eastAsia="等线" w:cs="Arial"/>
          <w:sz w:val="22"/>
        </w:rPr>
        <w:t>4. 市场层：通过碳配额、CCER交易，以市场化手段实现全社会低成本减排；</w:t>
      </w:r>
    </w:p>
    <w:p w14:paraId="39032CF3">
      <w:pPr>
        <w:spacing w:before="120" w:after="120" w:line="288" w:lineRule="auto"/>
        <w:ind w:left="0"/>
        <w:jc w:val="left"/>
      </w:pPr>
      <w:r>
        <w:rPr>
          <w:rFonts w:ascii="Arial" w:hAnsi="Arial" w:eastAsia="等线" w:cs="Arial"/>
          <w:sz w:val="22"/>
        </w:rPr>
        <w:t>5. 应用层：碳足迹、LCA、碳强度指标，服务企业低碳转型、产品认证、国际贸易合规。</w:t>
      </w:r>
    </w:p>
    <w:sectPr>
      <w:footerReference r:id="rId3" w:type="default"/>
      <w:pgSz w:w="11905" w:h="1684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FB5B8">
    <w:r>
      <w:rPr>
        <w:sz w:val="21"/>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169C6FC9">
                <w:pPr>
                  <w:pStyle w:val="2"/>
                </w:pPr>
                <w:r>
                  <w:fldChar w:fldCharType="begin"/>
                </w:r>
                <w:r>
                  <w:instrText xml:space="preserve"> PAGE  \* MERGEFORMAT </w:instrText>
                </w:r>
                <w:r>
                  <w:fldChar w:fldCharType="separate"/>
                </w:r>
                <w:r>
                  <w:t>1</w:t>
                </w:r>
                <w: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hdrShapeDefaults>
    <o:shapelayout v:ext="edit">
      <o:idmap v:ext="edit" data="2"/>
    </o:shapelayout>
  </w:hdrShapeDefaults>
  <w:compat>
    <w:useFELayout/>
    <w:splitPgBreakAndParaMark/>
    <w:compatSetting w:name="compatibilityMode" w:uri="http://schemas.microsoft.com/office/word" w:val="12"/>
  </w:compat>
  <w:rsids>
    <w:rsidRoot w:val="00000000"/>
    <w:rsid w:val="552976FC"/>
    <w:rsid w:val="6BB137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Words>1462</Words>
  <Characters>1531</Characters>
  <TotalTime>2</TotalTime>
  <ScaleCrop>false</ScaleCrop>
  <LinksUpToDate>false</LinksUpToDate>
  <CharactersWithSpaces>1543</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2026-09-16T15:06:00Z</dcterms:created>
  <dc:creator>Apache POI</dc:creator>
  <cp:lastModifiedBy>史恩豪</cp:lastModifiedBy>
  <dcterms:modified xsi:type="dcterms:W3CDTF">2026-10-01T15:39:52Z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{"Label":"1","ContentProducer":"001191110102MACQD9K64010000","ProduceID":"7686149571593407458","ReservedCode1":"","ContentPropagator":"","PropagateID":"","ReservedCode2":""}</vt:lpwstr>
  </property>
  <property fmtid="{D5CDD505-2E9C-101B-9397-08002B2CF9AE}" pid="3" name="KSOTemplateDocerSaveRecord">
    <vt:lpwstr>eyJoZGlkIjoiYjk5ODM0YmMxOWJiYWQyNDU4MGIzYWRmYTA0ZmI5NDciLCJ1c2VySWQiOiIxMzEzNjg3ODE3In0=</vt:lpwstr>
  </property>
  <property fmtid="{D5CDD505-2E9C-101B-9397-08002B2CF9AE}" pid="4" name="KSOProductBuildVer">
    <vt:lpwstr>2052-12.1.0.29161</vt:lpwstr>
  </property>
  <property fmtid="{D5CDD505-2E9C-101B-9397-08002B2CF9AE}" pid="5" name="ICV">
    <vt:lpwstr>35B3F48BD3CF4059B6ED173822B1F27B_12</vt:lpwstr>
  </property>
</Properties>
</file>