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F021B">
      <w:pPr>
        <w:spacing w:line="300" w:lineRule="auto"/>
        <w:rPr>
          <w:rFonts w:ascii="Times New Roman" w:hAnsi="Times New Roman" w:eastAsia="微软雅黑" w:cs="Times New Roman"/>
          <w:b/>
          <w:bCs/>
          <w:sz w:val="28"/>
          <w:szCs w:val="28"/>
          <w14:ligatures w14:val="standardContextual"/>
        </w:rPr>
      </w:pPr>
      <w:r>
        <w:rPr>
          <w:rFonts w:hint="default" w:ascii="Times New Roman" w:hAnsi="Times New Roman" w:eastAsia="微软雅黑" w:cs="Times New Roman"/>
          <w:b/>
          <w:bCs/>
          <w:sz w:val="28"/>
          <w:szCs w:val="28"/>
          <w14:ligatures w14:val="standardContextual"/>
        </w:rPr>
        <w:t>补充信息</w:t>
      </w:r>
    </w:p>
    <w:p w14:paraId="6D108E90">
      <w:pPr>
        <w:pStyle w:val="12"/>
        <w:overflowPunct w:val="0"/>
        <w:adjustRightInd/>
        <w:spacing w:line="300" w:lineRule="auto"/>
        <w:jc w:val="center"/>
        <w:outlineLvl w:val="0"/>
        <w:rPr>
          <w:rFonts w:ascii="Times New Roman" w:cs="Times New Roman"/>
          <w:b/>
          <w:bCs/>
        </w:rPr>
      </w:pPr>
      <w:bookmarkStart w:id="0" w:name="OLE_LINK4"/>
      <w:bookmarkStart w:id="1" w:name="OLE_LINK8"/>
      <w:bookmarkStart w:id="2" w:name="OLE_LINK9"/>
      <w:r>
        <w:rPr>
          <w:rFonts w:hint="default" w:ascii="Times New Roman" w:cs="Times New Roman"/>
          <w:b/>
          <w:bCs/>
          <w:sz w:val="36"/>
          <w:szCs w:val="36"/>
        </w:rPr>
        <w:t>未来气候情景下青藏高原风光发电潜力的时空演变与风险评估</w:t>
      </w:r>
      <w:bookmarkEnd w:id="0"/>
    </w:p>
    <w:p w14:paraId="2F3A1277">
      <w:pPr>
        <w:pStyle w:val="12"/>
        <w:overflowPunct w:val="0"/>
        <w:adjustRightInd/>
        <w:spacing w:line="300" w:lineRule="auto"/>
        <w:jc w:val="center"/>
        <w:rPr>
          <w:rFonts w:ascii="Times New Roman" w:cs="Times New Roman"/>
          <w:b/>
          <w:bCs/>
        </w:rPr>
      </w:pPr>
      <w:bookmarkStart w:id="3" w:name="OLE_LINK10"/>
      <w:r>
        <w:rPr>
          <w:rFonts w:hint="default" w:ascii="Times New Roman" w:cs="Times New Roman"/>
          <w:b/>
          <w:bCs/>
        </w:rPr>
        <w:t>邱梦雨</w:t>
      </w:r>
      <w:r>
        <w:rPr>
          <w:rFonts w:ascii="Times New Roman" w:cs="Times New Roman"/>
          <w:b/>
          <w:bCs/>
          <w:vertAlign w:val="superscript"/>
        </w:rPr>
        <w:t>1</w:t>
      </w:r>
      <w:r>
        <w:rPr>
          <w:rFonts w:hint="default" w:ascii="Times New Roman" w:cs="Times New Roman"/>
          <w:b/>
          <w:bCs/>
        </w:rPr>
        <w:t>，张德帅</w:t>
      </w:r>
      <w:r>
        <w:rPr>
          <w:rFonts w:ascii="Times New Roman" w:cs="Times New Roman"/>
          <w:b/>
          <w:bCs/>
          <w:vertAlign w:val="superscript"/>
        </w:rPr>
        <w:t>1</w:t>
      </w:r>
      <w:r>
        <w:rPr>
          <w:rFonts w:hint="default" w:ascii="Times New Roman" w:cs="Times New Roman"/>
          <w:b/>
          <w:bCs/>
        </w:rPr>
        <w:t>，杜建会</w:t>
      </w:r>
      <w:r>
        <w:rPr>
          <w:rFonts w:ascii="Times New Roman" w:cs="Times New Roman"/>
          <w:b/>
          <w:bCs/>
          <w:vertAlign w:val="superscript"/>
        </w:rPr>
        <w:t>1,2 *</w:t>
      </w:r>
    </w:p>
    <w:p w14:paraId="61E32549">
      <w:pPr>
        <w:pStyle w:val="12"/>
        <w:overflowPunct w:val="0"/>
        <w:adjustRightInd/>
        <w:spacing w:line="300" w:lineRule="auto"/>
        <w:jc w:val="center"/>
        <w:rPr>
          <w:rFonts w:ascii="Times New Roman" w:cs="Times New Roman"/>
          <w:b/>
          <w:bCs/>
        </w:rPr>
      </w:pPr>
    </w:p>
    <w:p w14:paraId="621A5B5A">
      <w:pPr>
        <w:pStyle w:val="12"/>
        <w:overflowPunct w:val="0"/>
        <w:adjustRightInd/>
        <w:spacing w:line="300" w:lineRule="auto"/>
        <w:jc w:val="center"/>
        <w:rPr>
          <w:rFonts w:ascii="Times New Roman" w:cs="Times New Roman"/>
          <w:b/>
          <w:bCs/>
        </w:rPr>
      </w:pPr>
      <w:r>
        <w:rPr>
          <w:rFonts w:hint="default" w:ascii="Times New Roman" w:cs="Times New Roman"/>
          <w:b/>
          <w:bCs/>
        </w:rPr>
        <w:t>（1.</w:t>
      </w:r>
      <w:r>
        <w:rPr>
          <w:rFonts w:ascii="Times New Roman" w:cs="Times New Roman"/>
          <w:b/>
          <w:bCs/>
        </w:rPr>
        <w:t xml:space="preserve"> </w:t>
      </w:r>
      <w:r>
        <w:rPr>
          <w:rFonts w:hint="default" w:ascii="Times New Roman" w:cs="Times New Roman"/>
          <w:b/>
          <w:bCs/>
        </w:rPr>
        <w:t>中山大学地理科学与规划学院，广东</w:t>
      </w:r>
      <w:r>
        <w:rPr>
          <w:rFonts w:ascii="Times New Roman" w:cs="Times New Roman"/>
          <w:b/>
          <w:bCs/>
        </w:rPr>
        <w:t xml:space="preserve"> </w:t>
      </w:r>
      <w:r>
        <w:rPr>
          <w:rFonts w:hint="default" w:ascii="Times New Roman" w:cs="Times New Roman"/>
          <w:b/>
          <w:bCs/>
        </w:rPr>
        <w:t>广州</w:t>
      </w:r>
      <w:r>
        <w:rPr>
          <w:rFonts w:ascii="Times New Roman" w:cs="Times New Roman"/>
          <w:b/>
          <w:bCs/>
        </w:rPr>
        <w:t xml:space="preserve"> </w:t>
      </w:r>
      <w:r>
        <w:rPr>
          <w:rFonts w:hint="default" w:ascii="Times New Roman" w:cs="Times New Roman"/>
          <w:b/>
          <w:bCs/>
        </w:rPr>
        <w:t>510000；</w:t>
      </w:r>
    </w:p>
    <w:p w14:paraId="282F72E0">
      <w:pPr>
        <w:pStyle w:val="12"/>
        <w:overflowPunct w:val="0"/>
        <w:adjustRightInd/>
        <w:spacing w:line="300" w:lineRule="auto"/>
        <w:jc w:val="center"/>
        <w:rPr>
          <w:rFonts w:ascii="Times New Roman" w:cs="Times New Roman"/>
          <w:b/>
          <w:bCs/>
        </w:rPr>
      </w:pPr>
      <w:r>
        <w:rPr>
          <w:rFonts w:ascii="Times New Roman" w:cs="Times New Roman"/>
          <w:b/>
          <w:bCs/>
        </w:rPr>
        <w:t xml:space="preserve">2. </w:t>
      </w:r>
      <w:r>
        <w:rPr>
          <w:rFonts w:hint="default" w:ascii="Times New Roman" w:cs="Times New Roman"/>
          <w:b/>
          <w:bCs/>
        </w:rPr>
        <w:t>广东省粤北岩溶区碳水耦合野外科学观测研究站，广东</w:t>
      </w:r>
      <w:r>
        <w:rPr>
          <w:rFonts w:ascii="Times New Roman" w:cs="Times New Roman"/>
          <w:b/>
          <w:bCs/>
        </w:rPr>
        <w:t xml:space="preserve"> </w:t>
      </w:r>
      <w:r>
        <w:rPr>
          <w:rFonts w:hint="default" w:ascii="Times New Roman" w:cs="Times New Roman"/>
          <w:b/>
          <w:bCs/>
        </w:rPr>
        <w:t>广州</w:t>
      </w:r>
      <w:r>
        <w:rPr>
          <w:rFonts w:ascii="Times New Roman" w:cs="Times New Roman"/>
          <w:b/>
          <w:bCs/>
        </w:rPr>
        <w:t xml:space="preserve"> </w:t>
      </w:r>
      <w:r>
        <w:rPr>
          <w:rFonts w:hint="default" w:ascii="Times New Roman" w:cs="Times New Roman"/>
          <w:b/>
          <w:bCs/>
        </w:rPr>
        <w:t>510275）</w:t>
      </w:r>
    </w:p>
    <w:bookmarkEnd w:id="1"/>
    <w:bookmarkEnd w:id="2"/>
    <w:bookmarkEnd w:id="3"/>
    <w:p w14:paraId="3F56B36C">
      <w:pPr>
        <w:spacing w:after="120" w:line="360" w:lineRule="auto"/>
        <w:rPr>
          <w:rFonts w:ascii="Times New Roman" w:hAnsi="Times New Roman" w:cs="Times New Roman"/>
        </w:rPr>
      </w:pPr>
    </w:p>
    <w:p w14:paraId="7C2E0AFA">
      <w:pPr>
        <w:spacing w:after="120" w:line="360" w:lineRule="auto"/>
        <w:rPr>
          <w:rFonts w:ascii="Times New Roman" w:hAnsi="Times New Roman" w:cs="Times New Roman"/>
        </w:rPr>
      </w:pPr>
    </w:p>
    <w:p w14:paraId="0D68035F">
      <w:pPr>
        <w:spacing w:after="120" w:line="360" w:lineRule="auto"/>
        <w:rPr>
          <w:rFonts w:ascii="Times New Roman" w:hAnsi="Times New Roman" w:cs="Times New Roman"/>
        </w:rPr>
      </w:pPr>
    </w:p>
    <w:p w14:paraId="6A561260">
      <w:pPr>
        <w:spacing w:after="120" w:line="360" w:lineRule="auto"/>
        <w:rPr>
          <w:rFonts w:ascii="Times New Roman" w:hAnsi="Times New Roman" w:eastAsia="宋体" w:cs="Times New Roman"/>
          <w:szCs w:val="21"/>
        </w:rPr>
      </w:pPr>
      <w:r>
        <w:rPr>
          <w:rFonts w:hint="default" w:ascii="Times New Roman" w:hAnsi="Times New Roman" w:eastAsia="宋体" w:cs="Times New Roman"/>
          <w:szCs w:val="21"/>
        </w:rPr>
        <w:t>通讯作者：杜建会（</w:t>
      </w:r>
      <w:r>
        <w:rPr>
          <w:rFonts w:ascii="Times New Roman" w:hAnsi="Times New Roman" w:cs="Times New Roman"/>
        </w:rPr>
        <w:fldChar w:fldCharType="begin"/>
      </w:r>
      <w:r>
        <w:rPr>
          <w:rFonts w:ascii="Times New Roman" w:hAnsi="Times New Roman" w:cs="Times New Roman"/>
        </w:rPr>
        <w:instrText xml:space="preserve"> HYPERLINK "mailto:dujianh@mail.sysu.edu.cn" </w:instrText>
      </w:r>
      <w:r>
        <w:rPr>
          <w:rStyle w:val="21"/>
          <w:rFonts w:ascii="Times New Roman" w:hAnsi="Times New Roman" w:cs="Times New Roman"/>
        </w:rPr>
        <w:fldChar w:fldCharType="separate"/>
      </w:r>
      <w:r>
        <w:rPr>
          <w:rStyle w:val="24"/>
          <w:rFonts w:ascii="Times New Roman" w:hAnsi="Times New Roman" w:eastAsia="宋体" w:cs="Times New Roman"/>
          <w:color w:val="auto"/>
          <w:szCs w:val="21"/>
        </w:rPr>
        <w:t>dujianh@mail.sysu.edu.cn</w:t>
      </w:r>
      <w:r>
        <w:rPr>
          <w:rStyle w:val="24"/>
          <w:rFonts w:ascii="Times New Roman" w:hAnsi="Times New Roman" w:eastAsia="宋体" w:cs="Times New Roman"/>
          <w:color w:val="auto"/>
          <w:szCs w:val="21"/>
        </w:rPr>
        <w:fldChar w:fldCharType="end"/>
      </w:r>
      <w:r>
        <w:rPr>
          <w:rFonts w:hint="default" w:ascii="Times New Roman" w:hAnsi="Times New Roman" w:eastAsia="宋体" w:cs="Times New Roman"/>
          <w:szCs w:val="21"/>
        </w:rPr>
        <w:t>）</w:t>
      </w:r>
    </w:p>
    <w:p w14:paraId="030BD5EE">
      <w:pPr>
        <w:spacing w:after="120" w:line="360" w:lineRule="auto"/>
        <w:rPr>
          <w:rFonts w:ascii="Times New Roman" w:hAnsi="Times New Roman" w:eastAsia="宋体" w:cs="Times New Roman"/>
          <w:sz w:val="24"/>
          <w:szCs w:val="24"/>
        </w:rPr>
      </w:pPr>
    </w:p>
    <w:p w14:paraId="781AB1E5">
      <w:pPr>
        <w:spacing w:after="120" w:line="360" w:lineRule="auto"/>
        <w:rPr>
          <w:rFonts w:ascii="Times New Roman" w:hAnsi="Times New Roman" w:eastAsia="宋体" w:cs="Times New Roman"/>
          <w:sz w:val="24"/>
          <w:szCs w:val="24"/>
        </w:rPr>
      </w:pPr>
    </w:p>
    <w:p w14:paraId="3327A55E">
      <w:pPr>
        <w:spacing w:after="120" w:line="360" w:lineRule="auto"/>
        <w:rPr>
          <w:rFonts w:ascii="Times New Roman" w:hAnsi="Times New Roman" w:eastAsia="宋体" w:cs="Times New Roman"/>
          <w:sz w:val="24"/>
          <w:szCs w:val="24"/>
        </w:rPr>
      </w:pPr>
    </w:p>
    <w:p w14:paraId="12FFC56B">
      <w:pPr>
        <w:spacing w:after="120" w:line="360" w:lineRule="auto"/>
        <w:rPr>
          <w:rFonts w:ascii="Times New Roman" w:hAnsi="Times New Roman" w:eastAsia="宋体" w:cs="Times New Roman"/>
          <w:szCs w:val="21"/>
          <w14:ligatures w14:val="standardContextual"/>
        </w:rPr>
      </w:pPr>
      <w:r>
        <w:rPr>
          <w:rFonts w:hint="default" w:ascii="Times New Roman" w:hAnsi="Times New Roman" w:eastAsia="宋体" w:cs="Times New Roman"/>
          <w:szCs w:val="21"/>
          <w14:ligatures w14:val="standardContextual"/>
        </w:rPr>
        <w:t>本文件包括：</w:t>
      </w:r>
    </w:p>
    <w:p w14:paraId="79454B2C">
      <w:pPr>
        <w:spacing w:after="120" w:line="360" w:lineRule="auto"/>
        <w:ind w:firstLine="420"/>
        <w:rPr>
          <w:rFonts w:ascii="Times New Roman" w:hAnsi="Times New Roman" w:eastAsia="宋体" w:cs="Times New Roman"/>
          <w:szCs w:val="21"/>
          <w14:ligatures w14:val="standardContextual"/>
        </w:rPr>
      </w:pPr>
      <w:r>
        <w:rPr>
          <w:rFonts w:hint="default" w:ascii="Times New Roman" w:hAnsi="Times New Roman" w:eastAsia="宋体" w:cs="Times New Roman"/>
          <w:szCs w:val="21"/>
          <w14:ligatures w14:val="standardContextual"/>
        </w:rPr>
        <w:t>补充文本</w:t>
      </w:r>
    </w:p>
    <w:p w14:paraId="7261C4C0">
      <w:pPr>
        <w:spacing w:after="120" w:line="360" w:lineRule="auto"/>
        <w:ind w:firstLine="420"/>
        <w:rPr>
          <w:rFonts w:ascii="Times New Roman" w:hAnsi="Times New Roman" w:eastAsia="宋体" w:cs="Times New Roman"/>
          <w:szCs w:val="21"/>
          <w14:ligatures w14:val="standardContextual"/>
        </w:rPr>
      </w:pPr>
      <w:r>
        <w:rPr>
          <w:rFonts w:hint="default" w:ascii="Times New Roman" w:hAnsi="Times New Roman" w:eastAsia="宋体" w:cs="Times New Roman"/>
          <w:szCs w:val="21"/>
          <w14:ligatures w14:val="standardContextual"/>
        </w:rPr>
        <w:t>补充表格</w:t>
      </w:r>
      <w:r>
        <w:rPr>
          <w:rFonts w:ascii="Times New Roman" w:hAnsi="Times New Roman" w:eastAsia="宋体" w:cs="Times New Roman"/>
          <w:szCs w:val="21"/>
          <w14:ligatures w14:val="standardContextual"/>
        </w:rPr>
        <w:t>S1</w:t>
      </w:r>
      <w:r>
        <w:rPr>
          <w:rFonts w:hint="default" w:ascii="Times New Roman" w:hAnsi="Times New Roman" w:eastAsia="宋体" w:cs="Times New Roman"/>
          <w:szCs w:val="21"/>
          <w14:ligatures w14:val="standardContextual"/>
        </w:rPr>
        <w:t>–</w:t>
      </w:r>
      <w:r>
        <w:rPr>
          <w:rFonts w:ascii="Times New Roman" w:hAnsi="Times New Roman" w:eastAsia="宋体" w:cs="Times New Roman"/>
          <w:szCs w:val="21"/>
          <w14:ligatures w14:val="standardContextual"/>
        </w:rPr>
        <w:t>S5</w:t>
      </w:r>
    </w:p>
    <w:p w14:paraId="2BC5FE00">
      <w:pPr>
        <w:spacing w:after="120" w:line="360" w:lineRule="auto"/>
        <w:ind w:firstLine="420"/>
        <w:rPr>
          <w:rFonts w:ascii="Times New Roman" w:hAnsi="Times New Roman" w:eastAsia="宋体" w:cs="Times New Roman"/>
          <w:szCs w:val="21"/>
          <w14:ligatures w14:val="standardContextual"/>
        </w:rPr>
      </w:pPr>
      <w:r>
        <w:rPr>
          <w:rFonts w:hint="default" w:ascii="Times New Roman" w:hAnsi="Times New Roman" w:eastAsia="宋体" w:cs="Times New Roman"/>
          <w:szCs w:val="21"/>
          <w14:ligatures w14:val="standardContextual"/>
        </w:rPr>
        <w:t>补充图片</w:t>
      </w:r>
      <w:r>
        <w:rPr>
          <w:rFonts w:ascii="Times New Roman" w:hAnsi="Times New Roman" w:eastAsia="宋体" w:cs="Times New Roman"/>
          <w:szCs w:val="21"/>
          <w14:ligatures w14:val="standardContextual"/>
        </w:rPr>
        <w:t>S1</w:t>
      </w:r>
      <w:r>
        <w:rPr>
          <w:rFonts w:hint="default" w:ascii="Times New Roman" w:hAnsi="Times New Roman" w:eastAsia="宋体" w:cs="Times New Roman"/>
          <w:szCs w:val="21"/>
          <w14:ligatures w14:val="standardContextual"/>
        </w:rPr>
        <w:t>–</w:t>
      </w:r>
      <w:r>
        <w:rPr>
          <w:rFonts w:ascii="Times New Roman" w:hAnsi="Times New Roman" w:eastAsia="宋体" w:cs="Times New Roman"/>
          <w:szCs w:val="21"/>
          <w14:ligatures w14:val="standardContextual"/>
        </w:rPr>
        <w:t>S18</w:t>
      </w:r>
    </w:p>
    <w:p w14:paraId="65AE1067">
      <w:pPr>
        <w:spacing w:after="120" w:line="360" w:lineRule="auto"/>
        <w:ind w:firstLine="420"/>
        <w:rPr>
          <w:rFonts w:ascii="Times New Roman" w:hAnsi="Times New Roman" w:eastAsia="宋体" w:cs="Times New Roman"/>
          <w:szCs w:val="21"/>
          <w14:ligatures w14:val="standardContextual"/>
        </w:rPr>
      </w:pPr>
      <w:r>
        <w:rPr>
          <w:rFonts w:hint="default" w:ascii="Times New Roman" w:hAnsi="Times New Roman" w:eastAsia="宋体" w:cs="Times New Roman"/>
          <w:szCs w:val="21"/>
          <w14:ligatures w14:val="standardContextual"/>
        </w:rPr>
        <w:t>补充参考文献</w:t>
      </w:r>
    </w:p>
    <w:p w14:paraId="61B8276B">
      <w:pPr>
        <w:rPr>
          <w:rFonts w:ascii="Times New Roman" w:hAnsi="Times New Roman" w:eastAsia="宋体" w:cs="Times New Roman"/>
          <w:sz w:val="24"/>
          <w:szCs w:val="28"/>
        </w:rPr>
      </w:pPr>
    </w:p>
    <w:p w14:paraId="70CD1234">
      <w:pPr>
        <w:widowControl/>
        <w:spacing w:after="160" w:line="278" w:lineRule="auto"/>
        <w:jc w:val="left"/>
        <w:rPr>
          <w:rFonts w:ascii="Times New Roman" w:hAnsi="Times New Roman" w:eastAsia="宋体" w:cs="Times New Roman"/>
          <w:sz w:val="24"/>
          <w:szCs w:val="28"/>
        </w:rPr>
      </w:pPr>
      <w:r>
        <w:rPr>
          <w:rFonts w:ascii="Times New Roman" w:hAnsi="Times New Roman" w:eastAsia="宋体" w:cs="Times New Roman"/>
          <w:sz w:val="24"/>
          <w:szCs w:val="28"/>
        </w:rPr>
        <w:br w:type="page"/>
      </w:r>
    </w:p>
    <w:p w14:paraId="06404909">
      <w:pPr>
        <w:adjustRightInd w:val="0"/>
        <w:spacing w:line="300" w:lineRule="auto"/>
        <w:outlineLvl w:val="0"/>
        <w:rPr>
          <w:rFonts w:ascii="Times New Roman" w:hAnsi="Times New Roman" w:eastAsia="宋体" w:cs="Times New Roman"/>
          <w:sz w:val="28"/>
          <w:szCs w:val="28"/>
          <w14:ligatures w14:val="standardContextual"/>
        </w:rPr>
      </w:pPr>
      <w:bookmarkStart w:id="4" w:name="_Hlk233462060"/>
      <w:r>
        <w:rPr>
          <w:rFonts w:ascii="Times New Roman" w:hAnsi="Times New Roman" w:eastAsia="宋体" w:cs="Times New Roman"/>
          <w:sz w:val="28"/>
          <w:szCs w:val="28"/>
          <w14:ligatures w14:val="standardContextual"/>
        </w:rPr>
        <w:t xml:space="preserve">1 </w:t>
      </w:r>
      <w:r>
        <w:rPr>
          <w:rFonts w:hint="default" w:ascii="Times New Roman" w:hAnsi="Times New Roman" w:eastAsia="宋体" w:cs="Times New Roman"/>
          <w:sz w:val="28"/>
          <w:szCs w:val="28"/>
          <w14:ligatures w14:val="standardContextual"/>
        </w:rPr>
        <w:t>补充文本</w:t>
      </w:r>
    </w:p>
    <w:p w14:paraId="6B3E805C">
      <w:pPr>
        <w:widowControl/>
        <w:adjustRightInd w:val="0"/>
        <w:spacing w:after="120" w:line="300" w:lineRule="auto"/>
        <w:outlineLvl w:val="1"/>
        <w:rPr>
          <w:rFonts w:ascii="Times New Roman" w:hAnsi="Times New Roman" w:eastAsia="黑体" w:cs="Times New Roman"/>
          <w:b/>
          <w:bCs/>
          <w:color w:val="000000" w:themeColor="text1"/>
          <w:szCs w:val="21"/>
          <w14:textFill>
            <w14:solidFill>
              <w14:schemeClr w14:val="tx1"/>
            </w14:solidFill>
          </w14:textFill>
        </w:rPr>
      </w:pPr>
      <w:r>
        <w:rPr>
          <w:rFonts w:ascii="Times New Roman" w:hAnsi="Times New Roman" w:eastAsia="黑体" w:cs="Times New Roman"/>
          <w:b/>
          <w:bCs/>
          <w:color w:val="000000" w:themeColor="text1"/>
          <w:szCs w:val="21"/>
          <w14:textFill>
            <w14:solidFill>
              <w14:schemeClr w14:val="tx1"/>
            </w14:solidFill>
          </w14:textFill>
        </w:rPr>
        <w:t xml:space="preserve">1.1 </w:t>
      </w:r>
      <w:r>
        <w:rPr>
          <w:rFonts w:hint="default" w:ascii="Times New Roman" w:hAnsi="Times New Roman" w:eastAsia="黑体" w:cs="Times New Roman"/>
          <w:b/>
          <w:bCs/>
          <w:color w:val="000000" w:themeColor="text1"/>
          <w:szCs w:val="21"/>
          <w14:textFill>
            <w14:solidFill>
              <w14:schemeClr w14:val="tx1"/>
            </w14:solidFill>
          </w14:textFill>
        </w:rPr>
        <w:t>太阳能光伏发电潜力模型</w:t>
      </w:r>
    </w:p>
    <w:p w14:paraId="57CF3C10">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参考前人研究</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{"citationID":"a77JMG6j","properties":{"unsorted":true,"formattedCitation":"\\super [1,2]\\nosupersub{}","plainCitation":"[1,2]","noteIndex":0},"citationItems":[{"id":424,"uris":["http://zotero.org/users/18711966/items/3QS975JM"],"itemData":{"id":424,"type":"article-journal","abstract":"Construction of carbon-intensive energy infrastructure is well underway under the Belt &amp; Road Initiative (BRI), challenging the global climate target. Regionally abundant solar power could provide an alternative for electricity generation. An integrative spatial model was developed to evaluate the technical potential of solar photovoltaic power. The influence of impacting factors was quantified systematically on an hourly basis. Results suggest that the electricity potential for the BRI region reaches 448.9 PWh annually, 41.3 times the regional demand for electricity in 2016. Tapping 3.7% of the potential through deploying 7.8 TW capacity could satisfy the regional electricity demand projected for 2030, requiring an investment of approximately 11.2 trillion 2017 USD and a commitment in land area of 88,426 km2, approximately 0.9% of China’s total. Countries endowed with 70.7% of the overall potential consume only 30.1% of regional electricity. The imbalance underscores the advantage of regional cooperation and investments in interconnected grids.","container-title":"Joule","DOI":"10.1016/j.joule.2019.06.006","ISSN":"2542-4351","issue":"8","journalAbbreviation":"Joule","language":"en","page":"1895-1912","source":"ScienceDirect","title":"The potential of photovoltaics to power the belt and road initiative","volume":"3","author":[{"family":"Chen","given":"Shi"},{"family":"Lu","given":"Xi"},{"family":"Miao","given":"Yufei"},{"family":"Deng","given":"Yu"},{"family":"Nielsen","given":"Chris P."},{"family":"Elbot","given":"Noah"},{"family":"Wang","given":"Yuanchen"},{"family":"Logan","given":"Kathryn G."},{"family":"McElroy","given":"Michael B."},{"family":"Hao","given":"Jiming"}],"issued":{"date-parts":[["2019",8,21]]}}},{"id":769,"uris":["http://zotero.org/users/18711966/items/UYP4V2I3"],"itemData":{"id":769,"type":"article-journal","abstract":"Accurate assessment of the photovoltaic (PV) power generation potential in China is important for the reduction of carbon emission intensity and the achievement of the goal of Carbon Neutral. This study used a PV power generation potential assessment system based on Geographic Information Systems (GIS) and Multi-Criteria Decision Making (MCDM) methods to investigate the PV power generation potential in China. Firstly, the high spatial-temporal resolution and high-quality ERA5 data and related technical, geographic, and social factors were used to assess the theoretical power generation and land suitability of PV power generation. Then, the theoretical power generation and land suitability were comprehensively considered to evaluate the PV power generation potential of China in 2015. The results showed that the average suitability score of land in China is 0.1058 and the suitable land for PV power generation is about 993,000 km2 in 2015. The PV power generation potential of China is 131.942 PWh, which is approximately 23 times the electricity demand of China in 2015. The spatial distribution characteristics of PV power generation potential mainly showed a downward trend from northwest to southeast. Meanwhile, there were clear spatial dislocations between the PV power generation potential and the population distribution and electricity demand in China. In areas that accounting for about 75% of the PV potential, population and electricity demand only accounted for about 16% of the total population and total electricity demand in China. Besides, the degree of tapping PV potential in China is not high, and the installed capacity of most provinces in China accounted for no more than 1% of the capacity potential, especially in the PV potential-rich areas.","container-title":"Renewable and Sustainable Energy Reviews","DOI":"10.1016/j.rser.2021.111900","ISSN":"1364-0321","journalAbbreviation":"Renew. Sustain. Energy Rev.","language":"en","page":"111900","source":"ScienceDirect","title":"Potential assessment of photovoltaic power generation in China","volume":"154","author":[{"family":"Qiu","given":"Tianzhi"},{"family":"Wang","given":"Lunche"},{"family":"Lu","given":"Yunbo"},{"family":"Zhang","given":"Ming"},{"family":"Qin","given":"Wenmin"},{"family":"Wang","given":"Shaoqiang"},{"family":"Wang","given":"Lizhe"}],"issued":{"date-parts":[["2022",2,1]]}}}],"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[1,2]</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，本文基于光伏发电物理原理及其关键环境控制因子，构建了光伏发电潜力估算模型，模型构建主要包含以下环节：</w:t>
      </w:r>
    </w:p>
    <w:p w14:paraId="4440085B">
      <w:pPr>
        <w:pStyle w:val="39"/>
        <w:numPr>
          <w:ilvl w:val="0"/>
          <w:numId w:val="1"/>
        </w:numPr>
        <w:adjustRightInd w:val="0"/>
        <w:spacing w:after="120" w:line="300" w:lineRule="auto"/>
        <w:ind w:left="357" w:hanging="357"/>
        <w:contextualSpacing w:val="0"/>
        <w:outlineLvl w:val="2"/>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b/>
          <w:bCs/>
          <w:color w:val="000000" w:themeColor="text1"/>
          <w:szCs w:val="21"/>
          <w14:textFill>
            <w14:solidFill>
              <w14:schemeClr w14:val="tx1"/>
            </w14:solidFill>
          </w14:textFill>
        </w:rPr>
        <w:t>土地利用效率</w:t>
      </w:r>
    </w:p>
    <w:p w14:paraId="678D5D07">
      <w:pPr>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光伏系统在平坦开阔区域部署时效率最优。基于</w:t>
      </w:r>
      <w:r>
        <w:rPr>
          <w:rFonts w:ascii="Times New Roman" w:hAnsi="Times New Roman" w:eastAsia="宋体" w:cs="Times New Roman"/>
          <w:color w:val="000000" w:themeColor="text1"/>
          <w:szCs w:val="21"/>
          <w14:textFill>
            <w14:solidFill>
              <w14:schemeClr w14:val="tx1"/>
            </w14:solidFill>
          </w14:textFill>
        </w:rPr>
        <w:t>MODIS MCD12Q1.061</w:t>
      </w:r>
      <w:r>
        <w:rPr>
          <w:rFonts w:hint="default" w:ascii="Times New Roman" w:hAnsi="Times New Roman" w:eastAsia="宋体" w:cs="Times New Roman"/>
          <w:color w:val="000000" w:themeColor="text1"/>
          <w:szCs w:val="21"/>
          <w14:textFill>
            <w14:solidFill>
              <w14:schemeClr w14:val="tx1"/>
            </w14:solidFill>
          </w14:textFill>
        </w:rPr>
        <w:t>土地覆被数据</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{"citationID":"r0qLDOlu","properties":{"unsorted":false,"formattedCitation":"\\super [3]\\nosupersub{}","plainCitation":"[3]","noteIndex":0},"citationItems":[{"id":"UgoaWSgH/fvFswYo3","uris":["http://zotero.org/users/12506905/items/M79QCEHI"],"itemData":{"id":112,"type":"dataset","abstract":"MODIS/Terra Gross Primary Productivity Gap-Filled 8-Day L4 Global 500m SIN Grid V061","DOI":"10.5067/MODIS/MCD12Q1.061","language":"en","publisher":"NASA Land Processes Distributed Active Archive Center","source":"www.earthdata.nasa.gov","title":"MODIS/Terra+Aqua Land Cover Type Yearly L3 Global 500m SIN Grid V061.","URL":"https://www.earthdata.nasa.gov/data/catalog/lpcloud-mod17a2hgf-061","author":[{"family":"Friedl","given":"Mark"},{"family":"Damien","given":"Sulla-Menashe"}],"accessed":{"date-parts":[["2025",11,25]]},"issued":{"date-parts":[["2022"]]}}}],"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1"/>
          <w:vertAlign w:val="superscript"/>
        </w:rPr>
        <w:t>[3]</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kern w:val="0"/>
          <w:szCs w:val="21"/>
        </w:rPr>
        <w:t>（</w:t>
      </w:r>
      <w:r>
        <w:rPr>
          <w:rFonts w:hint="default" w:ascii="Times New Roman" w:hAnsi="Times New Roman" w:eastAsia="宋体" w:cs="Times New Roman"/>
          <w:color w:val="000000" w:themeColor="text1"/>
          <w:szCs w:val="21"/>
          <w14:textFill>
            <w14:solidFill>
              <w14:schemeClr w14:val="tx1"/>
            </w14:solidFill>
          </w14:textFill>
        </w:rPr>
        <w:t>表</w:t>
      </w:r>
      <w:r>
        <w:rPr>
          <w:rFonts w:ascii="Times New Roman" w:hAnsi="Times New Roman" w:eastAsia="宋体" w:cs="Times New Roman"/>
          <w:color w:val="000000" w:themeColor="text1"/>
          <w:szCs w:val="21"/>
          <w14:textFill>
            <w14:solidFill>
              <w14:schemeClr w14:val="tx1"/>
            </w14:solidFill>
          </w14:textFill>
        </w:rPr>
        <w:t>S1</w:t>
      </w:r>
      <w:r>
        <w:rPr>
          <w:rFonts w:hint="default" w:ascii="Times New Roman" w:hAnsi="Times New Roman" w:eastAsia="宋体" w:cs="Times New Roman"/>
          <w:color w:val="000000" w:themeColor="text1"/>
          <w:szCs w:val="21"/>
          <w14:textFill>
            <w14:solidFill>
              <w14:schemeClr w14:val="tx1"/>
            </w14:solidFill>
          </w14:textFill>
        </w:rPr>
        <w:t>），本研究将土地利用类型划分为七种，并为每类设定相应的土地利用效率。为匹配</w:t>
      </w:r>
      <w:r>
        <w:rPr>
          <w:rFonts w:ascii="Times New Roman" w:hAnsi="Times New Roman" w:eastAsia="宋体" w:cs="Times New Roman"/>
          <w:color w:val="000000" w:themeColor="text1"/>
          <w:szCs w:val="21"/>
          <w14:textFill>
            <w14:solidFill>
              <w14:schemeClr w14:val="tx1"/>
            </w14:solidFill>
          </w14:textFill>
        </w:rPr>
        <w:t>0.25</w:t>
      </w:r>
      <w:r>
        <w:rPr>
          <w:rFonts w:hint="default" w:ascii="Times New Roman" w:hAnsi="Times New Roman" w:eastAsia="宋体" w:cs="Times New Roman"/>
          <w:color w:val="000000" w:themeColor="text1"/>
          <w:szCs w:val="21"/>
          <w14:textFill>
            <w14:solidFill>
              <w14:schemeClr w14:val="tx1"/>
            </w14:solidFill>
          </w14:textFill>
        </w:rPr>
        <w:t>°的目标空间分辨率，本研究对各网格单元内各类土地覆被的面积权重进行加权平均，计算得到各网格的平均土地利用效率。</w:t>
      </w:r>
    </w:p>
    <w:p w14:paraId="3536CACF">
      <w:pPr>
        <w:pStyle w:val="39"/>
        <w:numPr>
          <w:ilvl w:val="0"/>
          <w:numId w:val="1"/>
        </w:numPr>
        <w:adjustRightInd w:val="0"/>
        <w:spacing w:after="120" w:line="300" w:lineRule="auto"/>
        <w:ind w:left="357" w:hanging="357"/>
        <w:contextualSpacing w:val="0"/>
        <w:outlineLvl w:val="2"/>
        <w:rPr>
          <w:rFonts w:ascii="Times New Roman" w:hAnsi="Times New Roman" w:eastAsia="宋体" w:cs="Times New Roman"/>
          <w:b/>
          <w:bCs/>
          <w:color w:val="000000" w:themeColor="text1"/>
          <w:szCs w:val="21"/>
          <w14:textFill>
            <w14:solidFill>
              <w14:schemeClr w14:val="tx1"/>
            </w14:solidFill>
          </w14:textFill>
        </w:rPr>
      </w:pPr>
      <w:r>
        <w:rPr>
          <w:rFonts w:hint="default" w:ascii="Times New Roman" w:hAnsi="Times New Roman" w:eastAsia="宋体" w:cs="Times New Roman"/>
          <w:b/>
          <w:bCs/>
          <w:color w:val="000000" w:themeColor="text1"/>
          <w:szCs w:val="21"/>
          <w14:textFill>
            <w14:solidFill>
              <w14:schemeClr w14:val="tx1"/>
            </w14:solidFill>
          </w14:textFill>
        </w:rPr>
        <w:t>气象要素时间尺度转换</w:t>
      </w:r>
    </w:p>
    <w:p w14:paraId="120F24F1">
      <w:pPr>
        <w:adjustRightInd w:val="0"/>
        <w:spacing w:after="120" w:line="300" w:lineRule="auto"/>
        <w:ind w:firstLine="420" w:firstLineChars="200"/>
        <w:rPr>
          <w:rFonts w:ascii="Times New Roman" w:hAnsi="Times New Roman" w:eastAsia="宋体" w:cs="Times New Roman"/>
          <w:b/>
          <w:bCs/>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NEX-GDDP-CMIP6</w:t>
      </w:r>
      <w:r>
        <w:rPr>
          <w:rFonts w:hint="default" w:ascii="Times New Roman" w:hAnsi="Times New Roman" w:eastAsia="宋体" w:cs="Times New Roman"/>
          <w:color w:val="000000" w:themeColor="text1"/>
          <w:szCs w:val="21"/>
          <w14:textFill>
            <w14:solidFill>
              <w14:schemeClr w14:val="tx1"/>
            </w14:solidFill>
          </w14:textFill>
        </w:rPr>
        <w:t>数据集仅提供逐日尺度的气候要素</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{"citationID":"dFTek23Y","properties":{"unsorted":false,"formattedCitation":"\\super [4]\\nosupersub{}","plainCitation":"[4]","noteIndex":0},"citationItems":[{"id":"UgoaWSgH/xJoLMxLl","uris":["http://zotero.org/users/12506905/items/CXBYKI7B"],"itemData":{"id":356,"type":"article-journal","abstract":"When applying a quantile mapping-based bias correction to daily temperature extremes simulated by a global climate model (GCM), the transformed values of maximum and minimum temperatures are changed, and the diurnal temperature range (DTR) can become physically unrealistic. While causes are not thoroughly explored, there is a strong relationship between GCM biases in snow albedo feedback during snowmelt and bias correction resulting in unrealistic DTR values. We propose a technique to bias correct DTR, based on comparing observations and GCM historic simulations, and combine that with either bias correcting daily maximum temperatures and calculating daily minimum temperatures or vice versa. By basing the bias correction on a base period of 1961–1980 and validating it during a test period of 1981–1999, we show that bias correcting DTR and maximum daily temperature can produce more accurate estimations of daily temperature extremes while avoiding the pathological cases of unrealistic DTR values.","container-title":"Hydrology and Earth System Sciences","DOI":"10.5194/hess-16-3309-2012","ISSN":"1027-5606","issue":"9","language":"English","note":"number: 9","page":"3309-3314","publisher":"Copernicus GmbH","source":"Copernicus Online Journals","title":"Technical Note: Bias correcting climate model simulated daily temperature extremes with quantile mapping","title-short":"Technical Note","volume":"16","author":[{"family":"Thrasher","given":"B."},{"family":"Maurer","given":"E. P."},{"family":"McKellar","given":"C."},{"family":"Duffy","given":"P. B."}],"issued":{"date-parts":[["2012",9,17]]}}}],"schema":"https://github.com/citation-style-language/schema/raw/master/csl-citation.json"}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1"/>
          <w:vertAlign w:val="superscript"/>
        </w:rPr>
        <w:t>[4]</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。为满足逐小时光伏发电潜力模型对输入数据的要求，需将逐日短波辐射与气温降尺度至逐小时分辨率。本文采用</w:t>
      </w:r>
      <w:r>
        <w:rPr>
          <w:rFonts w:ascii="Times New Roman" w:hAnsi="Times New Roman" w:eastAsia="宋体" w:cs="Times New Roman"/>
          <w:color w:val="000000" w:themeColor="text1"/>
          <w:szCs w:val="21"/>
          <w14:textFill>
            <w14:solidFill>
              <w14:schemeClr w14:val="tx1"/>
            </w14:solidFill>
          </w14:textFill>
        </w:rPr>
        <w:t>Reicosky</w:t>
      </w:r>
      <w:r>
        <w:rPr>
          <w:rFonts w:hint="default" w:ascii="Times New Roman" w:hAnsi="Times New Roman" w:eastAsia="宋体" w:cs="Times New Roman"/>
          <w:color w:val="000000" w:themeColor="text1"/>
          <w:szCs w:val="21"/>
          <w14:textFill>
            <w14:solidFill>
              <w14:schemeClr w14:val="tx1"/>
            </w14:solidFill>
          </w14:textFill>
        </w:rPr>
        <w:t>等评估优选的参数化模型</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{"citationID":"5Ei8bcWm","properties":{"unsorted":false,"formattedCitation":"\\super [5]\\nosupersub{}","plainCitation":"[5]","noteIndex":0},"citationItems":[{"id":"UgoaWSgH/FQWUOGTx","uris":["http://zotero.org/users/12506905/items/JBYWZGT2"],"itemData":{"id":1960,"type":"article-journal","abstract":"Temperature is one of the critical variables that drives biological systems and is of fundamental importance in crop growth models. The objective of this work was to determine the accuracy of several methods for calculating hourly air temperatures from daily maxima and minima. Methods that have as inputs daily minimum and maximum temperature were selected from the literature based on their use in existing growth models and simplicity. Four years of hourly air temperature data collected during the growing season at 2 m over well-watered grass were used to test the various methods. Six days from each growing season were randomly selected for detailed analysis, and an additional 9 days were selected to cover a range of daily maximum temperatures and solar radiation. The absolute mean error within a 24-h period ranged from 0.5 to 9.3°C for the 6 randomly selected days for all 4 years of the data. All methods worked reasonably well on clear days but with limited success on overcast days. Daily maximum temperature did not appear to affect the accuracy of any of the methods. If accurate timing of temperature input to models is critical, the results indicate direct measurement of hourly temperature may be necessary.","container-title":"Agricultural and Forest Meteorology","DOI":"10.1016/0168-1923(89)90064-6","ISSN":"0168-1923","issue":"3","journalAbbreviation":"Agricultural and Forest Meteorology","page":"193-209","source":"ScienceDirect","title":"Accuracy of hourly air temperatures calculated from daily minima and maxima","volume":"46","author":[{"family":"Reicosky","given":"D. C"},{"family":"Winkelman","given":"L. J"},{"family":"Baker","given":"J. M"},{"family":"Baker","given":"D. G"}],"issued":{"date-parts":[["1989",5,1]]}}}],"schema":"https://github.com/citation-style-language/schema/raw/master/csl-citation.json"}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1"/>
          <w:vertAlign w:val="superscript"/>
        </w:rPr>
        <w:t>[5]</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，以午后</w:t>
      </w:r>
      <w:r>
        <w:rPr>
          <w:rFonts w:ascii="Times New Roman" w:hAnsi="Times New Roman" w:eastAsia="宋体" w:cs="Times New Roman"/>
          <w:color w:val="000000" w:themeColor="text1"/>
          <w:szCs w:val="21"/>
          <w14:textFill>
            <w14:solidFill>
              <w14:schemeClr w14:val="tx1"/>
            </w14:solidFill>
          </w14:textFill>
        </w:rPr>
        <w:t>14</w:t>
      </w:r>
      <w:r>
        <w:rPr>
          <w:rFonts w:hint="default" w:ascii="Times New Roman" w:hAnsi="Times New Roman" w:eastAsia="宋体" w:cs="Times New Roman"/>
          <w:color w:val="000000" w:themeColor="text1"/>
          <w:szCs w:val="21"/>
          <w14:textFill>
            <w14:solidFill>
              <w14:schemeClr w14:val="tx1"/>
            </w14:solidFill>
          </w14:textFill>
        </w:rPr>
        <w:t>时为界，将一日划分为两个时段进行逐小时气温估算，逐小时气温</w:t>
      </w:r>
      <w:r>
        <w:rPr>
          <w:rFonts w:ascii="Times New Roman" w:hAnsi="Times New Roman" w:eastAsia="宋体" w:cs="Times New Roman"/>
          <w:i/>
          <w:iCs/>
          <w:color w:val="000000" w:themeColor="text1"/>
          <w:szCs w:val="21"/>
          <w14:textFill>
            <w14:solidFill>
              <w14:schemeClr w14:val="tx1"/>
            </w14:solidFill>
          </w14:textFill>
        </w:rPr>
        <w:t>TE</w:t>
      </w:r>
      <w:r>
        <w:rPr>
          <w:rFonts w:ascii="Times New Roman" w:hAnsi="Times New Roman" w:eastAsia="宋体" w:cs="Times New Roman"/>
          <w:i/>
          <w:iCs/>
          <w:color w:val="000000" w:themeColor="text1"/>
          <w:szCs w:val="21"/>
          <w:vertAlign w:val="subscript"/>
          <w14:textFill>
            <w14:solidFill>
              <w14:schemeClr w14:val="tx1"/>
            </w14:solidFill>
          </w14:textFill>
        </w:rPr>
        <w:t>t</w:t>
      </w:r>
      <w:r>
        <w:rPr>
          <w:rFonts w:hint="default" w:ascii="Times New Roman" w:hAnsi="Times New Roman" w:eastAsia="宋体" w:cs="Times New Roman"/>
          <w:color w:val="000000" w:themeColor="text1"/>
          <w:szCs w:val="21"/>
          <w14:textFill>
            <w14:solidFill>
              <w14:schemeClr w14:val="tx1"/>
            </w14:solidFill>
          </w14:textFill>
        </w:rPr>
        <w:t>为：</w:t>
      </w:r>
    </w:p>
    <w:p w14:paraId="6A08FECD">
      <w:pPr>
        <w:adjustRightInd w:val="0"/>
        <w:spacing w:after="120" w:line="300" w:lineRule="auto"/>
        <w:jc w:val="right"/>
        <w:rPr>
          <w:rFonts w:ascii="Times New Roman" w:hAnsi="Times New Roman" w:eastAsia="宋体" w:cs="Times New Roman"/>
          <w:bCs/>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T</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E</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bCs/>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d>
          <m:dPr>
            <m:begChr m:val="{"/>
            <m:endChr m:val=""/>
            <m:ctrlPr>
              <w:rPr>
                <w:rFonts w:ascii="Cambria Math" w:hAnsi="Cambria Math" w:eastAsia="宋体" w:cs="Times New Roman"/>
                <w:bCs/>
                <w:i/>
                <w:color w:val="000000" w:themeColor="text1"/>
                <w:szCs w:val="21"/>
                <w14:textFill>
                  <w14:solidFill>
                    <w14:schemeClr w14:val="tx1"/>
                  </w14:solidFill>
                </w14:textFill>
              </w:rPr>
            </m:ctrlPr>
          </m:dPr>
          <m:e>
            <m:r>
              <m:rPr/>
              <w:rPr>
                <w:rFonts w:ascii="Cambria Math" w:hAnsi="Cambria Math" w:eastAsia="宋体" w:cs="Times New Roman"/>
                <w:color w:val="000000" w:themeColor="text1"/>
                <w:szCs w:val="21"/>
                <w14:textFill>
                  <w14:solidFill>
                    <w14:schemeClr w14:val="tx1"/>
                  </w14:solidFill>
                </w14:textFill>
              </w:rPr>
              <m:t xml:space="preserve"> </m:t>
            </m:r>
            <m:eqArr>
              <m:eqArrPr>
                <m:ctrlPr>
                  <w:rPr>
                    <w:rFonts w:ascii="Cambria Math" w:hAnsi="Cambria Math" w:eastAsia="宋体" w:cs="Times New Roman"/>
                    <w:bCs/>
                    <w:i/>
                    <w:color w:val="000000" w:themeColor="text1"/>
                    <w:szCs w:val="21"/>
                    <w14:textFill>
                      <w14:solidFill>
                        <w14:schemeClr w14:val="tx1"/>
                      </w14:solidFill>
                    </w14:textFill>
                  </w:rPr>
                </m:ctrlPr>
              </m:eqArrPr>
              <m:e>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ave</m:t>
                    </m:r>
                    <m:ctrlPr>
                      <w:rPr>
                        <w:rFonts w:ascii="Cambria Math" w:hAnsi="Cambria Math" w:eastAsia="宋体" w:cs="Times New Roman"/>
                        <w:bCs/>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−A⋅</m:t>
                </m:r>
                <m:r>
                  <m:rPr>
                    <m:sty m:val="p"/>
                  </m:rPr>
                  <w:rPr>
                    <w:rFonts w:ascii="Cambria Math" w:hAnsi="Cambria Math" w:eastAsia="宋体" w:cs="Times New Roman"/>
                    <w:color w:val="000000" w:themeColor="text1"/>
                    <w:szCs w:val="21"/>
                    <w14:textFill>
                      <w14:solidFill>
                        <w14:schemeClr w14:val="tx1"/>
                      </w14:solidFill>
                    </w14:textFill>
                  </w:rPr>
                  <m:t>cos</m:t>
                </m:r>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bCs/>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π(t−</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rise</m:t>
                        </m:r>
                        <m:ctrlPr>
                          <w:rPr>
                            <w:rFonts w:ascii="Cambria Math" w:hAnsi="Cambria Math" w:eastAsia="宋体" w:cs="Times New Roman"/>
                            <w:bCs/>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ctrlPr>
                      <w:rPr>
                        <w:rFonts w:ascii="Cambria Math" w:hAnsi="Cambria Math" w:eastAsia="宋体" w:cs="Times New Roman"/>
                        <w:bCs/>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14−</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rise</m:t>
                        </m:r>
                        <m:ctrlPr>
                          <w:rPr>
                            <w:rFonts w:ascii="Cambria Math" w:hAnsi="Cambria Math" w:eastAsia="宋体" w:cs="Times New Roman"/>
                            <w:bCs/>
                            <w:color w:val="000000" w:themeColor="text1"/>
                            <w:szCs w:val="21"/>
                            <w14:textFill>
                              <w14:solidFill>
                                <w14:schemeClr w14:val="tx1"/>
                              </w14:solidFill>
                            </w14:textFill>
                          </w:rPr>
                        </m:ctrlPr>
                      </m:sub>
                    </m:sSub>
                    <m:ctrlPr>
                      <w:rPr>
                        <w:rFonts w:ascii="Cambria Math" w:hAnsi="Cambria Math" w:eastAsia="宋体" w:cs="Times New Roman"/>
                        <w:bCs/>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 xml:space="preserve">                      t</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rise</m:t>
                    </m:r>
                    <m:ctrlPr>
                      <w:rPr>
                        <w:rFonts w:ascii="Cambria Math" w:hAnsi="Cambria Math" w:eastAsia="宋体" w:cs="Times New Roman"/>
                        <w:bCs/>
                        <w:color w:val="000000" w:themeColor="text1"/>
                        <w:szCs w:val="21"/>
                        <w14:textFill>
                          <w14:solidFill>
                            <w14:schemeClr w14:val="tx1"/>
                          </w14:solidFill>
                        </w14:textFill>
                      </w:rPr>
                    </m:ctrlPr>
                  </m:sub>
                </m:sSub>
                <m:r>
                  <m:rPr/>
                  <w:rPr>
                    <w:rFonts w:hint="default" w:ascii="Cambria Math" w:hAnsi="Cambria Math" w:eastAsia="宋体" w:cs="Times New Roman"/>
                    <w:color w:val="000000" w:themeColor="text1"/>
                    <w:szCs w:val="21"/>
                    <w14:textFill>
                      <w14:solidFill>
                        <w14:schemeClr w14:val="tx1"/>
                      </w14:solidFill>
                    </w14:textFill>
                  </w:rPr>
                  <m:t>≤</m:t>
                </m:r>
                <m:r>
                  <m:rPr/>
                  <w:rPr>
                    <w:rFonts w:ascii="Cambria Math" w:hAnsi="Cambria Math" w:eastAsia="宋体" w:cs="Times New Roman"/>
                    <w:color w:val="000000" w:themeColor="text1"/>
                    <w:szCs w:val="21"/>
                    <w14:textFill>
                      <w14:solidFill>
                        <w14:schemeClr w14:val="tx1"/>
                      </w14:solidFill>
                    </w14:textFill>
                  </w:rPr>
                  <m:t>t</m:t>
                </m:r>
                <m:r>
                  <m:rPr/>
                  <w:rPr>
                    <w:rFonts w:hint="default" w:ascii="Cambria Math" w:hAnsi="Cambria Math" w:eastAsia="宋体" w:cs="Times New Roman"/>
                    <w:color w:val="000000" w:themeColor="text1"/>
                    <w:szCs w:val="21"/>
                    <w14:textFill>
                      <w14:solidFill>
                        <w14:schemeClr w14:val="tx1"/>
                      </w14:solidFill>
                    </w14:textFill>
                  </w:rPr>
                  <m:t>≤</m:t>
                </m:r>
                <m:r>
                  <m:rPr/>
                  <w:rPr>
                    <w:rFonts w:ascii="Cambria Math" w:hAnsi="Cambria Math" w:eastAsia="宋体" w:cs="Times New Roman"/>
                    <w:color w:val="000000" w:themeColor="text1"/>
                    <w:szCs w:val="21"/>
                    <w14:textFill>
                      <w14:solidFill>
                        <w14:schemeClr w14:val="tx1"/>
                      </w14:solidFill>
                    </w14:textFill>
                  </w:rPr>
                  <m:t>14</m:t>
                </m:r>
                <m:ctrlPr>
                  <w:rPr>
                    <w:rFonts w:ascii="Cambria Math" w:hAnsi="Cambria Math" w:eastAsia="宋体" w:cs="Times New Roman"/>
                    <w:bCs/>
                    <w:i/>
                    <w:color w:val="000000" w:themeColor="text1"/>
                    <w:szCs w:val="21"/>
                    <w14:textFill>
                      <w14:solidFill>
                        <w14:schemeClr w14:val="tx1"/>
                      </w14:solidFill>
                    </w14:textFill>
                  </w:rPr>
                </m:ctrlPr>
              </m:e>
              <m:e>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ave</m:t>
                    </m:r>
                    <m:ctrlPr>
                      <w:rPr>
                        <w:rFonts w:ascii="Cambria Math" w:hAnsi="Cambria Math" w:eastAsia="宋体" w:cs="Times New Roman"/>
                        <w:bCs/>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+A⋅</m:t>
                </m:r>
                <m:r>
                  <m:rPr>
                    <m:sty m:val="p"/>
                  </m:rPr>
                  <w:rPr>
                    <w:rFonts w:ascii="Cambria Math" w:hAnsi="Cambria Math" w:eastAsia="宋体" w:cs="Times New Roman"/>
                    <w:color w:val="000000" w:themeColor="text1"/>
                    <w:szCs w:val="21"/>
                    <w14:textFill>
                      <w14:solidFill>
                        <w14:schemeClr w14:val="tx1"/>
                      </w14:solidFill>
                    </w14:textFill>
                  </w:rPr>
                  <m:t>cos</m:t>
                </m:r>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bCs/>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π(</m:t>
                    </m:r>
                    <m:sSup>
                      <m:sSupPr>
                        <m:ctrlPr>
                          <w:rPr>
                            <w:rFonts w:ascii="Cambria Math" w:hAnsi="Cambria Math" w:eastAsia="宋体" w:cs="Times New Roman"/>
                            <w:bCs/>
                            <w:color w:val="000000" w:themeColor="text1"/>
                            <w:szCs w:val="21"/>
                            <w14:textFill>
                              <w14:solidFill>
                                <w14:schemeClr w14:val="tx1"/>
                              </w14:solidFill>
                            </w14:textFill>
                          </w:rPr>
                        </m:ctrlPr>
                      </m:sSup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bCs/>
                            <w:color w:val="000000" w:themeColor="text1"/>
                            <w:szCs w:val="21"/>
                            <w14:textFill>
                              <w14:solidFill>
                                <w14:schemeClr w14:val="tx1"/>
                              </w14:solidFill>
                            </w14:textFill>
                          </w:rPr>
                        </m:ctrlPr>
                      </m:e>
                      <m:sup>
                        <m:r>
                          <m:rPr/>
                          <w:rPr>
                            <w:rFonts w:hint="default" w:ascii="Cambria Math" w:hAnsi="Cambria Math" w:eastAsia="宋体" w:cs="Times New Roman"/>
                            <w:color w:val="000000" w:themeColor="text1"/>
                            <w:szCs w:val="21"/>
                            <w14:textFill>
                              <w14:solidFill>
                                <w14:schemeClr w14:val="tx1"/>
                              </w14:solidFill>
                            </w14:textFill>
                          </w:rPr>
                          <m:t>'</m:t>
                        </m:r>
                        <m:ctrlPr>
                          <w:rPr>
                            <w:rFonts w:ascii="Cambria Math" w:hAnsi="Cambria Math" w:eastAsia="宋体" w:cs="Times New Roman"/>
                            <w:bCs/>
                            <w:color w:val="000000" w:themeColor="text1"/>
                            <w:szCs w:val="21"/>
                            <w14:textFill>
                              <w14:solidFill>
                                <w14:schemeClr w14:val="tx1"/>
                              </w14:solidFill>
                            </w14:textFill>
                          </w:rPr>
                        </m:ctrlPr>
                      </m:sup>
                    </m:sSup>
                    <m:r>
                      <m:rPr/>
                      <w:rPr>
                        <w:rFonts w:ascii="Cambria Math" w:hAnsi="Cambria Math" w:eastAsia="宋体" w:cs="Times New Roman"/>
                        <w:color w:val="000000" w:themeColor="text1"/>
                        <w:szCs w:val="21"/>
                        <w14:textFill>
                          <w14:solidFill>
                            <w14:schemeClr w14:val="tx1"/>
                          </w14:solidFill>
                        </w14:textFill>
                      </w:rPr>
                      <m:t>+10)</m:t>
                    </m:r>
                    <m:ctrlPr>
                      <w:rPr>
                        <w:rFonts w:ascii="Cambria Math" w:hAnsi="Cambria Math" w:eastAsia="宋体" w:cs="Times New Roman"/>
                        <w:bCs/>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10+</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rise</m:t>
                        </m:r>
                        <m:ctrlPr>
                          <w:rPr>
                            <w:rFonts w:ascii="Cambria Math" w:hAnsi="Cambria Math" w:eastAsia="宋体" w:cs="Times New Roman"/>
                            <w:bCs/>
                            <w:color w:val="000000" w:themeColor="text1"/>
                            <w:szCs w:val="21"/>
                            <w14:textFill>
                              <w14:solidFill>
                                <w14:schemeClr w14:val="tx1"/>
                              </w14:solidFill>
                            </w14:textFill>
                          </w:rPr>
                        </m:ctrlPr>
                      </m:sub>
                    </m:sSub>
                    <m:ctrlPr>
                      <w:rPr>
                        <w:rFonts w:ascii="Cambria Math" w:hAnsi="Cambria Math" w:eastAsia="宋体" w:cs="Times New Roman"/>
                        <w:bCs/>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 xml:space="preserve">],                               </m:t>
                </m:r>
                <m:r>
                  <m:rPr>
                    <m:nor/>
                    <m:sty m:val="p"/>
                  </m:rPr>
                  <w:rPr>
                    <w:rFonts w:hint="default" w:ascii="Times New Roman" w:hAnsi="Times New Roman" w:eastAsia="宋体" w:cs="Times New Roman"/>
                    <w:b w:val="0"/>
                    <w:bCs/>
                    <w:i w:val="0"/>
                    <w:color w:val="000000" w:themeColor="text1"/>
                    <w:szCs w:val="21"/>
                    <w14:textFill>
                      <w14:solidFill>
                        <w14:schemeClr w14:val="tx1"/>
                      </w14:solidFill>
                    </w14:textFill>
                  </w:rPr>
                  <m:t>其它</m:t>
                </m:r>
                <m:ctrlPr>
                  <w:rPr>
                    <w:rFonts w:ascii="Cambria Math" w:hAnsi="Cambria Math" w:eastAsia="宋体" w:cs="Times New Roman"/>
                    <w:bCs/>
                    <w:i/>
                    <w:color w:val="000000" w:themeColor="text1"/>
                    <w:szCs w:val="21"/>
                    <w14:textFill>
                      <w14:solidFill>
                        <w14:schemeClr w14:val="tx1"/>
                      </w14:solidFill>
                    </w14:textFill>
                  </w:rPr>
                </m:ctrlPr>
              </m:e>
            </m:eqArr>
            <m:ctrlPr>
              <w:rPr>
                <w:rFonts w:ascii="Cambria Math" w:hAnsi="Cambria Math" w:eastAsia="宋体" w:cs="Times New Roman"/>
                <w:bCs/>
                <w:i/>
                <w:color w:val="000000" w:themeColor="text1"/>
                <w:szCs w:val="21"/>
                <w14:textFill>
                  <w14:solidFill>
                    <w14:schemeClr w14:val="tx1"/>
                  </w14:solidFill>
                </w14:textFill>
              </w:rPr>
            </m:ctrlPr>
          </m:e>
        </m:d>
        <m:m>
          <m:mPr>
            <m:mcs>
              <m:mc>
                <m:mcPr>
                  <m:count m:val="2"/>
                  <m:mcJc m:val="center"/>
                </m:mcPr>
              </m:mc>
            </m:mcs>
            <m:plcHide m:val="1"/>
            <m:ctrlPr>
              <w:rPr>
                <w:rFonts w:ascii="Cambria Math" w:hAnsi="Cambria Math" w:eastAsia="宋体" w:cs="Times New Roman"/>
                <w:bCs/>
                <w:color w:val="000000" w:themeColor="text1"/>
                <w:szCs w:val="21"/>
                <w14:textFill>
                  <w14:solidFill>
                    <w14:schemeClr w14:val="tx1"/>
                  </w14:solidFill>
                </w14:textFill>
              </w:rPr>
            </m:ctrlPr>
          </m:mPr>
          <m:mr>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bCs/>
                  <w:color w:val="000000" w:themeColor="text1"/>
                  <w:szCs w:val="21"/>
                  <w14:textFill>
                    <w14:solidFill>
                      <w14:schemeClr w14:val="tx1"/>
                    </w14:solidFill>
                  </w14:textFill>
                </w:rPr>
              </m:ctrlPr>
            </m:e>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bCs/>
                  <w:color w:val="000000" w:themeColor="text1"/>
                  <w:szCs w:val="21"/>
                  <w14:textFill>
                    <w14:solidFill>
                      <w14:schemeClr w14:val="tx1"/>
                    </w14:solidFill>
                  </w14:textFill>
                </w:rPr>
              </m:ctrlPr>
            </m:e>
          </m:mr>
          <m:mr>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bCs/>
                  <w:color w:val="000000" w:themeColor="text1"/>
                  <w:szCs w:val="21"/>
                  <w14:textFill>
                    <w14:solidFill>
                      <w14:schemeClr w14:val="tx1"/>
                    </w14:solidFill>
                  </w14:textFill>
                </w:rPr>
              </m:ctrlPr>
            </m:e>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bCs/>
                  <w:color w:val="000000" w:themeColor="text1"/>
                  <w:szCs w:val="21"/>
                  <w14:textFill>
                    <w14:solidFill>
                      <w14:schemeClr w14:val="tx1"/>
                    </w14:solidFill>
                  </w14:textFill>
                </w:rPr>
              </m:ctrlPr>
            </m:e>
          </m:mr>
        </m:m>
      </m:oMath>
      <w:r>
        <w:rPr>
          <w:rFonts w:hint="default" w:ascii="Times New Roman" w:hAnsi="Times New Roman" w:eastAsia="宋体" w:cs="Times New Roman"/>
          <w:bCs/>
          <w:color w:val="000000" w:themeColor="text1"/>
          <w:szCs w:val="21"/>
          <w14:textFill>
            <w14:solidFill>
              <w14:schemeClr w14:val="tx1"/>
            </w14:solidFill>
          </w14:textFill>
        </w:rPr>
        <w:t>（</w:t>
      </w:r>
      <w:r>
        <w:rPr>
          <w:rFonts w:ascii="Times New Roman" w:hAnsi="Times New Roman" w:eastAsia="宋体" w:cs="Times New Roman"/>
          <w:bCs/>
          <w:color w:val="000000" w:themeColor="text1"/>
          <w:szCs w:val="21"/>
          <w14:textFill>
            <w14:solidFill>
              <w14:schemeClr w14:val="tx1"/>
            </w14:solidFill>
          </w14:textFill>
        </w:rPr>
        <w:t>S1</w:t>
      </w:r>
      <w:r>
        <w:rPr>
          <w:rFonts w:hint="default" w:ascii="Times New Roman" w:hAnsi="Times New Roman" w:eastAsia="宋体" w:cs="Times New Roman"/>
          <w:bCs/>
          <w:color w:val="000000" w:themeColor="text1"/>
          <w:szCs w:val="21"/>
          <w14:textFill>
            <w14:solidFill>
              <w14:schemeClr w14:val="tx1"/>
            </w14:solidFill>
          </w14:textFill>
        </w:rPr>
        <w:t>）</w:t>
      </w:r>
    </w:p>
    <w:p w14:paraId="7623E2B9">
      <w:pPr>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bookmarkStart w:id="5" w:name="_Hlk233387653"/>
      <w:r>
        <w:rPr>
          <w:rFonts w:hint="default" w:ascii="Times New Roman" w:hAnsi="Times New Roman" w:eastAsia="宋体" w:cs="Times New Roman"/>
          <w:color w:val="000000" w:themeColor="text1"/>
          <w:szCs w:val="21"/>
          <w14:textFill>
            <w14:solidFill>
              <w14:schemeClr w14:val="tx1"/>
            </w14:solidFill>
          </w14:textFill>
        </w:rPr>
        <w:t>式中，</w:t>
      </w:r>
      <w:r>
        <w:rPr>
          <w:rFonts w:ascii="Times New Roman" w:hAnsi="Times New Roman" w:eastAsia="宋体" w:cs="Times New Roman"/>
          <w:i/>
          <w:iCs/>
          <w:color w:val="000000" w:themeColor="text1"/>
          <w:szCs w:val="21"/>
          <w14:textFill>
            <w14:solidFill>
              <w14:schemeClr w14:val="tx1"/>
            </w14:solidFill>
          </w14:textFill>
        </w:rPr>
        <w:t>TE</w:t>
      </w:r>
      <w:r>
        <w:rPr>
          <w:rFonts w:ascii="Times New Roman" w:hAnsi="Times New Roman" w:eastAsia="宋体" w:cs="Times New Roman"/>
          <w:i/>
          <w:iCs/>
          <w:color w:val="000000" w:themeColor="text1"/>
          <w:szCs w:val="21"/>
          <w14:textFill>
            <w14:solidFill>
              <w14:schemeClr w14:val="tx1"/>
            </w14:solidFill>
          </w14:textFill>
        </w:rPr>
        <w:softHyphen/>
      </w:r>
      <w:r>
        <w:rPr>
          <w:rFonts w:ascii="Times New Roman" w:hAnsi="Times New Roman" w:eastAsia="宋体" w:cs="Times New Roman"/>
          <w:i/>
          <w:iCs/>
          <w:color w:val="000000" w:themeColor="text1"/>
          <w:szCs w:val="21"/>
          <w:vertAlign w:val="subscript"/>
          <w14:textFill>
            <w14:solidFill>
              <w14:schemeClr w14:val="tx1"/>
            </w14:solidFill>
          </w14:textFill>
        </w:rPr>
        <w:t>t</w:t>
      </w:r>
      <w:r>
        <w:rPr>
          <w:rFonts w:hint="default" w:ascii="Times New Roman" w:hAnsi="Times New Roman" w:eastAsia="宋体" w:cs="Times New Roman"/>
          <w:color w:val="000000" w:themeColor="text1"/>
          <w:szCs w:val="21"/>
          <w14:textFill>
            <w14:solidFill>
              <w14:schemeClr w14:val="tx1"/>
            </w14:solidFill>
          </w14:textFill>
        </w:rPr>
        <w:t>为当前气温（℃）；</w:t>
      </w: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ave</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max</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min</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2</m:t>
            </m:r>
            <m:ctrlPr>
              <w:rPr>
                <w:rFonts w:ascii="Cambria Math" w:hAnsi="Cambria Math" w:eastAsia="宋体" w:cs="Times New Roman"/>
                <w:color w:val="000000" w:themeColor="text1"/>
                <w:szCs w:val="21"/>
                <w14:textFill>
                  <w14:solidFill>
                    <w14:schemeClr w14:val="tx1"/>
                  </w14:solidFill>
                </w14:textFill>
              </w:rPr>
            </m:ctrlPr>
          </m:den>
        </m:f>
      </m:oMath>
      <w:r>
        <w:rPr>
          <w:rFonts w:hint="default" w:ascii="Times New Roman" w:hAnsi="Times New Roman" w:eastAsia="宋体" w:cs="Times New Roman"/>
          <w:color w:val="000000" w:themeColor="text1"/>
          <w:szCs w:val="21"/>
          <w14:textFill>
            <w14:solidFill>
              <w14:schemeClr w14:val="tx1"/>
            </w14:solidFill>
          </w14:textFill>
        </w:rPr>
        <w:t>，</w:t>
      </w:r>
      <m:oMath>
        <m:r>
          <m:rPr/>
          <w:rPr>
            <w:rFonts w:ascii="Cambria Math" w:hAnsi="Cambria Math" w:eastAsia="宋体" w:cs="Times New Roman"/>
            <w:color w:val="000000" w:themeColor="text1"/>
            <w:szCs w:val="21"/>
            <w14:textFill>
              <w14:solidFill>
                <w14:schemeClr w14:val="tx1"/>
              </w14:solidFill>
            </w14:textFill>
          </w:rPr>
          <m:t>A=</m:t>
        </m:r>
        <m:f>
          <m:fPr>
            <m:ctrlPr>
              <w:rPr>
                <w:rFonts w:ascii="Cambria Math" w:hAnsi="Cambria Math" w:eastAsia="宋体" w:cs="Times New Roman"/>
                <w:color w:val="000000" w:themeColor="text1"/>
                <w:szCs w:val="21"/>
                <w14:textFill>
                  <w14:solidFill>
                    <w14:schemeClr w14:val="tx1"/>
                  </w14:solidFill>
                </w14:textFill>
              </w:rPr>
            </m:ctrlPr>
          </m:fPr>
          <m:num>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max</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min</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2</m:t>
            </m:r>
            <m:ctrlPr>
              <w:rPr>
                <w:rFonts w:ascii="Cambria Math" w:hAnsi="Cambria Math" w:eastAsia="宋体" w:cs="Times New Roman"/>
                <w:color w:val="000000" w:themeColor="text1"/>
                <w:szCs w:val="21"/>
                <w14:textFill>
                  <w14:solidFill>
                    <w14:schemeClr w14:val="tx1"/>
                  </w14:solidFill>
                </w14:textFill>
              </w:rPr>
            </m:ctrlPr>
          </m:den>
        </m:f>
      </m:oMath>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t</w:t>
      </w:r>
      <w:r>
        <w:rPr>
          <w:rFonts w:ascii="Times New Roman" w:hAnsi="Times New Roman" w:eastAsia="宋体" w:cs="Times New Roman"/>
          <w:i/>
          <w:iCs/>
          <w:color w:val="000000" w:themeColor="text1"/>
          <w:szCs w:val="21"/>
          <w:vertAlign w:val="subscript"/>
          <w14:textFill>
            <w14:solidFill>
              <w14:schemeClr w14:val="tx1"/>
            </w14:solidFill>
          </w14:textFill>
        </w:rPr>
        <w:t>rise</w:t>
      </w:r>
      <w:r>
        <w:rPr>
          <w:rFonts w:hint="default" w:ascii="Times New Roman" w:hAnsi="Times New Roman" w:eastAsia="宋体" w:cs="Times New Roman"/>
          <w:color w:val="000000" w:themeColor="text1"/>
          <w:szCs w:val="21"/>
          <w14:textFill>
            <w14:solidFill>
              <w14:schemeClr w14:val="tx1"/>
            </w14:solidFill>
          </w14:textFill>
        </w:rPr>
        <w:t>为当日日出时间；</w:t>
      </w:r>
      <w:r>
        <w:rPr>
          <w:rFonts w:ascii="Times New Roman" w:hAnsi="Times New Roman" w:eastAsia="宋体" w:cs="Times New Roman"/>
          <w:i/>
          <w:iCs/>
          <w:color w:val="000000" w:themeColor="text1"/>
          <w:szCs w:val="21"/>
          <w14:textFill>
            <w14:solidFill>
              <w14:schemeClr w14:val="tx1"/>
            </w14:solidFill>
          </w14:textFill>
        </w:rPr>
        <w:t>t</w:t>
      </w:r>
      <w:r>
        <w:rPr>
          <w:rFonts w:hint="default" w:ascii="Times New Roman" w:hAnsi="Times New Roman" w:eastAsia="宋体" w:cs="Times New Roman"/>
          <w:color w:val="000000" w:themeColor="text1"/>
          <w:szCs w:val="21"/>
          <w14:textFill>
            <w14:solidFill>
              <w14:schemeClr w14:val="tx1"/>
            </w14:solidFill>
          </w14:textFill>
        </w:rPr>
        <w:t>为当前时间；当</w:t>
      </w:r>
      <w:r>
        <w:rPr>
          <w:rFonts w:ascii="Times New Roman" w:hAnsi="Times New Roman" w:eastAsia="宋体" w:cs="Times New Roman"/>
          <w:i/>
          <w:iCs/>
          <w:color w:val="000000" w:themeColor="text1"/>
          <w:szCs w:val="21"/>
          <w14:textFill>
            <w14:solidFill>
              <w14:schemeClr w14:val="tx1"/>
            </w14:solidFill>
          </w14:textFill>
        </w:rPr>
        <w:t>t</w:t>
      </w:r>
      <w:r>
        <w:rPr>
          <w:rFonts w:ascii="Times New Roman" w:hAnsi="Times New Roman" w:eastAsia="宋体" w:cs="Times New Roman"/>
          <w:color w:val="000000" w:themeColor="text1"/>
          <w:szCs w:val="21"/>
          <w14:textFill>
            <w14:solidFill>
              <w14:schemeClr w14:val="tx1"/>
            </w14:solidFill>
          </w14:textFill>
        </w:rPr>
        <w:t xml:space="preserve"> &lt; </w:t>
      </w:r>
      <w:r>
        <w:rPr>
          <w:rFonts w:ascii="Times New Roman" w:hAnsi="Times New Roman" w:eastAsia="宋体" w:cs="Times New Roman"/>
          <w:i/>
          <w:iCs/>
          <w:color w:val="000000" w:themeColor="text1"/>
          <w:szCs w:val="21"/>
          <w14:textFill>
            <w14:solidFill>
              <w14:schemeClr w14:val="tx1"/>
            </w14:solidFill>
          </w14:textFill>
        </w:rPr>
        <w:t>t</w:t>
      </w:r>
      <w:r>
        <w:rPr>
          <w:rFonts w:ascii="Times New Roman" w:hAnsi="Times New Roman" w:eastAsia="宋体" w:cs="Times New Roman"/>
          <w:i/>
          <w:iCs/>
          <w:color w:val="000000" w:themeColor="text1"/>
          <w:szCs w:val="21"/>
          <w:vertAlign w:val="subscript"/>
          <w14:textFill>
            <w14:solidFill>
              <w14:schemeClr w14:val="tx1"/>
            </w14:solidFill>
          </w14:textFill>
        </w:rPr>
        <w:t>rise</w:t>
      </w:r>
      <w:r>
        <w:rPr>
          <w:rFonts w:ascii="Times New Roman" w:hAnsi="Times New Roman" w:eastAsia="宋体" w:cs="Times New Roman"/>
          <w:i/>
          <w:iCs/>
          <w:color w:val="000000" w:themeColor="text1"/>
          <w:szCs w:val="21"/>
          <w:vertAlign w:val="subscript"/>
          <w14:textFill>
            <w14:solidFill>
              <w14:schemeClr w14:val="tx1"/>
            </w14:solidFill>
          </w14:textFill>
        </w:rPr>
        <w:softHyphen/>
      </w:r>
      <w:r>
        <w:rPr>
          <w:rFonts w:hint="default" w:ascii="Times New Roman" w:hAnsi="Times New Roman" w:eastAsia="宋体" w:cs="Times New Roman"/>
          <w:color w:val="000000" w:themeColor="text1"/>
          <w:szCs w:val="21"/>
          <w14:textFill>
            <w14:solidFill>
              <w14:schemeClr w14:val="tx1"/>
            </w14:solidFill>
          </w14:textFill>
        </w:rPr>
        <w:t>时</w:t>
      </w:r>
      <w:r>
        <w:rPr>
          <w:rFonts w:ascii="Times New Roman" w:hAnsi="Times New Roman" w:eastAsia="宋体" w:cs="Times New Roman"/>
          <w:color w:val="000000" w:themeColor="text1"/>
          <w:szCs w:val="21"/>
          <w14:textFill>
            <w14:solidFill>
              <w14:schemeClr w14:val="tx1"/>
            </w14:solidFill>
          </w14:textFill>
        </w:rPr>
        <w:t>,</w:t>
      </w:r>
      <w:r>
        <w:rPr>
          <w:rFonts w:ascii="Times New Roman" w:hAnsi="Times New Roman" w:cs="Times New Roman"/>
          <w:szCs w:val="21"/>
        </w:rPr>
        <w:t xml:space="preserve"> </w:t>
      </w:r>
      <m:oMath>
        <m:sSup>
          <m:sSupPr>
            <m:ctrlPr>
              <w:rPr>
                <w:rFonts w:ascii="Cambria Math" w:hAnsi="Cambria Math" w:eastAsia="宋体" w:cs="Times New Roman"/>
                <w:color w:val="000000" w:themeColor="text1"/>
                <w:szCs w:val="21"/>
                <w14:textFill>
                  <w14:solidFill>
                    <w14:schemeClr w14:val="tx1"/>
                  </w14:solidFill>
                </w14:textFill>
              </w:rPr>
            </m:ctrlPr>
          </m:sSup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p>
            <m:r>
              <m:rPr/>
              <w:rPr>
                <w:rFonts w:hint="default" w:ascii="Cambria Math" w:hAnsi="Cambria Math" w:eastAsia="宋体" w:cs="Times New Roman"/>
                <w:color w:val="000000" w:themeColor="text1"/>
                <w:szCs w:val="21"/>
                <w14:textFill>
                  <w14:solidFill>
                    <w14:schemeClr w14:val="tx1"/>
                  </w14:solidFill>
                </w14:textFill>
              </w:rPr>
              <m:t>'</m:t>
            </m:r>
            <m:ctrlPr>
              <w:rPr>
                <w:rFonts w:ascii="Cambria Math" w:hAnsi="Cambria Math" w:eastAsia="宋体" w:cs="Times New Roman"/>
                <w:color w:val="000000" w:themeColor="text1"/>
                <w:szCs w:val="21"/>
                <w14:textFill>
                  <w14:solidFill>
                    <w14:schemeClr w14:val="tx1"/>
                  </w14:solidFill>
                </w14:textFill>
              </w:rPr>
            </m:ctrlPr>
          </m:sup>
        </m:sSup>
        <m:r>
          <m:rPr/>
          <w:rPr>
            <w:rFonts w:ascii="Cambria Math" w:hAnsi="Cambria Math" w:eastAsia="宋体" w:cs="Times New Roman"/>
            <w:color w:val="000000" w:themeColor="text1"/>
            <w:szCs w:val="21"/>
            <w14:textFill>
              <w14:solidFill>
                <w14:schemeClr w14:val="tx1"/>
              </w14:solidFill>
            </w14:textFill>
          </w:rPr>
          <m:t>=t</m:t>
        </m:r>
      </m:oMath>
      <w:r>
        <w:rPr>
          <w:rFonts w:hint="default" w:ascii="Times New Roman" w:hAnsi="Times New Roman" w:eastAsia="宋体" w:cs="Times New Roman"/>
          <w:color w:val="000000" w:themeColor="text1"/>
          <w:szCs w:val="21"/>
          <w14:textFill>
            <w14:solidFill>
              <w14:schemeClr w14:val="tx1"/>
            </w14:solidFill>
          </w14:textFill>
        </w:rPr>
        <w:t>，当</w:t>
      </w:r>
      <w:r>
        <w:rPr>
          <w:rFonts w:ascii="Times New Roman" w:hAnsi="Times New Roman" w:eastAsia="宋体" w:cs="Times New Roman"/>
          <w:i/>
          <w:iCs/>
          <w:color w:val="000000" w:themeColor="text1"/>
          <w:szCs w:val="21"/>
          <w14:textFill>
            <w14:solidFill>
              <w14:schemeClr w14:val="tx1"/>
            </w14:solidFill>
          </w14:textFill>
        </w:rPr>
        <w:t>t</w:t>
      </w:r>
      <w:r>
        <w:rPr>
          <w:rFonts w:ascii="Times New Roman" w:hAnsi="Times New Roman" w:eastAsia="宋体" w:cs="Times New Roman"/>
          <w:color w:val="000000" w:themeColor="text1"/>
          <w:szCs w:val="21"/>
          <w14:textFill>
            <w14:solidFill>
              <w14:schemeClr w14:val="tx1"/>
            </w14:solidFill>
          </w14:textFill>
        </w:rPr>
        <w:t xml:space="preserve"> &gt; 14</w:t>
      </w:r>
      <w:r>
        <w:rPr>
          <w:rFonts w:hint="default" w:ascii="Times New Roman" w:hAnsi="Times New Roman" w:eastAsia="宋体" w:cs="Times New Roman"/>
          <w:color w:val="000000" w:themeColor="text1"/>
          <w:szCs w:val="21"/>
          <w14:textFill>
            <w14:solidFill>
              <w14:schemeClr w14:val="tx1"/>
            </w14:solidFill>
          </w14:textFill>
        </w:rPr>
        <w:t>时，</w:t>
      </w:r>
      <m:oMath>
        <m:sSup>
          <m:sSupPr>
            <m:ctrlPr>
              <w:rPr>
                <w:rFonts w:ascii="Cambria Math" w:hAnsi="Cambria Math" w:eastAsia="宋体" w:cs="Times New Roman"/>
                <w:color w:val="000000" w:themeColor="text1"/>
                <w:szCs w:val="21"/>
                <w14:textFill>
                  <w14:solidFill>
                    <w14:schemeClr w14:val="tx1"/>
                  </w14:solidFill>
                </w14:textFill>
              </w:rPr>
            </m:ctrlPr>
          </m:sSup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p>
            <m:r>
              <m:rPr/>
              <w:rPr>
                <w:rFonts w:hint="default" w:ascii="Cambria Math" w:hAnsi="Cambria Math" w:eastAsia="宋体" w:cs="Times New Roman"/>
                <w:color w:val="000000" w:themeColor="text1"/>
                <w:szCs w:val="21"/>
                <w14:textFill>
                  <w14:solidFill>
                    <w14:schemeClr w14:val="tx1"/>
                  </w14:solidFill>
                </w14:textFill>
              </w:rPr>
              <m:t>'</m:t>
            </m:r>
            <m:ctrlPr>
              <w:rPr>
                <w:rFonts w:ascii="Cambria Math" w:hAnsi="Cambria Math" w:eastAsia="宋体" w:cs="Times New Roman"/>
                <w:color w:val="000000" w:themeColor="text1"/>
                <w:szCs w:val="21"/>
                <w14:textFill>
                  <w14:solidFill>
                    <w14:schemeClr w14:val="tx1"/>
                  </w14:solidFill>
                </w14:textFill>
              </w:rPr>
            </m:ctrlPr>
          </m:sup>
        </m:sSup>
        <m:r>
          <m:rPr/>
          <w:rPr>
            <w:rFonts w:ascii="Cambria Math" w:hAnsi="Cambria Math" w:eastAsia="宋体" w:cs="Times New Roman"/>
            <w:color w:val="000000" w:themeColor="text1"/>
            <w:szCs w:val="21"/>
            <w14:textFill>
              <w14:solidFill>
                <w14:schemeClr w14:val="tx1"/>
              </w14:solidFill>
            </w14:textFill>
          </w:rPr>
          <m:t>=4</m:t>
        </m:r>
      </m:oMath>
      <w:r>
        <w:rPr>
          <w:rFonts w:hint="default" w:ascii="Times New Roman" w:hAnsi="Times New Roman" w:eastAsia="宋体" w:cs="Times New Roman"/>
          <w:color w:val="000000" w:themeColor="text1"/>
          <w:szCs w:val="21"/>
          <w14:textFill>
            <w14:solidFill>
              <w14:schemeClr w14:val="tx1"/>
            </w14:solidFill>
          </w14:textFill>
        </w:rPr>
        <w:t>。</w:t>
      </w:r>
    </w:p>
    <w:bookmarkEnd w:id="5"/>
    <w:p w14:paraId="59BDD4C2">
      <w:pPr>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地表接收的短波辐射日内分布主要受太阳天顶角轨迹约束</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{"citationID":"AEpqFzjo","properties":{"unsorted":false,"formattedCitation":"\\super [6]\\nosupersub{}","plainCitation":"[6]","noteIndex":0},"citationItems":[{"id":"UgoaWSgH/OC2lP4KJ","uris":["http://zotero.org/users/12506905/items/MSN2KWMD"],"itemData":{"id":308,"type":"book","language":"en","source":"Zotero","title":"Renewable and Efficient Electric Power Systems","author":[{"family":"Masters","given":"Gilbert M"}],"issued":{"date-parts":[["2004"]]}}}],"schema":"https://github.com/citation-style-language/schema/raw/master/csl-citation.json"}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1"/>
          <w:vertAlign w:val="superscript"/>
        </w:rPr>
        <w:t>[6]</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。参考</w:t>
      </w:r>
      <w:r>
        <w:rPr>
          <w:rFonts w:ascii="Times New Roman" w:hAnsi="Times New Roman" w:eastAsia="宋体" w:cs="Times New Roman"/>
          <w:color w:val="000000" w:themeColor="text1"/>
          <w:szCs w:val="21"/>
          <w14:textFill>
            <w14:solidFill>
              <w14:schemeClr w14:val="tx1"/>
            </w14:solidFill>
          </w14:textFill>
        </w:rPr>
        <w:t>Collares-Pereira</w:t>
      </w:r>
      <w:r>
        <w:rPr>
          <w:rFonts w:hint="default" w:ascii="Times New Roman" w:hAnsi="Times New Roman" w:eastAsia="宋体" w:cs="Times New Roman"/>
          <w:color w:val="000000" w:themeColor="text1"/>
          <w:szCs w:val="21"/>
          <w14:textFill>
            <w14:solidFill>
              <w14:schemeClr w14:val="tx1"/>
            </w14:solidFill>
          </w14:textFill>
        </w:rPr>
        <w:t>与</w:t>
      </w:r>
      <w:r>
        <w:rPr>
          <w:rFonts w:ascii="Times New Roman" w:hAnsi="Times New Roman" w:eastAsia="宋体" w:cs="Times New Roman"/>
          <w:color w:val="000000" w:themeColor="text1"/>
          <w:szCs w:val="21"/>
          <w14:textFill>
            <w14:solidFill>
              <w14:schemeClr w14:val="tx1"/>
            </w14:solidFill>
          </w14:textFill>
        </w:rPr>
        <w:t>Rabl</w:t>
      </w:r>
      <w:r>
        <w:rPr>
          <w:rFonts w:hint="default" w:ascii="Times New Roman" w:hAnsi="Times New Roman" w:eastAsia="宋体" w:cs="Times New Roman"/>
          <w:color w:val="000000" w:themeColor="text1"/>
          <w:szCs w:val="21"/>
          <w14:textFill>
            <w14:solidFill>
              <w14:schemeClr w14:val="tx1"/>
            </w14:solidFill>
          </w14:textFill>
        </w:rPr>
        <w:t>的方法</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{"citationID":"gIzZNO2z","properties":{"unsorted":false,"formattedCitation":"\\super [7]\\nosupersub{}","plainCitation":"[7]","noteIndex":0},"citationItems":[{"id":"UgoaWSgH/B8zKBVOh","uris":["http://zotero.org/users/12506905/items/UAMDE8L3"],"itemData":{"id":1959,"type":"article-journal","abstract":"The correlations of Hottel, Whillier, Liu and Jordan between diffuse and hemispherical, and between instantaneous (hourly) values and daily totals of solar radiation are recalibrated against pyrheliometer data for five stations in the U.S. The validity of the Liu and Jordan approach is confirmed, and numerical inaccuracies of the original correlations are found to arise from three factors: (i) reliance on uncorrected measurements of diffuse insolation with pyranometer plus shade ring, (ii) use of a single value of extraterrestrial insolation for a whole month, and (iii) neglect of seasonal variations in the diffuse/hemispherical ratio. The new correlation for the daily total ratio of diffuse over hemispherical insolation agrees with results reported for India, Israel and Canada which included the shade ring correction. This suggests that latitude independence is a good approximation. The new correlations imply that the diffuse component is significantly larger than that predicted by the original formulas of Liu and Jordan. Analytical expressions are presented the parameters of which are obtained by a least squares fit to the data. The resulting formulas provide a complete description of the long term average insolation incident on surfaces of arbitrary orientation; the only meteorological input is the long term average daily total of hemispherical insolation on the horizontal surface. Comparison between model and data shows an accuracy better than 3 per cent for the long term average insolation available to solar correctors, both fixed and tracking. The model provides a framework for optimal matching between solar radiation and ideal concentrators (based on the principle of phase space conservation). In addition to computing radiation availability for solar collectors, the model can be used for calculating heating and cooling loads of buildings.\nRésumé\nLes corrélations établies par Hottel, Whillier, Liu et Jordan entre les radiations diffuse et hémisphérique (globale) et entre leurs valeurs instantanées (horaires) et journalières sont reajustées en les comparant avec les données expérimentales pour la radiation directe provenant de cinq localités diférentes aux Etats Unis. La validité de la méthode utilisée par Liu et Jordan est confirmée et les imprecisions numériques des corrélations établies auparavant sont corrigées. Trois facteurs sont à la source des problèmes associés avec ces corrélations: (i) des mesures non corrigées de la radiation diffuse obtenues avec un pyranomètre muni d'un anneau ombrageant; (ii) une seule valeur de la radiation extraterrestre pour tout un mois; (iii) variations saisonnières du rapport entre les radiations diffuse et hémisphérique ignorées. Les nouvelles corrélations sont compatibles avec les résultats obtenus pour le Canada, l'Inde et Israël en utilizant la correction de l'anneau ombrageant. Donc l'approximation de l'indépendence par rapport à la latitude est excellente. Les nouvelles corrélations impliquent une valeur pour la composante diffuse significativement plus grande que celle prédite par les formules de Liu et Jordan. Les paramètres des expressions anlytiques postulées sont obtenues par la méthode des moindres carrés. Les formules qui en résultent fournissent une description complète de la moyenne à long terme du la radiation incidente à des surfaces d'orientation quelconque; le seul input météréologique est la moyenne à long terme du total journalier de la radiation hémisphérique sur une surface horizontale. Les comparaisons entre le modèle et les données expérimentales montrent une précision supérieure à 3% pour la moyenne à long terme de la radiation disponible aux capteurs d'énergie solaire, soit fixes soit mobiles. le modèle permet de calculer la radiation disponible à tous les types de capteurs.\nZusammenfassung\nDie Korrelationen von Hottel, Whillier, Liu und Jordan zwischen diffuser und hemisphaerischer Sonnenstrahlung und zwischen stuendlichen und taeglichen Strahlungswerten werden geprueft und verbessert. Als Gundlage kienen fuenf Stationen in den U.S.A. fuer welche stuendliche Messwerte sowohl fuer hemisphaerische als auch fuer direkte (Pyrheliometer) Sonnenstrahlung vorliegen. Die prinzipielle Gueltigkeit der Liu und Jordan Methode wird bestaetigt, und numerische Ungenauigkeiten der urspruenglichen Korrelationen werden korrigiert. Wesentliche Maengel der urspruenglichen Korrelationen lassen sich auf die folgenden drei Aspekte der Arbeit von Liu und Jordan zurueckfuehren: (i) sie verliessen sich auf Messungen der diffusen Strahlung mittels Pyranometer mit Schattenring, welche nicht fuer den Schattenringeffekt korrigiert waren; (ii) fuer die taegliche ausserirdische Strahlung benutzten sie einen einzigen Wert ueber den ganzen Monat; (iii) sie beruecksichtigten nicht die Moeglichkeit jahreszeitlicher Schwankungen im Verhaeltnis von diffuser zu hemisphaerischer Strahlung. Die neuen Korrelationen fuer diffuse Strahlung stimmen ueberein mit Ergebnissen aus Indien, Israel und Canada; der Schluss liegt daher nahe, dass sie zu guter Naeherung unabhaengig vom Breitengrad sind. Der Anteil der diffusen Strahlung ist wesentlich hoeher als im urspruenglichen Modell von Liu und Jordan. Alle Korrelationen in dieser Arbeit werden als analytische Ausdruecke gegeben, deren Parameter auf der Methode der kleinsten Fehlerquadrate beruhen. Die Formein bieten eine vollstaendige Beschriebung des langzeitlichen Mittelwertes der Sonnenstrahlung auf Flaechen beliebiger Orientierung. Als einziger meteorologischer input wird der langzeitliche Durchschnitt der horizontalen hemisphaerischen Sonnenstrahlung benoetigt. Vergleich zwischen Modell und Daten zeigt Genauigkeit zu 3% fuer die Strahlung, die festen oder nachgefuehrten Solarkollektoren zur Verfuegung steht. Das Modell kann auch zur Berechnung des solaren Anteils der Heiz- oder kuehlbelastung von Gebaeuden dienen.","container-title":"Solar Energy","DOI":"10.1016/0038-092X(79)90100-2","ISSN":"0038-092X","issue":"2","journalAbbreviation":"Solar Energy","page":"155-164","source":"ScienceDirect","title":"The average distribution of solar radiation-correlations between diffuse and hemispherical and between daily and hourly insolation values","volume":"22","author":[{"family":"Collares-Pereira","given":"Manuel"},{"family":"Rabl","given":"Ari"}],"issued":{"date-parts":[["1979",1,1]]}}}],"schema":"https://github.com/citation-style-language/schema/raw/master/csl-citation.json"}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1"/>
          <w:vertAlign w:val="superscript"/>
        </w:rPr>
        <w:t>[7]</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，第</w:t>
      </w:r>
      <w:r>
        <w:rPr>
          <w:rFonts w:ascii="Times New Roman" w:hAnsi="Times New Roman" w:eastAsia="宋体" w:cs="Times New Roman"/>
          <w:i/>
          <w:iCs/>
          <w:color w:val="000000" w:themeColor="text1"/>
          <w:szCs w:val="21"/>
          <w14:textFill>
            <w14:solidFill>
              <w14:schemeClr w14:val="tx1"/>
            </w14:solidFill>
          </w14:textFill>
        </w:rPr>
        <w:t>t</w:t>
      </w:r>
      <w:r>
        <w:rPr>
          <w:rFonts w:hint="default" w:ascii="Times New Roman" w:hAnsi="Times New Roman" w:eastAsia="宋体" w:cs="Times New Roman"/>
          <w:color w:val="000000" w:themeColor="text1"/>
          <w:szCs w:val="21"/>
          <w14:textFill>
            <w14:solidFill>
              <w14:schemeClr w14:val="tx1"/>
            </w14:solidFill>
          </w14:textFill>
        </w:rPr>
        <w:t>小时的地表短波辐射</w:t>
      </w:r>
      <w:r>
        <w:rPr>
          <w:rFonts w:ascii="Times New Roman" w:hAnsi="Times New Roman" w:eastAsia="宋体" w:cs="Times New Roman"/>
          <w:i/>
          <w:iCs/>
          <w:color w:val="000000" w:themeColor="text1"/>
          <w:szCs w:val="21"/>
          <w14:textFill>
            <w14:solidFill>
              <w14:schemeClr w14:val="tx1"/>
            </w14:solidFill>
          </w14:textFill>
        </w:rPr>
        <w:t>SSRD</w:t>
      </w:r>
      <w:r>
        <w:rPr>
          <w:rFonts w:ascii="Times New Roman" w:hAnsi="Times New Roman" w:eastAsia="宋体" w:cs="Times New Roman"/>
          <w:i/>
          <w:iCs/>
          <w:color w:val="000000" w:themeColor="text1"/>
          <w:szCs w:val="21"/>
          <w:vertAlign w:val="subscript"/>
          <w14:textFill>
            <w14:solidFill>
              <w14:schemeClr w14:val="tx1"/>
            </w14:solidFill>
          </w14:textFill>
        </w:rPr>
        <w:t>t</w:t>
      </w:r>
      <w:r>
        <w:rPr>
          <w:rFonts w:hint="default" w:ascii="Times New Roman" w:hAnsi="Times New Roman" w:eastAsia="宋体" w:cs="Times New Roman"/>
          <w:color w:val="000000" w:themeColor="text1"/>
          <w:szCs w:val="21"/>
          <w14:textFill>
            <w14:solidFill>
              <w14:schemeClr w14:val="tx1"/>
            </w14:solidFill>
          </w14:textFill>
        </w:rPr>
        <w:t>（</w:t>
      </w:r>
      <w:bookmarkStart w:id="6" w:name="_Hlk233387780"/>
      <w:r>
        <w:rPr>
          <w:rFonts w:ascii="Times New Roman" w:hAnsi="Times New Roman" w:eastAsia="宋体" w:cs="Times New Roman"/>
          <w:color w:val="000000" w:themeColor="text1"/>
          <w:szCs w:val="21"/>
          <w14:textFill>
            <w14:solidFill>
              <w14:schemeClr w14:val="tx1"/>
            </w14:solidFill>
          </w14:textFill>
        </w:rPr>
        <w:t>kWh·m</w:t>
      </w:r>
      <w:r>
        <w:rPr>
          <w:rFonts w:ascii="Times New Roman" w:hAnsi="Times New Roman" w:eastAsia="宋体" w:cs="Times New Roman"/>
          <w:color w:val="000000" w:themeColor="text1"/>
          <w:szCs w:val="21"/>
          <w:vertAlign w:val="superscript"/>
          <w14:textFill>
            <w14:solidFill>
              <w14:schemeClr w14:val="tx1"/>
            </w14:solidFill>
          </w14:textFill>
        </w:rPr>
        <w:t>-2</w:t>
      </w:r>
      <w:bookmarkEnd w:id="6"/>
      <w:r>
        <w:rPr>
          <w:rFonts w:hint="default" w:ascii="Times New Roman" w:hAnsi="Times New Roman" w:eastAsia="宋体" w:cs="Times New Roman"/>
          <w:color w:val="000000" w:themeColor="text1"/>
          <w:szCs w:val="21"/>
          <w14:textFill>
            <w14:solidFill>
              <w14:schemeClr w14:val="tx1"/>
            </w14:solidFill>
          </w14:textFill>
        </w:rPr>
        <w:t>）为：</w:t>
      </w:r>
    </w:p>
    <w:p w14:paraId="6297F290">
      <w:pPr>
        <w:adjustRightInd w:val="0"/>
        <w:spacing w:after="120" w:line="300" w:lineRule="auto"/>
        <w:ind w:left="357"/>
        <w:jc w:val="right"/>
        <w:rPr>
          <w:rFonts w:ascii="Times New Roman" w:hAnsi="Times New Roman" w:eastAsia="宋体" w:cs="Times New Roman"/>
          <w:bCs/>
          <w:color w:val="000000" w:themeColor="text1"/>
          <w:szCs w:val="21"/>
          <w14:textFill>
            <w14:solidFill>
              <w14:schemeClr w14:val="tx1"/>
            </w14:solidFill>
          </w14:textFill>
        </w:rPr>
      </w:pPr>
      <w:bookmarkStart w:id="7" w:name="_Hlk233387723"/>
      <m:oMath>
        <m:r>
          <m:rPr/>
          <w:rPr>
            <w:rFonts w:ascii="Cambria Math" w:hAnsi="Cambria Math" w:eastAsia="宋体" w:cs="Times New Roman"/>
            <w:color w:val="000000" w:themeColor="text1"/>
            <w:szCs w:val="21"/>
            <w14:textFill>
              <w14:solidFill>
                <w14:schemeClr w14:val="tx1"/>
              </w14:solidFill>
            </w14:textFill>
          </w:rPr>
          <m:t>SSR</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bCs/>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=SSR</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day</m:t>
            </m:r>
            <m:ctrlPr>
              <w:rPr>
                <w:rFonts w:ascii="Cambria Math" w:hAnsi="Cambria Math" w:eastAsia="宋体" w:cs="Times New Roman"/>
                <w:bCs/>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bCs/>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π</m:t>
            </m:r>
            <m:ctrlPr>
              <w:rPr>
                <w:rFonts w:ascii="Cambria Math" w:hAnsi="Cambria Math" w:eastAsia="宋体" w:cs="Times New Roman"/>
                <w:bCs/>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24</m:t>
            </m:r>
            <m:ctrlPr>
              <w:rPr>
                <w:rFonts w:ascii="Cambria Math" w:hAnsi="Cambria Math" w:eastAsia="宋体" w:cs="Times New Roman"/>
                <w:bCs/>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⋅(a+b</m:t>
        </m:r>
        <m:r>
          <m:rPr>
            <m:sty m:val="p"/>
          </m:rPr>
          <w:rPr>
            <w:rFonts w:ascii="Cambria Math" w:hAnsi="Cambria Math" w:eastAsia="宋体" w:cs="Times New Roman"/>
            <w:color w:val="000000" w:themeColor="text1"/>
            <w:szCs w:val="21"/>
            <w14:textFill>
              <w14:solidFill>
                <w14:schemeClr w14:val="tx1"/>
              </w14:solidFill>
            </w14:textFill>
          </w:rPr>
          <m:t>cos</m:t>
        </m:r>
        <m:r>
          <m:rPr/>
          <w:rPr>
            <w:rFonts w:ascii="Cambria Math" w:hAnsi="Cambria Math" w:eastAsia="宋体" w:cs="Times New Roman"/>
            <w:color w:val="000000" w:themeColor="text1"/>
            <w:szCs w:val="21"/>
            <w14:textFill>
              <w14:solidFill>
                <w14:schemeClr w14:val="tx1"/>
              </w14:solidFill>
            </w14:textFill>
          </w:rPr>
          <m:t>⁡ω)⋅(</m:t>
        </m:r>
        <m:f>
          <m:fPr>
            <m:ctrlPr>
              <w:rPr>
                <w:rFonts w:ascii="Cambria Math" w:hAnsi="Cambria Math" w:eastAsia="宋体" w:cs="Times New Roman"/>
                <w:bCs/>
                <w:color w:val="000000" w:themeColor="text1"/>
                <w:szCs w:val="21"/>
                <w14:textFill>
                  <w14:solidFill>
                    <w14:schemeClr w14:val="tx1"/>
                  </w14:solidFill>
                </w14:textFill>
              </w:rPr>
            </m:ctrlPr>
          </m:fPr>
          <m:num>
            <m:r>
              <m:rPr>
                <m:sty m:val="p"/>
              </m:rPr>
              <w:rPr>
                <w:rFonts w:ascii="Cambria Math" w:hAnsi="Cambria Math" w:eastAsia="宋体" w:cs="Times New Roman"/>
                <w:color w:val="000000" w:themeColor="text1"/>
                <w:szCs w:val="21"/>
                <w14:textFill>
                  <w14:solidFill>
                    <w14:schemeClr w14:val="tx1"/>
                  </w14:solidFill>
                </w14:textFill>
              </w:rPr>
              <m:t>cos</m:t>
            </m:r>
            <m:r>
              <m:rPr/>
              <w:rPr>
                <w:rFonts w:ascii="Cambria Math" w:hAnsi="Cambria Math" w:eastAsia="宋体" w:cs="Times New Roman"/>
                <w:color w:val="000000" w:themeColor="text1"/>
                <w:szCs w:val="21"/>
                <w14:textFill>
                  <w14:solidFill>
                    <w14:schemeClr w14:val="tx1"/>
                  </w14:solidFill>
                </w14:textFill>
              </w:rPr>
              <m:t>⁡ω−</m:t>
            </m:r>
            <m:r>
              <m:rPr>
                <m:sty m:val="p"/>
              </m:rPr>
              <w:rPr>
                <w:rFonts w:ascii="Cambria Math" w:hAnsi="Cambria Math" w:eastAsia="宋体" w:cs="Times New Roman"/>
                <w:color w:val="000000" w:themeColor="text1"/>
                <w:szCs w:val="21"/>
                <w14:textFill>
                  <w14:solidFill>
                    <w14:schemeClr w14:val="tx1"/>
                  </w14:solidFill>
                </w14:textFill>
              </w:rPr>
              <m:t>cos</m:t>
            </m:r>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ω</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bCs/>
                    <w:color w:val="000000" w:themeColor="text1"/>
                    <w:szCs w:val="21"/>
                    <w14:textFill>
                      <w14:solidFill>
                        <w14:schemeClr w14:val="tx1"/>
                      </w14:solidFill>
                    </w14:textFill>
                  </w:rPr>
                </m:ctrlPr>
              </m:sub>
            </m:sSub>
            <m:ctrlPr>
              <w:rPr>
                <w:rFonts w:ascii="Cambria Math" w:hAnsi="Cambria Math" w:eastAsia="宋体" w:cs="Times New Roman"/>
                <w:bCs/>
                <w:color w:val="000000" w:themeColor="text1"/>
                <w:szCs w:val="21"/>
                <w14:textFill>
                  <w14:solidFill>
                    <w14:schemeClr w14:val="tx1"/>
                  </w14:solidFill>
                </w14:textFill>
              </w:rPr>
            </m:ctrlPr>
          </m:num>
          <m:den>
            <m:r>
              <m:rPr>
                <m:sty m:val="p"/>
              </m:rPr>
              <w:rPr>
                <w:rFonts w:ascii="Cambria Math" w:hAnsi="Cambria Math" w:eastAsia="宋体" w:cs="Times New Roman"/>
                <w:color w:val="000000" w:themeColor="text1"/>
                <w:szCs w:val="21"/>
                <w14:textFill>
                  <w14:solidFill>
                    <w14:schemeClr w14:val="tx1"/>
                  </w14:solidFill>
                </w14:textFill>
              </w:rPr>
              <m:t>sin</m:t>
            </m:r>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ω</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bCs/>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ω</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bCs/>
                    <w:color w:val="000000" w:themeColor="text1"/>
                    <w:szCs w:val="21"/>
                    <w14:textFill>
                      <w14:solidFill>
                        <w14:schemeClr w14:val="tx1"/>
                      </w14:solidFill>
                    </w14:textFill>
                  </w:rPr>
                </m:ctrlPr>
              </m:sub>
            </m:sSub>
            <m:r>
              <m:rPr>
                <m:sty m:val="p"/>
              </m:rPr>
              <w:rPr>
                <w:rFonts w:ascii="Cambria Math" w:hAnsi="Cambria Math" w:eastAsia="宋体" w:cs="Times New Roman"/>
                <w:color w:val="000000" w:themeColor="text1"/>
                <w:szCs w:val="21"/>
                <w14:textFill>
                  <w14:solidFill>
                    <w14:schemeClr w14:val="tx1"/>
                  </w14:solidFill>
                </w14:textFill>
              </w:rPr>
              <m:t>cos</m:t>
            </m:r>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ω</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bCs/>
                    <w:color w:val="000000" w:themeColor="text1"/>
                    <w:szCs w:val="21"/>
                    <w14:textFill>
                      <w14:solidFill>
                        <w14:schemeClr w14:val="tx1"/>
                      </w14:solidFill>
                    </w14:textFill>
                  </w:rPr>
                </m:ctrlPr>
              </m:sub>
            </m:sSub>
            <m:ctrlPr>
              <w:rPr>
                <w:rFonts w:ascii="Cambria Math" w:hAnsi="Cambria Math" w:eastAsia="宋体" w:cs="Times New Roman"/>
                <w:bCs/>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m:t>
        </m:r>
      </m:oMath>
      <w:r>
        <w:rPr>
          <w:rFonts w:ascii="Times New Roman" w:hAnsi="Times New Roman" w:eastAsia="宋体" w:cs="Times New Roman"/>
          <w:bCs/>
          <w:color w:val="000000" w:themeColor="text1"/>
          <w:szCs w:val="21"/>
          <w14:textFill>
            <w14:solidFill>
              <w14:schemeClr w14:val="tx1"/>
            </w14:solidFill>
          </w14:textFill>
        </w:rPr>
        <w:t xml:space="preserve">       </w:t>
      </w:r>
      <w:r>
        <w:rPr>
          <w:rFonts w:hint="default" w:ascii="Times New Roman" w:hAnsi="Times New Roman" w:eastAsia="宋体" w:cs="Times New Roman"/>
          <w:bCs/>
          <w:color w:val="000000" w:themeColor="text1"/>
          <w:szCs w:val="21"/>
          <w14:textFill>
            <w14:solidFill>
              <w14:schemeClr w14:val="tx1"/>
            </w14:solidFill>
          </w14:textFill>
        </w:rPr>
        <w:t>（</w:t>
      </w:r>
      <w:r>
        <w:rPr>
          <w:rFonts w:ascii="Times New Roman" w:hAnsi="Times New Roman" w:eastAsia="宋体" w:cs="Times New Roman"/>
          <w:bCs/>
          <w:color w:val="000000" w:themeColor="text1"/>
          <w:szCs w:val="21"/>
          <w14:textFill>
            <w14:solidFill>
              <w14:schemeClr w14:val="tx1"/>
            </w14:solidFill>
          </w14:textFill>
        </w:rPr>
        <w:t>S2</w:t>
      </w:r>
      <w:r>
        <w:rPr>
          <w:rFonts w:hint="default" w:ascii="Times New Roman" w:hAnsi="Times New Roman" w:eastAsia="宋体" w:cs="Times New Roman"/>
          <w:bCs/>
          <w:color w:val="000000" w:themeColor="text1"/>
          <w:szCs w:val="21"/>
          <w14:textFill>
            <w14:solidFill>
              <w14:schemeClr w14:val="tx1"/>
            </w14:solidFill>
          </w14:textFill>
        </w:rPr>
        <w:t>）</w:t>
      </w:r>
    </w:p>
    <w:p w14:paraId="7A416137">
      <w:pPr>
        <w:adjustRightInd w:val="0"/>
        <w:spacing w:after="120" w:line="300" w:lineRule="auto"/>
        <w:ind w:left="357"/>
        <w:jc w:val="right"/>
        <w:rPr>
          <w:rFonts w:ascii="Times New Roman" w:hAnsi="Times New Roman" w:eastAsia="宋体" w:cs="Times New Roman"/>
          <w:bCs/>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a=0.409+0.5016⋅</m:t>
        </m:r>
        <m:r>
          <m:rPr>
            <m:sty m:val="p"/>
          </m:rPr>
          <w:rPr>
            <w:rFonts w:ascii="Cambria Math" w:hAnsi="Cambria Math" w:eastAsia="宋体" w:cs="Times New Roman"/>
            <w:color w:val="000000" w:themeColor="text1"/>
            <w:szCs w:val="21"/>
            <w14:textFill>
              <w14:solidFill>
                <w14:schemeClr w14:val="tx1"/>
              </w14:solidFill>
            </w14:textFill>
          </w:rPr>
          <m:t>sin</m:t>
        </m:r>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ω</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bCs/>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−1.047)</m:t>
        </m:r>
      </m:oMath>
      <w:r>
        <w:rPr>
          <w:rFonts w:ascii="Times New Roman" w:hAnsi="Times New Roman" w:eastAsia="宋体" w:cs="Times New Roman"/>
          <w:bCs/>
          <w:color w:val="000000" w:themeColor="text1"/>
          <w:szCs w:val="21"/>
          <w14:textFill>
            <w14:solidFill>
              <w14:schemeClr w14:val="tx1"/>
            </w14:solidFill>
          </w14:textFill>
        </w:rPr>
        <w:t xml:space="preserve">             </w:t>
      </w:r>
      <w:r>
        <w:rPr>
          <w:rFonts w:hint="default" w:ascii="Times New Roman" w:hAnsi="Times New Roman" w:eastAsia="宋体" w:cs="Times New Roman"/>
          <w:bCs/>
          <w:color w:val="000000" w:themeColor="text1"/>
          <w:szCs w:val="21"/>
          <w14:textFill>
            <w14:solidFill>
              <w14:schemeClr w14:val="tx1"/>
            </w14:solidFill>
          </w14:textFill>
        </w:rPr>
        <w:t>（</w:t>
      </w:r>
      <w:r>
        <w:rPr>
          <w:rFonts w:ascii="Times New Roman" w:hAnsi="Times New Roman" w:eastAsia="宋体" w:cs="Times New Roman"/>
          <w:bCs/>
          <w:color w:val="000000" w:themeColor="text1"/>
          <w:szCs w:val="21"/>
          <w14:textFill>
            <w14:solidFill>
              <w14:schemeClr w14:val="tx1"/>
            </w14:solidFill>
          </w14:textFill>
        </w:rPr>
        <w:t>S3</w:t>
      </w:r>
      <w:r>
        <w:rPr>
          <w:rFonts w:hint="default" w:ascii="Times New Roman" w:hAnsi="Times New Roman" w:eastAsia="宋体" w:cs="Times New Roman"/>
          <w:bCs/>
          <w:color w:val="000000" w:themeColor="text1"/>
          <w:szCs w:val="21"/>
          <w14:textFill>
            <w14:solidFill>
              <w14:schemeClr w14:val="tx1"/>
            </w14:solidFill>
          </w14:textFill>
        </w:rPr>
        <w:t>）</w:t>
      </w:r>
    </w:p>
    <w:p w14:paraId="393B7231">
      <w:pPr>
        <w:adjustRightInd w:val="0"/>
        <w:spacing w:after="120" w:line="300" w:lineRule="auto"/>
        <w:ind w:left="357"/>
        <w:jc w:val="right"/>
        <w:rPr>
          <w:rFonts w:ascii="Times New Roman" w:hAnsi="Times New Roman" w:eastAsia="宋体" w:cs="Times New Roman"/>
          <w:bCs/>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b=0.6609−0.4767⋅</m:t>
        </m:r>
        <m:r>
          <m:rPr>
            <m:sty m:val="p"/>
          </m:rPr>
          <w:rPr>
            <w:rFonts w:ascii="Cambria Math" w:hAnsi="Cambria Math" w:eastAsia="宋体" w:cs="Times New Roman"/>
            <w:color w:val="000000" w:themeColor="text1"/>
            <w:szCs w:val="21"/>
            <w14:textFill>
              <w14:solidFill>
                <w14:schemeClr w14:val="tx1"/>
              </w14:solidFill>
            </w14:textFill>
          </w:rPr>
          <m:t>sin</m:t>
        </m:r>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ω</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bCs/>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−1.047)</m:t>
        </m:r>
      </m:oMath>
      <w:r>
        <w:rPr>
          <w:rFonts w:ascii="Times New Roman" w:hAnsi="Times New Roman" w:eastAsia="宋体" w:cs="Times New Roman"/>
          <w:bCs/>
          <w:color w:val="000000" w:themeColor="text1"/>
          <w:szCs w:val="21"/>
          <w14:textFill>
            <w14:solidFill>
              <w14:schemeClr w14:val="tx1"/>
            </w14:solidFill>
          </w14:textFill>
        </w:rPr>
        <w:t xml:space="preserve">            </w:t>
      </w:r>
      <w:r>
        <w:rPr>
          <w:rFonts w:hint="default" w:ascii="Times New Roman" w:hAnsi="Times New Roman" w:eastAsia="宋体" w:cs="Times New Roman"/>
          <w:bCs/>
          <w:color w:val="000000" w:themeColor="text1"/>
          <w:szCs w:val="21"/>
          <w14:textFill>
            <w14:solidFill>
              <w14:schemeClr w14:val="tx1"/>
            </w14:solidFill>
          </w14:textFill>
        </w:rPr>
        <w:t>（</w:t>
      </w:r>
      <w:r>
        <w:rPr>
          <w:rFonts w:ascii="Times New Roman" w:hAnsi="Times New Roman" w:eastAsia="宋体" w:cs="Times New Roman"/>
          <w:bCs/>
          <w:color w:val="000000" w:themeColor="text1"/>
          <w:szCs w:val="21"/>
          <w14:textFill>
            <w14:solidFill>
              <w14:schemeClr w14:val="tx1"/>
            </w14:solidFill>
          </w14:textFill>
        </w:rPr>
        <w:t>S4</w:t>
      </w:r>
      <w:r>
        <w:rPr>
          <w:rFonts w:hint="default" w:ascii="Times New Roman" w:hAnsi="Times New Roman" w:eastAsia="宋体" w:cs="Times New Roman"/>
          <w:bCs/>
          <w:color w:val="000000" w:themeColor="text1"/>
          <w:szCs w:val="21"/>
          <w14:textFill>
            <w14:solidFill>
              <w14:schemeClr w14:val="tx1"/>
            </w14:solidFill>
          </w14:textFill>
        </w:rPr>
        <w:t>）</w:t>
      </w:r>
    </w:p>
    <w:bookmarkEnd w:id="7"/>
    <w:p w14:paraId="38989B57">
      <w:pPr>
        <w:adjustRightInd w:val="0"/>
        <w:spacing w:after="120" w:line="300" w:lineRule="auto"/>
        <w:ind w:firstLine="420"/>
        <w:rPr>
          <w:rFonts w:ascii="Times New Roman" w:hAnsi="Times New Roman" w:eastAsia="宋体" w:cs="Times New Roman"/>
          <w:bCs/>
          <w:iCs/>
          <w:color w:val="000000" w:themeColor="text1"/>
          <w:szCs w:val="21"/>
          <w14:textFill>
            <w14:solidFill>
              <w14:schemeClr w14:val="tx1"/>
            </w14:solidFill>
          </w14:textFill>
        </w:rPr>
      </w:pPr>
      <w:bookmarkStart w:id="8" w:name="_Hlk233387730"/>
      <w:r>
        <w:rPr>
          <w:rFonts w:hint="default" w:ascii="Times New Roman" w:hAnsi="Times New Roman" w:eastAsia="宋体" w:cs="Times New Roman"/>
          <w:bCs/>
          <w:iCs/>
          <w:color w:val="000000" w:themeColor="text1"/>
          <w:szCs w:val="21"/>
          <w14:textFill>
            <w14:solidFill>
              <w14:schemeClr w14:val="tx1"/>
            </w14:solidFill>
          </w14:textFill>
        </w:rPr>
        <w:t>式中，</w:t>
      </w:r>
      <w:r>
        <w:rPr>
          <w:rFonts w:ascii="Times New Roman" w:hAnsi="Times New Roman" w:eastAsia="宋体" w:cs="Times New Roman"/>
          <w:bCs/>
          <w:i/>
          <w:color w:val="000000" w:themeColor="text1"/>
          <w:szCs w:val="21"/>
          <w14:textFill>
            <w14:solidFill>
              <w14:schemeClr w14:val="tx1"/>
            </w14:solidFill>
          </w14:textFill>
        </w:rPr>
        <w:t>SSRD</w:t>
      </w:r>
      <w:r>
        <w:rPr>
          <w:rFonts w:ascii="Times New Roman" w:hAnsi="Times New Roman" w:eastAsia="宋体" w:cs="Times New Roman"/>
          <w:bCs/>
          <w:i/>
          <w:color w:val="000000" w:themeColor="text1"/>
          <w:szCs w:val="21"/>
          <w:vertAlign w:val="subscript"/>
          <w14:textFill>
            <w14:solidFill>
              <w14:schemeClr w14:val="tx1"/>
            </w14:solidFill>
          </w14:textFill>
        </w:rPr>
        <w:t>day</w:t>
      </w:r>
      <w:r>
        <w:rPr>
          <w:rFonts w:hint="default" w:ascii="Times New Roman" w:hAnsi="Times New Roman" w:eastAsia="宋体" w:cs="Times New Roman"/>
          <w:bCs/>
          <w:iCs/>
          <w:color w:val="000000" w:themeColor="text1"/>
          <w:szCs w:val="21"/>
          <w14:textFill>
            <w14:solidFill>
              <w14:schemeClr w14:val="tx1"/>
            </w14:solidFill>
          </w14:textFill>
        </w:rPr>
        <w:t>为每日短波辐射总量（</w:t>
      </w:r>
      <w:r>
        <w:rPr>
          <w:rFonts w:ascii="Times New Roman" w:hAnsi="Times New Roman" w:eastAsia="宋体" w:cs="Times New Roman"/>
          <w:color w:val="000000" w:themeColor="text1"/>
          <w:szCs w:val="21"/>
          <w14:textFill>
            <w14:solidFill>
              <w14:schemeClr w14:val="tx1"/>
            </w14:solidFill>
          </w14:textFill>
        </w:rPr>
        <w:t>kWh·m</w:t>
      </w:r>
      <w:r>
        <w:rPr>
          <w:rFonts w:ascii="Times New Roman" w:hAnsi="Times New Roman" w:eastAsia="宋体" w:cs="Times New Roman"/>
          <w:color w:val="000000" w:themeColor="text1"/>
          <w:szCs w:val="21"/>
          <w:vertAlign w:val="superscript"/>
          <w14:textFill>
            <w14:solidFill>
              <w14:schemeClr w14:val="tx1"/>
            </w14:solidFill>
          </w14:textFill>
        </w:rPr>
        <w:t>-2</w:t>
      </w:r>
      <w:r>
        <w:rPr>
          <w:rFonts w:hint="default" w:ascii="Times New Roman" w:hAnsi="Times New Roman" w:eastAsia="宋体" w:cs="Times New Roman"/>
          <w:bCs/>
          <w:iCs/>
          <w:color w:val="000000" w:themeColor="text1"/>
          <w:szCs w:val="21"/>
          <w14:textFill>
            <w14:solidFill>
              <w14:schemeClr w14:val="tx1"/>
            </w14:solidFill>
          </w14:textFill>
        </w:rPr>
        <w:t>）；</w:t>
      </w:r>
      <m:oMath>
        <m:r>
          <m:rPr/>
          <w:rPr>
            <w:rFonts w:ascii="Cambria Math" w:hAnsi="Cambria Math" w:eastAsia="宋体" w:cs="Times New Roman"/>
            <w:color w:val="000000" w:themeColor="text1"/>
            <w:szCs w:val="21"/>
            <w14:textFill>
              <w14:solidFill>
                <w14:schemeClr w14:val="tx1"/>
              </w14:solidFill>
            </w14:textFill>
          </w:rPr>
          <m:t>ω</m:t>
        </m:r>
      </m:oMath>
      <w:r>
        <w:rPr>
          <w:rFonts w:hint="default" w:ascii="Times New Roman" w:hAnsi="Times New Roman" w:eastAsia="宋体" w:cs="Times New Roman"/>
          <w:bCs/>
          <w:color w:val="000000" w:themeColor="text1"/>
          <w:szCs w:val="21"/>
          <w14:textFill>
            <w14:solidFill>
              <w14:schemeClr w14:val="tx1"/>
            </w14:solidFill>
          </w14:textFill>
        </w:rPr>
        <w:t>为太阳时角；</w:t>
      </w:r>
      <m:oMath>
        <m:sSub>
          <m:sSubPr>
            <m:ctrlPr>
              <w:rPr>
                <w:rFonts w:ascii="Cambria Math" w:hAnsi="Cambria Math" w:eastAsia="宋体" w:cs="Times New Roman"/>
                <w:b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ω</m:t>
            </m:r>
            <m:ctrlPr>
              <w:rPr>
                <w:rFonts w:ascii="Cambria Math" w:hAnsi="Cambria Math" w:eastAsia="宋体" w:cs="Times New Roman"/>
                <w:b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bCs/>
                <w:color w:val="000000" w:themeColor="text1"/>
                <w:szCs w:val="21"/>
                <w14:textFill>
                  <w14:solidFill>
                    <w14:schemeClr w14:val="tx1"/>
                  </w14:solidFill>
                </w14:textFill>
              </w:rPr>
            </m:ctrlPr>
          </m:sub>
        </m:sSub>
      </m:oMath>
      <w:r>
        <w:rPr>
          <w:rFonts w:hint="default" w:ascii="Times New Roman" w:hAnsi="Times New Roman" w:eastAsia="宋体" w:cs="Times New Roman"/>
          <w:bCs/>
          <w:color w:val="000000" w:themeColor="text1"/>
          <w:szCs w:val="21"/>
          <w14:textFill>
            <w14:solidFill>
              <w14:schemeClr w14:val="tx1"/>
            </w14:solidFill>
          </w14:textFill>
        </w:rPr>
        <w:t>为日落时角；</w:t>
      </w:r>
      <w:r>
        <w:rPr>
          <w:rFonts w:ascii="Times New Roman" w:hAnsi="Times New Roman" w:eastAsia="宋体" w:cs="Times New Roman"/>
          <w:bCs/>
          <w:i/>
          <w:iCs/>
          <w:color w:val="000000" w:themeColor="text1"/>
          <w:szCs w:val="21"/>
          <w14:textFill>
            <w14:solidFill>
              <w14:schemeClr w14:val="tx1"/>
            </w14:solidFill>
          </w14:textFill>
        </w:rPr>
        <w:t>a</w:t>
      </w:r>
      <w:r>
        <w:rPr>
          <w:rFonts w:hint="default" w:ascii="Times New Roman" w:hAnsi="Times New Roman" w:eastAsia="宋体" w:cs="Times New Roman"/>
          <w:bCs/>
          <w:color w:val="000000" w:themeColor="text1"/>
          <w:szCs w:val="21"/>
          <w14:textFill>
            <w14:solidFill>
              <w14:schemeClr w14:val="tx1"/>
            </w14:solidFill>
          </w14:textFill>
        </w:rPr>
        <w:t>和</w:t>
      </w:r>
      <w:r>
        <w:rPr>
          <w:rFonts w:ascii="Times New Roman" w:hAnsi="Times New Roman" w:eastAsia="宋体" w:cs="Times New Roman"/>
          <w:bCs/>
          <w:i/>
          <w:iCs/>
          <w:color w:val="000000" w:themeColor="text1"/>
          <w:szCs w:val="21"/>
          <w14:textFill>
            <w14:solidFill>
              <w14:schemeClr w14:val="tx1"/>
            </w14:solidFill>
          </w14:textFill>
        </w:rPr>
        <w:t>b</w:t>
      </w:r>
      <w:r>
        <w:rPr>
          <w:rFonts w:hint="default" w:ascii="Times New Roman" w:hAnsi="Times New Roman" w:eastAsia="宋体" w:cs="Times New Roman"/>
          <w:bCs/>
          <w:color w:val="000000" w:themeColor="text1"/>
          <w:szCs w:val="21"/>
          <w14:textFill>
            <w14:solidFill>
              <w14:schemeClr w14:val="tx1"/>
            </w14:solidFill>
          </w14:textFill>
        </w:rPr>
        <w:t>为天文学系数。</w:t>
      </w:r>
    </w:p>
    <w:bookmarkEnd w:id="8"/>
    <w:p w14:paraId="518C34C4">
      <w:pPr>
        <w:pStyle w:val="39"/>
        <w:widowControl/>
        <w:numPr>
          <w:ilvl w:val="0"/>
          <w:numId w:val="1"/>
        </w:numPr>
        <w:adjustRightInd w:val="0"/>
        <w:spacing w:after="120" w:line="300" w:lineRule="auto"/>
        <w:ind w:left="357" w:hanging="357"/>
        <w:contextualSpacing w:val="0"/>
        <w:outlineLvl w:val="2"/>
        <w:rPr>
          <w:rFonts w:ascii="Times New Roman" w:hAnsi="Times New Roman" w:eastAsia="宋体" w:cs="Times New Roman"/>
          <w:color w:val="000000" w:themeColor="text1"/>
          <w:szCs w:val="21"/>
          <w:lang w:val="en-GB"/>
          <w14:textFill>
            <w14:solidFill>
              <w14:schemeClr w14:val="tx1"/>
            </w14:solidFill>
          </w14:textFill>
        </w:rPr>
      </w:pPr>
      <w:r>
        <w:rPr>
          <w:rFonts w:hint="default" w:ascii="Times New Roman" w:hAnsi="Times New Roman" w:eastAsia="宋体" w:cs="Times New Roman"/>
          <w:b/>
          <w:bCs/>
          <w:color w:val="000000" w:themeColor="text1"/>
          <w:szCs w:val="21"/>
          <w:lang w:val="en-GB"/>
          <w14:textFill>
            <w14:solidFill>
              <w14:schemeClr w14:val="tx1"/>
            </w14:solidFill>
          </w14:textFill>
        </w:rPr>
        <w:t>光伏板截获的太阳辐射</w:t>
      </w:r>
    </w:p>
    <w:p w14:paraId="0AD12D15">
      <w:pPr>
        <w:widowControl/>
        <w:adjustRightInd w:val="0"/>
        <w:spacing w:after="120" w:line="300" w:lineRule="auto"/>
        <w:ind w:firstLine="420" w:firstLineChars="200"/>
        <w:rPr>
          <w:rFonts w:ascii="Times New Roman" w:hAnsi="Times New Roman" w:eastAsia="宋体" w:cs="Times New Roman"/>
          <w:color w:val="000000" w:themeColor="text1"/>
          <w:szCs w:val="21"/>
          <w:lang w:val="en-GB"/>
          <w14:textFill>
            <w14:solidFill>
              <w14:schemeClr w14:val="tx1"/>
            </w14:solidFill>
          </w14:textFill>
        </w:rPr>
      </w:pPr>
      <w:r>
        <w:rPr>
          <w:rFonts w:hint="default" w:ascii="Times New Roman" w:hAnsi="Times New Roman" w:eastAsia="宋体" w:cs="Times New Roman"/>
          <w:color w:val="000000" w:themeColor="text1"/>
          <w:szCs w:val="21"/>
          <w:lang w:val="en-GB"/>
          <w14:textFill>
            <w14:solidFill>
              <w14:schemeClr w14:val="tx1"/>
            </w14:solidFill>
          </w14:textFill>
        </w:rPr>
        <w:t>光伏板实际截获的太阳辐射由直射辐射、散射辐射和反射辐射三部分构成。各分量的贡献均受太阳高度角和方位角影响，其中散射和反射分量还进一步受到天空漫射系数和地表反照率的调节</w:t>
      </w:r>
      <w:r>
        <w:rPr>
          <w:rFonts w:ascii="Times New Roman" w:hAnsi="Times New Roman" w:eastAsia="宋体" w:cs="Times New Roman"/>
          <w:color w:val="000000" w:themeColor="text1"/>
          <w:szCs w:val="21"/>
          <w:lang w:val="en-GB"/>
          <w14:textFill>
            <w14:solidFill>
              <w14:schemeClr w14:val="tx1"/>
            </w14:solidFill>
          </w14:textFill>
        </w:rPr>
        <w:fldChar w:fldCharType="begin"/>
      </w:r>
      <w:r>
        <w:rPr>
          <w:rFonts w:ascii="Times New Roman" w:hAnsi="Times New Roman" w:eastAsia="宋体" w:cs="Times New Roman"/>
          <w:color w:val="000000" w:themeColor="text1"/>
          <w:szCs w:val="21"/>
          <w:lang w:val="en-GB"/>
          <w14:textFill>
            <w14:solidFill>
              <w14:schemeClr w14:val="tx1"/>
            </w14:solidFill>
          </w14:textFill>
        </w:rPr>
        <w:instrText xml:space="preserve"> ADDIN ZOTERO_ITEM CSL_CITATION {"citationID":"VmljTM9Z","properties":{"unsorted":false,"formattedCitation":"\\super [6]\\nosupersub{}","plainCitation":"[6]","noteIndex":0},"citationItems":[{"id":"UgoaWSgH/OC2lP4KJ","uris":["http://zotero.org/users/12506905/items/MSN2KWMD"],"itemData":{"id":308,"type":"book","language":"en","source":"Zotero","title":"Renewable and Efficient Electric Power Systems","author":[{"family":"Masters","given":"Gilbert M"}],"issued":{"date-parts":[["2004"]]}}}],"schema":"https://github.com/citation-style-language/schema/raw/master/csl-citation.json"} </w:instrText>
      </w:r>
      <w:r>
        <w:rPr>
          <w:rFonts w:ascii="Times New Roman" w:hAnsi="Times New Roman" w:eastAsia="宋体" w:cs="Times New Roman"/>
          <w:color w:val="000000" w:themeColor="text1"/>
          <w:szCs w:val="21"/>
          <w:lang w:val="en-GB"/>
          <w14:textFill>
            <w14:solidFill>
              <w14:schemeClr w14:val="tx1"/>
            </w14:solidFill>
          </w14:textFill>
        </w:rPr>
        <w:fldChar w:fldCharType="separate"/>
      </w:r>
      <w:r>
        <w:rPr>
          <w:rFonts w:ascii="Times New Roman" w:hAnsi="Times New Roman" w:cs="Times New Roman"/>
          <w:szCs w:val="21"/>
          <w:vertAlign w:val="superscript"/>
        </w:rPr>
        <w:t>[6]</w:t>
      </w:r>
      <w:r>
        <w:rPr>
          <w:rFonts w:ascii="Times New Roman" w:hAnsi="Times New Roman" w:eastAsia="宋体" w:cs="Times New Roman"/>
          <w:color w:val="000000" w:themeColor="text1"/>
          <w:szCs w:val="21"/>
          <w:lang w:val="en-GB"/>
          <w14:textFill>
            <w14:solidFill>
              <w14:schemeClr w14:val="tx1"/>
            </w14:solidFill>
          </w14:textFill>
        </w:rPr>
        <w:fldChar w:fldCharType="end"/>
      </w:r>
      <w:r>
        <w:rPr>
          <w:rFonts w:hint="default" w:ascii="Times New Roman" w:hAnsi="Times New Roman" w:eastAsia="宋体" w:cs="Times New Roman"/>
          <w:color w:val="000000" w:themeColor="text1"/>
          <w:szCs w:val="21"/>
          <w:lang w:val="en-GB"/>
          <w14:textFill>
            <w14:solidFill>
              <w14:schemeClr w14:val="tx1"/>
            </w14:solidFill>
          </w14:textFill>
        </w:rPr>
        <w:t>。具体计算公式如下：</w:t>
      </w:r>
    </w:p>
    <w:p w14:paraId="15BB24FF">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ssr</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panel</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ε</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direct</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×ssr</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direct</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ε</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diffuse</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×ssr</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diffuse</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ε</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reflect</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×ssrd</m:t>
        </m:r>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S5</w:t>
      </w:r>
      <w:r>
        <w:rPr>
          <w:rFonts w:hint="default" w:ascii="Times New Roman" w:hAnsi="Times New Roman" w:eastAsia="宋体" w:cs="Times New Roman"/>
          <w:color w:val="000000" w:themeColor="text1"/>
          <w:szCs w:val="21"/>
          <w14:textFill>
            <w14:solidFill>
              <w14:schemeClr w14:val="tx1"/>
            </w14:solidFill>
          </w14:textFill>
        </w:rPr>
        <w:t>）</w:t>
      </w:r>
    </w:p>
    <w:p w14:paraId="4786FE1D">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ε</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direct</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=cos</m:t>
        </m:r>
        <m:r>
          <m:rPr>
            <m:sty m:val="p"/>
          </m:rPr>
          <w:rPr>
            <w:rFonts w:ascii="Cambria Math" w:hAnsi="Cambria Math" w:eastAsia="宋体" w:cs="Times New Roman"/>
            <w:color w:val="000000" w:themeColor="text1"/>
            <w:szCs w:val="21"/>
            <w14:textFill>
              <w14:solidFill>
                <w14:schemeClr w14:val="tx1"/>
              </w14:solidFill>
            </w14:textFill>
          </w:rPr>
          <m:t>Σ</m:t>
        </m:r>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sin</m:t>
            </m:r>
            <m:r>
              <m:rPr>
                <m:sty m:val="p"/>
              </m:rPr>
              <w:rPr>
                <w:rFonts w:ascii="Cambria Math" w:hAnsi="Cambria Math" w:eastAsia="宋体" w:cs="Times New Roman"/>
                <w:color w:val="000000" w:themeColor="text1"/>
                <w:szCs w:val="21"/>
                <w14:textFill>
                  <w14:solidFill>
                    <w14:schemeClr w14:val="tx1"/>
                  </w14:solidFill>
                </w14:textFill>
              </w:rPr>
              <m:t>Σ</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tanβ</m:t>
            </m:r>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×cosφ</m:t>
        </m:r>
      </m:oMath>
      <w:r>
        <w:rPr>
          <w:rFonts w:ascii="Times New Roman" w:hAnsi="Times New Roman" w:eastAsia="宋体" w:cs="Times New Roman"/>
          <w:color w:val="000000" w:themeColor="text1"/>
          <w:szCs w:val="21"/>
          <w14:textFill>
            <w14:solidFill>
              <w14:schemeClr w14:val="tx1"/>
            </w14:solidFill>
          </w14:textFill>
        </w:rPr>
        <w:t xml:space="preserve"> </w:t>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S6</w:t>
      </w:r>
      <w:r>
        <w:rPr>
          <w:rFonts w:hint="default" w:ascii="Times New Roman" w:hAnsi="Times New Roman" w:eastAsia="宋体" w:cs="Times New Roman"/>
          <w:color w:val="000000" w:themeColor="text1"/>
          <w:szCs w:val="21"/>
          <w14:textFill>
            <w14:solidFill>
              <w14:schemeClr w14:val="tx1"/>
            </w14:solidFill>
          </w14:textFill>
        </w:rPr>
        <w:t>）</w:t>
      </w:r>
    </w:p>
    <w:p w14:paraId="20CF7036">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ε</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diffuse</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1+cos</m:t>
            </m:r>
            <m:r>
              <m:rPr>
                <m:sty m:val="p"/>
              </m:rPr>
              <w:rPr>
                <w:rFonts w:ascii="Cambria Math" w:hAnsi="Cambria Math" w:eastAsia="宋体" w:cs="Times New Roman"/>
                <w:color w:val="000000" w:themeColor="text1"/>
                <w:szCs w:val="21"/>
                <w14:textFill>
                  <w14:solidFill>
                    <w14:schemeClr w14:val="tx1"/>
                  </w14:solidFill>
                </w14:textFill>
              </w:rPr>
              <m:t>Σ</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2</m:t>
            </m:r>
            <m:ctrlPr>
              <w:rPr>
                <w:rFonts w:ascii="Cambria Math" w:hAnsi="Cambria Math" w:eastAsia="宋体" w:cs="Times New Roman"/>
                <w:color w:val="000000" w:themeColor="text1"/>
                <w:szCs w:val="21"/>
                <w14:textFill>
                  <w14:solidFill>
                    <w14:schemeClr w14:val="tx1"/>
                  </w14:solidFill>
                </w14:textFill>
              </w:rPr>
            </m:ctrlPr>
          </m:den>
        </m:f>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S7</w:t>
      </w:r>
      <w:r>
        <w:rPr>
          <w:rFonts w:hint="default" w:ascii="Times New Roman" w:hAnsi="Times New Roman" w:eastAsia="宋体" w:cs="Times New Roman"/>
          <w:color w:val="000000" w:themeColor="text1"/>
          <w:szCs w:val="21"/>
          <w14:textFill>
            <w14:solidFill>
              <w14:schemeClr w14:val="tx1"/>
            </w14:solidFill>
          </w14:textFill>
        </w:rPr>
        <w:t>）</w:t>
      </w:r>
    </w:p>
    <w:p w14:paraId="51107AA5">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ε</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reflect</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1−cos</m:t>
            </m:r>
            <m:r>
              <m:rPr>
                <m:sty m:val="p"/>
              </m:rPr>
              <w:rPr>
                <w:rFonts w:ascii="Cambria Math" w:hAnsi="Cambria Math" w:eastAsia="宋体" w:cs="Times New Roman"/>
                <w:color w:val="000000" w:themeColor="text1"/>
                <w:szCs w:val="21"/>
                <w14:textFill>
                  <w14:solidFill>
                    <w14:schemeClr w14:val="tx1"/>
                  </w14:solidFill>
                </w14:textFill>
              </w:rPr>
              <m:t>Σ</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2</m:t>
            </m:r>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×ρ</m:t>
        </m:r>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S8</w:t>
      </w:r>
      <w:r>
        <w:rPr>
          <w:rFonts w:hint="default" w:ascii="Times New Roman" w:hAnsi="Times New Roman" w:eastAsia="宋体" w:cs="Times New Roman"/>
          <w:color w:val="000000" w:themeColor="text1"/>
          <w:szCs w:val="21"/>
          <w14:textFill>
            <w14:solidFill>
              <w14:schemeClr w14:val="tx1"/>
            </w14:solidFill>
          </w14:textFill>
        </w:rPr>
        <w:t>）</w:t>
      </w:r>
    </w:p>
    <w:p w14:paraId="003DDA2C">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ssr</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direct</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=ssrd×</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sinβ</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sinβ+C</m:t>
            </m:r>
            <m:ctrlPr>
              <w:rPr>
                <w:rFonts w:ascii="Cambria Math" w:hAnsi="Cambria Math" w:eastAsia="宋体" w:cs="Times New Roman"/>
                <w:color w:val="000000" w:themeColor="text1"/>
                <w:szCs w:val="21"/>
                <w14:textFill>
                  <w14:solidFill>
                    <w14:schemeClr w14:val="tx1"/>
                  </w14:solidFill>
                </w14:textFill>
              </w:rPr>
            </m:ctrlPr>
          </m:den>
        </m:f>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S9</w:t>
      </w:r>
      <w:r>
        <w:rPr>
          <w:rFonts w:hint="default" w:ascii="Times New Roman" w:hAnsi="Times New Roman" w:eastAsia="宋体" w:cs="Times New Roman"/>
          <w:color w:val="000000" w:themeColor="text1"/>
          <w:szCs w:val="21"/>
          <w14:textFill>
            <w14:solidFill>
              <w14:schemeClr w14:val="tx1"/>
            </w14:solidFill>
          </w14:textFill>
        </w:rPr>
        <w:t>）</w:t>
      </w:r>
    </w:p>
    <w:p w14:paraId="5FE76F5F">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ssr</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diffuse</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=ssrd×</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C</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sinβ+C</m:t>
            </m:r>
            <m:ctrlPr>
              <w:rPr>
                <w:rFonts w:ascii="Cambria Math" w:hAnsi="Cambria Math" w:eastAsia="宋体" w:cs="Times New Roman"/>
                <w:color w:val="000000" w:themeColor="text1"/>
                <w:szCs w:val="21"/>
                <w14:textFill>
                  <w14:solidFill>
                    <w14:schemeClr w14:val="tx1"/>
                  </w14:solidFill>
                </w14:textFill>
              </w:rPr>
            </m:ctrlPr>
          </m:den>
        </m:f>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S10</w:t>
      </w:r>
      <w:r>
        <w:rPr>
          <w:rFonts w:hint="default" w:ascii="Times New Roman" w:hAnsi="Times New Roman" w:eastAsia="宋体" w:cs="Times New Roman"/>
          <w:color w:val="000000" w:themeColor="text1"/>
          <w:szCs w:val="21"/>
          <w14:textFill>
            <w14:solidFill>
              <w14:schemeClr w14:val="tx1"/>
            </w14:solidFill>
          </w14:textFill>
        </w:rPr>
        <w:t>）</w:t>
      </w:r>
    </w:p>
    <w:p w14:paraId="4CA881DA">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C=0.095+0.04×sin(</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360</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365</m:t>
            </m:r>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×(N−100))</m:t>
        </m:r>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S11</w:t>
      </w:r>
      <w:r>
        <w:rPr>
          <w:rFonts w:hint="default" w:ascii="Times New Roman" w:hAnsi="Times New Roman" w:eastAsia="宋体" w:cs="Times New Roman"/>
          <w:color w:val="000000" w:themeColor="text1"/>
          <w:szCs w:val="21"/>
          <w14:textFill>
            <w14:solidFill>
              <w14:schemeClr w14:val="tx1"/>
            </w14:solidFill>
          </w14:textFill>
        </w:rPr>
        <w:t>）</w:t>
      </w:r>
    </w:p>
    <w:p w14:paraId="778A7776">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sinβ=cosL×cosδ×cosH+sinL×sinδ</m:t>
        </m:r>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S12</w:t>
      </w:r>
      <w:r>
        <w:rPr>
          <w:rFonts w:hint="default" w:ascii="Times New Roman" w:hAnsi="Times New Roman" w:eastAsia="宋体" w:cs="Times New Roman"/>
          <w:color w:val="000000" w:themeColor="text1"/>
          <w:szCs w:val="21"/>
          <w14:textFill>
            <w14:solidFill>
              <w14:schemeClr w14:val="tx1"/>
            </w14:solidFill>
          </w14:textFill>
        </w:rPr>
        <w:t>）</w:t>
      </w:r>
    </w:p>
    <w:p w14:paraId="1615DFF5">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sin</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ϕ</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cosδ×sinH</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cosβ</m:t>
            </m:r>
            <m:ctrlPr>
              <w:rPr>
                <w:rFonts w:ascii="Cambria Math" w:hAnsi="Cambria Math" w:eastAsia="宋体" w:cs="Times New Roman"/>
                <w:color w:val="000000" w:themeColor="text1"/>
                <w:szCs w:val="21"/>
                <w14:textFill>
                  <w14:solidFill>
                    <w14:schemeClr w14:val="tx1"/>
                  </w14:solidFill>
                </w14:textFill>
              </w:rPr>
            </m:ctrlPr>
          </m:den>
        </m:f>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S13</w:t>
      </w:r>
      <w:r>
        <w:rPr>
          <w:rFonts w:hint="default" w:ascii="Times New Roman" w:hAnsi="Times New Roman" w:eastAsia="宋体" w:cs="Times New Roman"/>
          <w:color w:val="000000" w:themeColor="text1"/>
          <w:szCs w:val="21"/>
          <w14:textFill>
            <w14:solidFill>
              <w14:schemeClr w14:val="tx1"/>
            </w14:solidFill>
          </w14:textFill>
        </w:rPr>
        <w:t>）</w:t>
      </w:r>
    </w:p>
    <w:p w14:paraId="603D77AB">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H=</m:t>
        </m:r>
        <m:f>
          <m:fPr>
            <m:ctrlPr>
              <w:rPr>
                <w:rFonts w:ascii="Cambria Math" w:hAnsi="Cambria Math" w:eastAsia="宋体" w:cs="Times New Roman"/>
                <w:color w:val="000000" w:themeColor="text1"/>
                <w:szCs w:val="21"/>
                <w14:textFill>
                  <w14:solidFill>
                    <w14:schemeClr w14:val="tx1"/>
                  </w14:solidFill>
                </w14:textFill>
              </w:rPr>
            </m:ctrlPr>
          </m:fPr>
          <m:num>
            <m:sSup>
              <m:sSupPr>
                <m:ctrlPr>
                  <w:rPr>
                    <w:rFonts w:ascii="Cambria Math" w:hAnsi="Cambria Math" w:eastAsia="宋体" w:cs="Times New Roman"/>
                    <w:color w:val="000000" w:themeColor="text1"/>
                    <w:szCs w:val="21"/>
                    <w14:textFill>
                      <w14:solidFill>
                        <w14:schemeClr w14:val="tx1"/>
                      </w14:solidFill>
                    </w14:textFill>
                  </w:rPr>
                </m:ctrlPr>
              </m:sSupPr>
              <m:e>
                <m:r>
                  <m:rPr/>
                  <w:rPr>
                    <w:rFonts w:ascii="Cambria Math" w:hAnsi="Cambria Math" w:eastAsia="宋体" w:cs="Times New Roman"/>
                    <w:color w:val="000000" w:themeColor="text1"/>
                    <w:szCs w:val="21"/>
                    <w14:textFill>
                      <w14:solidFill>
                        <w14:schemeClr w14:val="tx1"/>
                      </w14:solidFill>
                    </w14:textFill>
                  </w:rPr>
                  <m:t>15</m:t>
                </m:r>
                <m:ctrlPr>
                  <w:rPr>
                    <w:rFonts w:ascii="Cambria Math" w:hAnsi="Cambria Math" w:eastAsia="宋体" w:cs="Times New Roman"/>
                    <w:color w:val="000000" w:themeColor="text1"/>
                    <w:szCs w:val="21"/>
                    <w14:textFill>
                      <w14:solidFill>
                        <w14:schemeClr w14:val="tx1"/>
                      </w14:solidFill>
                    </w14:textFill>
                  </w:rPr>
                </m:ctrlPr>
              </m:e>
              <m:sup>
                <m:r>
                  <m:rPr/>
                  <w:rPr>
                    <w:rFonts w:ascii="Cambria Math" w:hAnsi="Cambria Math" w:eastAsia="宋体" w:cs="Times New Roman"/>
                    <w:color w:val="000000" w:themeColor="text1"/>
                    <w:szCs w:val="21"/>
                    <w14:textFill>
                      <w14:solidFill>
                        <w14:schemeClr w14:val="tx1"/>
                      </w14:solidFill>
                    </w14:textFill>
                  </w:rPr>
                  <m:t>°</m:t>
                </m:r>
                <m:ctrlPr>
                  <w:rPr>
                    <w:rFonts w:ascii="Cambria Math" w:hAnsi="Cambria Math" w:eastAsia="宋体" w:cs="Times New Roman"/>
                    <w:color w:val="000000" w:themeColor="text1"/>
                    <w:szCs w:val="21"/>
                    <w14:textFill>
                      <w14:solidFill>
                        <w14:schemeClr w14:val="tx1"/>
                      </w14:solidFill>
                    </w14:textFill>
                  </w:rPr>
                </m:ctrlPr>
              </m:sup>
            </m:sSup>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hour</m:t>
            </m:r>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×(hours  before  solar  noon)</m:t>
        </m:r>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S14</w:t>
      </w:r>
      <w:r>
        <w:rPr>
          <w:rFonts w:hint="default" w:ascii="Times New Roman" w:hAnsi="Times New Roman" w:eastAsia="宋体" w:cs="Times New Roman"/>
          <w:color w:val="000000" w:themeColor="text1"/>
          <w:szCs w:val="21"/>
          <w14:textFill>
            <w14:solidFill>
              <w14:schemeClr w14:val="tx1"/>
            </w14:solidFill>
          </w14:textFill>
        </w:rPr>
        <w:t>）</w:t>
      </w:r>
    </w:p>
    <w:p w14:paraId="3124C7C5">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d>
          <m:dPr>
            <m:begChr m:val="|"/>
            <m:endChr m:val="|"/>
            <m:ctrlPr>
              <w:rPr>
                <w:rFonts w:ascii="Cambria Math" w:hAnsi="Cambria Math" w:eastAsia="方正书宋简体" w:cs="Times New Roman"/>
                <w:i/>
                <w:color w:val="000000" w:themeColor="text1"/>
                <w:szCs w:val="21"/>
                <w14:textFill>
                  <w14:solidFill>
                    <w14:schemeClr w14:val="tx1"/>
                  </w14:solidFill>
                </w14:textFill>
              </w:rPr>
            </m:ctrlPr>
          </m:dPr>
          <m:e>
            <m:sSub>
              <m:sSubPr>
                <m:ctrlPr>
                  <w:rPr>
                    <w:rFonts w:ascii="Cambria Math" w:hAnsi="Cambria Math" w:eastAsia="方正书宋简体" w:cs="Times New Roman"/>
                    <w:i/>
                    <w:color w:val="000000" w:themeColor="text1"/>
                    <w:szCs w:val="21"/>
                    <w14:textFill>
                      <w14:solidFill>
                        <w14:schemeClr w14:val="tx1"/>
                      </w14:solidFill>
                    </w14:textFill>
                  </w:rPr>
                </m:ctrlPr>
              </m:sSubPr>
              <m:e>
                <m:r>
                  <m:rPr/>
                  <w:rPr>
                    <w:rFonts w:ascii="Cambria Math" w:hAnsi="Cambria Math" w:eastAsia="方正书宋简体" w:cs="Times New Roman"/>
                    <w:color w:val="000000" w:themeColor="text1"/>
                    <w:szCs w:val="21"/>
                    <w14:textFill>
                      <w14:solidFill>
                        <w14:schemeClr w14:val="tx1"/>
                      </w14:solidFill>
                    </w14:textFill>
                  </w:rPr>
                  <m:t>ϕ</m:t>
                </m:r>
                <m:ctrlPr>
                  <w:rPr>
                    <w:rFonts w:ascii="Cambria Math" w:hAnsi="Cambria Math" w:eastAsia="方正书宋简体" w:cs="Times New Roman"/>
                    <w:i/>
                    <w:color w:val="000000" w:themeColor="text1"/>
                    <w:szCs w:val="21"/>
                    <w14:textFill>
                      <w14:solidFill>
                        <w14:schemeClr w14:val="tx1"/>
                      </w14:solidFill>
                    </w14:textFill>
                  </w:rPr>
                </m:ctrlPr>
              </m:e>
              <m:sub>
                <m:r>
                  <m:rPr/>
                  <w:rPr>
                    <w:rFonts w:ascii="Cambria Math" w:hAnsi="Cambria Math" w:eastAsia="方正书宋简体" w:cs="Times New Roman"/>
                    <w:color w:val="000000" w:themeColor="text1"/>
                    <w:szCs w:val="21"/>
                    <w14:textFill>
                      <w14:solidFill>
                        <w14:schemeClr w14:val="tx1"/>
                      </w14:solidFill>
                    </w14:textFill>
                  </w:rPr>
                  <m:t>s</m:t>
                </m:r>
                <m:ctrlPr>
                  <w:rPr>
                    <w:rFonts w:ascii="Cambria Math" w:hAnsi="Cambria Math" w:eastAsia="方正书宋简体" w:cs="Times New Roman"/>
                    <w:i/>
                    <w:color w:val="000000" w:themeColor="text1"/>
                    <w:szCs w:val="21"/>
                    <w14:textFill>
                      <w14:solidFill>
                        <w14:schemeClr w14:val="tx1"/>
                      </w14:solidFill>
                    </w14:textFill>
                  </w:rPr>
                </m:ctrlPr>
              </m:sub>
            </m:sSub>
            <m:ctrlPr>
              <w:rPr>
                <w:rFonts w:ascii="Cambria Math" w:hAnsi="Cambria Math" w:eastAsia="方正书宋简体" w:cs="Times New Roman"/>
                <w:i/>
                <w:color w:val="000000" w:themeColor="text1"/>
                <w:szCs w:val="21"/>
                <w14:textFill>
                  <w14:solidFill>
                    <w14:schemeClr w14:val="tx1"/>
                  </w14:solidFill>
                </w14:textFill>
              </w:rPr>
            </m:ctrlPr>
          </m:e>
        </m:d>
        <m:r>
          <m:rPr/>
          <w:rPr>
            <w:rFonts w:ascii="Cambria Math" w:hAnsi="Cambria Math" w:eastAsia="方正书宋简体" w:cs="Times New Roman"/>
            <w:color w:val="000000" w:themeColor="text1"/>
            <w:szCs w:val="21"/>
            <w14:textFill>
              <w14:solidFill>
                <w14:schemeClr w14:val="tx1"/>
              </w14:solidFill>
            </w14:textFill>
          </w:rPr>
          <m:t>=</m:t>
        </m:r>
        <m:d>
          <m:dPr>
            <m:begChr m:val="{"/>
            <m:endChr m:val=""/>
            <m:ctrlPr>
              <w:rPr>
                <w:rFonts w:ascii="Cambria Math" w:hAnsi="Cambria Math" w:eastAsia="方正书宋简体" w:cs="Times New Roman"/>
                <w:i/>
                <w:color w:val="000000" w:themeColor="text1"/>
                <w:szCs w:val="21"/>
                <w14:textFill>
                  <w14:solidFill>
                    <w14:schemeClr w14:val="tx1"/>
                  </w14:solidFill>
                </w14:textFill>
              </w:rPr>
            </m:ctrlPr>
          </m:dPr>
          <m:e>
            <m:eqArr>
              <m:eqArrPr>
                <m:ctrlPr>
                  <w:rPr>
                    <w:rFonts w:ascii="Cambria Math" w:hAnsi="Cambria Math" w:eastAsia="方正书宋简体" w:cs="Times New Roman"/>
                    <w:i/>
                    <w:color w:val="000000" w:themeColor="text1"/>
                    <w:szCs w:val="21"/>
                    <w14:textFill>
                      <w14:solidFill>
                        <w14:schemeClr w14:val="tx1"/>
                      </w14:solidFill>
                    </w14:textFill>
                  </w:rPr>
                </m:ctrlPr>
              </m:eqArrPr>
              <m:e>
                <m:r>
                  <m:rPr/>
                  <w:rPr>
                    <w:rFonts w:hint="default" w:ascii="Cambria Math" w:hAnsi="Cambria Math" w:eastAsia="方正书宋简体" w:cs="Times New Roman"/>
                    <w:color w:val="000000" w:themeColor="text1"/>
                    <w:szCs w:val="21"/>
                    <w14:textFill>
                      <w14:solidFill>
                        <w14:schemeClr w14:val="tx1"/>
                      </w14:solidFill>
                    </w14:textFill>
                  </w:rPr>
                  <m:t>≤</m:t>
                </m:r>
                <m:r>
                  <m:rPr/>
                  <w:rPr>
                    <w:rFonts w:ascii="Cambria Math" w:hAnsi="Cambria Math" w:eastAsia="方正书宋简体" w:cs="Times New Roman"/>
                    <w:color w:val="000000" w:themeColor="text1"/>
                    <w:szCs w:val="21"/>
                    <w14:textFill>
                      <w14:solidFill>
                        <w14:schemeClr w14:val="tx1"/>
                      </w14:solidFill>
                    </w14:textFill>
                  </w:rPr>
                  <m:t>90</m:t>
                </m:r>
                <m:r>
                  <m:rPr>
                    <m:sty m:val="p"/>
                  </m:rPr>
                  <w:rPr>
                    <w:rFonts w:ascii="Cambria Math" w:hAnsi="Cambria Math" w:eastAsia="方正书宋简体" w:cs="Times New Roman"/>
                    <w:color w:val="000000" w:themeColor="text1"/>
                    <w:szCs w:val="21"/>
                    <w14:textFill>
                      <w14:solidFill>
                        <w14:schemeClr w14:val="tx1"/>
                      </w14:solidFill>
                    </w14:textFill>
                  </w:rPr>
                  <m:t>°</m:t>
                </m:r>
                <m:r>
                  <m:rPr/>
                  <w:rPr>
                    <w:rFonts w:ascii="Cambria Math" w:hAnsi="Cambria Math" w:eastAsia="方正书宋简体" w:cs="Times New Roman"/>
                    <w:color w:val="000000" w:themeColor="text1"/>
                    <w:szCs w:val="21"/>
                    <w14:textFill>
                      <w14:solidFill>
                        <w14:schemeClr w14:val="tx1"/>
                      </w14:solidFill>
                    </w14:textFill>
                  </w:rPr>
                  <m:t>,   cosH</m:t>
                </m:r>
                <m:r>
                  <m:rPr/>
                  <w:rPr>
                    <w:rFonts w:hint="default" w:ascii="Cambria Math" w:hAnsi="Cambria Math" w:eastAsia="方正书宋简体" w:cs="Times New Roman"/>
                    <w:color w:val="000000" w:themeColor="text1"/>
                    <w:szCs w:val="21"/>
                    <w14:textFill>
                      <w14:solidFill>
                        <w14:schemeClr w14:val="tx1"/>
                      </w14:solidFill>
                    </w14:textFill>
                  </w:rPr>
                  <m:t>≥</m:t>
                </m:r>
                <m:f>
                  <m:fPr>
                    <m:ctrlPr>
                      <w:rPr>
                        <w:rFonts w:ascii="Cambria Math" w:hAnsi="Cambria Math" w:eastAsia="方正书宋简体" w:cs="Times New Roman"/>
                        <w:i/>
                        <w:color w:val="000000" w:themeColor="text1"/>
                        <w:szCs w:val="21"/>
                        <w14:textFill>
                          <w14:solidFill>
                            <w14:schemeClr w14:val="tx1"/>
                          </w14:solidFill>
                        </w14:textFill>
                      </w:rPr>
                    </m:ctrlPr>
                  </m:fPr>
                  <m:num>
                    <m:r>
                      <m:rPr/>
                      <w:rPr>
                        <w:rFonts w:ascii="Cambria Math" w:hAnsi="Cambria Math" w:eastAsia="方正书宋简体" w:cs="Times New Roman"/>
                        <w:color w:val="000000" w:themeColor="text1"/>
                        <w:szCs w:val="21"/>
                        <w14:textFill>
                          <w14:solidFill>
                            <w14:schemeClr w14:val="tx1"/>
                          </w14:solidFill>
                        </w14:textFill>
                      </w:rPr>
                      <m:t>tanδ</m:t>
                    </m:r>
                    <m:ctrlPr>
                      <w:rPr>
                        <w:rFonts w:ascii="Cambria Math" w:hAnsi="Cambria Math" w:eastAsia="方正书宋简体" w:cs="Times New Roman"/>
                        <w:i/>
                        <w:color w:val="000000" w:themeColor="text1"/>
                        <w:szCs w:val="21"/>
                        <w14:textFill>
                          <w14:solidFill>
                            <w14:schemeClr w14:val="tx1"/>
                          </w14:solidFill>
                        </w14:textFill>
                      </w:rPr>
                    </m:ctrlPr>
                  </m:num>
                  <m:den>
                    <m:r>
                      <m:rPr/>
                      <w:rPr>
                        <w:rFonts w:ascii="Cambria Math" w:hAnsi="Cambria Math" w:eastAsia="方正书宋简体" w:cs="Times New Roman"/>
                        <w:color w:val="000000" w:themeColor="text1"/>
                        <w:szCs w:val="21"/>
                        <w14:textFill>
                          <w14:solidFill>
                            <w14:schemeClr w14:val="tx1"/>
                          </w14:solidFill>
                        </w14:textFill>
                      </w:rPr>
                      <m:t>tanL</m:t>
                    </m:r>
                    <m:ctrlPr>
                      <w:rPr>
                        <w:rFonts w:ascii="Cambria Math" w:hAnsi="Cambria Math" w:eastAsia="方正书宋简体" w:cs="Times New Roman"/>
                        <w:i/>
                        <w:color w:val="000000" w:themeColor="text1"/>
                        <w:szCs w:val="21"/>
                        <w14:textFill>
                          <w14:solidFill>
                            <w14:schemeClr w14:val="tx1"/>
                          </w14:solidFill>
                        </w14:textFill>
                      </w:rPr>
                    </m:ctrlPr>
                  </m:den>
                </m:f>
                <m:ctrlPr>
                  <w:rPr>
                    <w:rFonts w:ascii="Cambria Math" w:hAnsi="Cambria Math" w:eastAsia="方正书宋简体" w:cs="Times New Roman"/>
                    <w:i/>
                    <w:color w:val="000000" w:themeColor="text1"/>
                    <w:szCs w:val="21"/>
                    <w14:textFill>
                      <w14:solidFill>
                        <w14:schemeClr w14:val="tx1"/>
                      </w14:solidFill>
                    </w14:textFill>
                  </w:rPr>
                </m:ctrlPr>
              </m:e>
              <m:e>
                <m:r>
                  <m:rPr/>
                  <w:rPr>
                    <w:rFonts w:ascii="Cambria Math" w:hAnsi="Cambria Math" w:eastAsia="方正书宋简体" w:cs="Times New Roman"/>
                    <w:color w:val="000000" w:themeColor="text1"/>
                    <w:szCs w:val="21"/>
                    <w14:textFill>
                      <w14:solidFill>
                        <w14:schemeClr w14:val="tx1"/>
                      </w14:solidFill>
                    </w14:textFill>
                  </w:rPr>
                  <m:t>&gt;90</m:t>
                </m:r>
                <m:r>
                  <m:rPr>
                    <m:sty m:val="p"/>
                  </m:rPr>
                  <w:rPr>
                    <w:rFonts w:ascii="Cambria Math" w:hAnsi="Cambria Math" w:eastAsia="方正书宋简体" w:cs="Times New Roman"/>
                    <w:color w:val="000000" w:themeColor="text1"/>
                    <w:szCs w:val="21"/>
                    <w14:textFill>
                      <w14:solidFill>
                        <w14:schemeClr w14:val="tx1"/>
                      </w14:solidFill>
                    </w14:textFill>
                  </w:rPr>
                  <m:t>°</m:t>
                </m:r>
                <m:r>
                  <m:rPr/>
                  <w:rPr>
                    <w:rFonts w:ascii="Cambria Math" w:hAnsi="Cambria Math" w:eastAsia="方正书宋简体" w:cs="Times New Roman"/>
                    <w:color w:val="000000" w:themeColor="text1"/>
                    <w:szCs w:val="21"/>
                    <w14:textFill>
                      <w14:solidFill>
                        <w14:schemeClr w14:val="tx1"/>
                      </w14:solidFill>
                    </w14:textFill>
                  </w:rPr>
                  <m:t>,   cosH&lt;</m:t>
                </m:r>
                <m:f>
                  <m:fPr>
                    <m:ctrlPr>
                      <w:rPr>
                        <w:rFonts w:ascii="Cambria Math" w:hAnsi="Cambria Math" w:eastAsia="方正书宋简体" w:cs="Times New Roman"/>
                        <w:i/>
                        <w:color w:val="000000" w:themeColor="text1"/>
                        <w:szCs w:val="21"/>
                        <w14:textFill>
                          <w14:solidFill>
                            <w14:schemeClr w14:val="tx1"/>
                          </w14:solidFill>
                        </w14:textFill>
                      </w:rPr>
                    </m:ctrlPr>
                  </m:fPr>
                  <m:num>
                    <m:r>
                      <m:rPr/>
                      <w:rPr>
                        <w:rFonts w:ascii="Cambria Math" w:hAnsi="Cambria Math" w:eastAsia="方正书宋简体" w:cs="Times New Roman"/>
                        <w:color w:val="000000" w:themeColor="text1"/>
                        <w:szCs w:val="21"/>
                        <w14:textFill>
                          <w14:solidFill>
                            <w14:schemeClr w14:val="tx1"/>
                          </w14:solidFill>
                        </w14:textFill>
                      </w:rPr>
                      <m:t>tanδ</m:t>
                    </m:r>
                    <m:ctrlPr>
                      <w:rPr>
                        <w:rFonts w:ascii="Cambria Math" w:hAnsi="Cambria Math" w:eastAsia="方正书宋简体" w:cs="Times New Roman"/>
                        <w:i/>
                        <w:color w:val="000000" w:themeColor="text1"/>
                        <w:szCs w:val="21"/>
                        <w14:textFill>
                          <w14:solidFill>
                            <w14:schemeClr w14:val="tx1"/>
                          </w14:solidFill>
                        </w14:textFill>
                      </w:rPr>
                    </m:ctrlPr>
                  </m:num>
                  <m:den>
                    <m:r>
                      <m:rPr/>
                      <w:rPr>
                        <w:rFonts w:ascii="Cambria Math" w:hAnsi="Cambria Math" w:eastAsia="方正书宋简体" w:cs="Times New Roman"/>
                        <w:color w:val="000000" w:themeColor="text1"/>
                        <w:szCs w:val="21"/>
                        <w14:textFill>
                          <w14:solidFill>
                            <w14:schemeClr w14:val="tx1"/>
                          </w14:solidFill>
                        </w14:textFill>
                      </w:rPr>
                      <m:t>tanL</m:t>
                    </m:r>
                    <m:ctrlPr>
                      <w:rPr>
                        <w:rFonts w:ascii="Cambria Math" w:hAnsi="Cambria Math" w:eastAsia="方正书宋简体" w:cs="Times New Roman"/>
                        <w:i/>
                        <w:color w:val="000000" w:themeColor="text1"/>
                        <w:szCs w:val="21"/>
                        <w14:textFill>
                          <w14:solidFill>
                            <w14:schemeClr w14:val="tx1"/>
                          </w14:solidFill>
                        </w14:textFill>
                      </w:rPr>
                    </m:ctrlPr>
                  </m:den>
                </m:f>
                <m:ctrlPr>
                  <w:rPr>
                    <w:rFonts w:ascii="Cambria Math" w:hAnsi="Cambria Math" w:eastAsia="方正书宋简体" w:cs="Times New Roman"/>
                    <w:i/>
                    <w:color w:val="000000" w:themeColor="text1"/>
                    <w:szCs w:val="21"/>
                    <w14:textFill>
                      <w14:solidFill>
                        <w14:schemeClr w14:val="tx1"/>
                      </w14:solidFill>
                    </w14:textFill>
                  </w:rPr>
                </m:ctrlPr>
              </m:e>
            </m:eqArr>
            <m:ctrlPr>
              <w:rPr>
                <w:rFonts w:ascii="Cambria Math" w:hAnsi="Cambria Math" w:eastAsia="方正书宋简体" w:cs="Times New Roman"/>
                <w:i/>
                <w:color w:val="000000" w:themeColor="text1"/>
                <w:szCs w:val="21"/>
                <w14:textFill>
                  <w14:solidFill>
                    <w14:schemeClr w14:val="tx1"/>
                  </w14:solidFill>
                </w14:textFill>
              </w:rPr>
            </m:ctrlPr>
          </m:e>
        </m:d>
      </m:oMath>
      <w:r>
        <w:rPr>
          <w:rFonts w:ascii="Times New Roman" w:hAnsi="Times New Roman" w:eastAsia="宋体" w:cs="Times New Roman"/>
          <w:i/>
          <w:color w:val="000000" w:themeColor="text1"/>
          <w:szCs w:val="21"/>
          <w14:textFill>
            <w14:solidFill>
              <w14:schemeClr w14:val="tx1"/>
            </w14:solidFill>
          </w14:textFill>
        </w:rPr>
        <w:t xml:space="preserve">     </w:t>
      </w:r>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S15</w:t>
      </w:r>
      <w:r>
        <w:rPr>
          <w:rFonts w:hint="default" w:ascii="Times New Roman" w:hAnsi="Times New Roman" w:eastAsia="宋体" w:cs="Times New Roman"/>
          <w:color w:val="000000" w:themeColor="text1"/>
          <w:szCs w:val="21"/>
          <w14:textFill>
            <w14:solidFill>
              <w14:schemeClr w14:val="tx1"/>
            </w14:solidFill>
          </w14:textFill>
        </w:rPr>
        <w:t>）</w:t>
      </w:r>
    </w:p>
    <w:p w14:paraId="6B109293">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其中，</w:t>
      </w:r>
      <w:r>
        <w:rPr>
          <w:rFonts w:ascii="Times New Roman" w:hAnsi="Times New Roman" w:eastAsia="宋体" w:cs="Times New Roman"/>
          <w:i/>
          <w:iCs/>
          <w:color w:val="000000" w:themeColor="text1"/>
          <w:szCs w:val="21"/>
          <w14:textFill>
            <w14:solidFill>
              <w14:schemeClr w14:val="tx1"/>
            </w14:solidFill>
          </w14:textFill>
        </w:rPr>
        <w:t>ssrd</w:t>
      </w:r>
      <w:r>
        <w:rPr>
          <w:rFonts w:ascii="Times New Roman" w:hAnsi="Times New Roman" w:eastAsia="宋体" w:cs="Times New Roman"/>
          <w:i/>
          <w:iCs/>
          <w:color w:val="000000" w:themeColor="text1"/>
          <w:szCs w:val="21"/>
          <w:vertAlign w:val="subscript"/>
          <w14:textFill>
            <w14:solidFill>
              <w14:schemeClr w14:val="tx1"/>
            </w14:solidFill>
          </w14:textFill>
        </w:rPr>
        <w:t>panel</w:t>
      </w:r>
      <w:r>
        <w:rPr>
          <w:rFonts w:hint="default" w:ascii="Times New Roman" w:hAnsi="Times New Roman" w:eastAsia="宋体" w:cs="Times New Roman"/>
          <w:color w:val="000000" w:themeColor="text1"/>
          <w:szCs w:val="21"/>
          <w14:textFill>
            <w14:solidFill>
              <w14:schemeClr w14:val="tx1"/>
            </w14:solidFill>
          </w14:textFill>
        </w:rPr>
        <w:t>为光伏板截获的太阳辐射（</w:t>
      </w:r>
      <w:r>
        <w:rPr>
          <w:rFonts w:ascii="Times New Roman" w:hAnsi="Times New Roman" w:eastAsia="宋体" w:cs="Times New Roman"/>
          <w:color w:val="000000" w:themeColor="text1"/>
          <w:szCs w:val="21"/>
          <w14:textFill>
            <w14:solidFill>
              <w14:schemeClr w14:val="tx1"/>
            </w14:solidFill>
          </w14:textFill>
        </w:rPr>
        <w:t>kWh</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m</w:t>
      </w:r>
      <w:r>
        <w:rPr>
          <w:rFonts w:ascii="Times New Roman" w:hAnsi="Times New Roman" w:eastAsia="宋体" w:cs="Times New Roman"/>
          <w:color w:val="000000" w:themeColor="text1"/>
          <w:szCs w:val="21"/>
          <w:vertAlign w:val="superscript"/>
          <w14:textFill>
            <w14:solidFill>
              <w14:schemeClr w14:val="tx1"/>
            </w14:solidFill>
          </w14:textFill>
        </w:rPr>
        <w:t>-2</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ssrd</w:t>
      </w:r>
      <w:r>
        <w:rPr>
          <w:rFonts w:hint="default" w:ascii="Times New Roman" w:hAnsi="Times New Roman" w:eastAsia="宋体" w:cs="Times New Roman"/>
          <w:color w:val="000000" w:themeColor="text1"/>
          <w:szCs w:val="21"/>
          <w14:textFill>
            <w14:solidFill>
              <w14:schemeClr w14:val="tx1"/>
            </w14:solidFill>
          </w14:textFill>
        </w:rPr>
        <w:t>为地表接收的太阳短波辐射（</w:t>
      </w:r>
      <w:r>
        <w:rPr>
          <w:rFonts w:ascii="Times New Roman" w:hAnsi="Times New Roman" w:eastAsia="宋体" w:cs="Times New Roman"/>
          <w:color w:val="000000" w:themeColor="text1"/>
          <w:szCs w:val="21"/>
          <w14:textFill>
            <w14:solidFill>
              <w14:schemeClr w14:val="tx1"/>
            </w14:solidFill>
          </w14:textFill>
        </w:rPr>
        <w:t>kWh</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m</w:t>
      </w:r>
      <w:r>
        <w:rPr>
          <w:rFonts w:ascii="Times New Roman" w:hAnsi="Times New Roman" w:eastAsia="宋体" w:cs="Times New Roman"/>
          <w:color w:val="000000" w:themeColor="text1"/>
          <w:szCs w:val="21"/>
          <w:vertAlign w:val="superscript"/>
          <w14:textFill>
            <w14:solidFill>
              <w14:schemeClr w14:val="tx1"/>
            </w14:solidFill>
          </w14:textFill>
        </w:rPr>
        <w:t>-2</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ssrd</w:t>
      </w:r>
      <w:r>
        <w:rPr>
          <w:rFonts w:ascii="Times New Roman" w:hAnsi="Times New Roman" w:eastAsia="宋体" w:cs="Times New Roman"/>
          <w:i/>
          <w:iCs/>
          <w:color w:val="000000" w:themeColor="text1"/>
          <w:szCs w:val="21"/>
          <w:vertAlign w:val="subscript"/>
          <w14:textFill>
            <w14:solidFill>
              <w14:schemeClr w14:val="tx1"/>
            </w14:solidFill>
          </w14:textFill>
        </w:rPr>
        <w:t>direct</w:t>
      </w:r>
      <w:r>
        <w:rPr>
          <w:rFonts w:hint="default" w:ascii="Times New Roman" w:hAnsi="Times New Roman" w:eastAsia="宋体" w:cs="Times New Roman"/>
          <w:color w:val="000000" w:themeColor="text1"/>
          <w:szCs w:val="21"/>
          <w14:textFill>
            <w14:solidFill>
              <w14:schemeClr w14:val="tx1"/>
            </w14:solidFill>
          </w14:textFill>
        </w:rPr>
        <w:t>和</w:t>
      </w:r>
      <w:r>
        <w:rPr>
          <w:rFonts w:ascii="Times New Roman" w:hAnsi="Times New Roman" w:eastAsia="宋体" w:cs="Times New Roman"/>
          <w:i/>
          <w:iCs/>
          <w:color w:val="000000" w:themeColor="text1"/>
          <w:szCs w:val="21"/>
          <w14:textFill>
            <w14:solidFill>
              <w14:schemeClr w14:val="tx1"/>
            </w14:solidFill>
          </w14:textFill>
        </w:rPr>
        <w:t>ssrd</w:t>
      </w:r>
      <w:r>
        <w:rPr>
          <w:rFonts w:ascii="Times New Roman" w:hAnsi="Times New Roman" w:eastAsia="宋体" w:cs="Times New Roman"/>
          <w:i/>
          <w:iCs/>
          <w:color w:val="000000" w:themeColor="text1"/>
          <w:szCs w:val="21"/>
          <w:vertAlign w:val="subscript"/>
          <w14:textFill>
            <w14:solidFill>
              <w14:schemeClr w14:val="tx1"/>
            </w14:solidFill>
          </w14:textFill>
        </w:rPr>
        <w:t>diffuse</w:t>
      </w:r>
      <w:r>
        <w:rPr>
          <w:rFonts w:hint="default" w:ascii="Times New Roman" w:hAnsi="Times New Roman" w:eastAsia="宋体" w:cs="Times New Roman"/>
          <w:color w:val="000000" w:themeColor="text1"/>
          <w:szCs w:val="21"/>
          <w14:textFill>
            <w14:solidFill>
              <w14:schemeClr w14:val="tx1"/>
            </w14:solidFill>
          </w14:textFill>
        </w:rPr>
        <w:t>分别为太阳直射辐射和散射辐射分量（</w:t>
      </w:r>
      <w:r>
        <w:rPr>
          <w:rFonts w:ascii="Times New Roman" w:hAnsi="Times New Roman" w:eastAsia="宋体" w:cs="Times New Roman"/>
          <w:color w:val="000000" w:themeColor="text1"/>
          <w:szCs w:val="21"/>
          <w14:textFill>
            <w14:solidFill>
              <w14:schemeClr w14:val="tx1"/>
            </w14:solidFill>
          </w14:textFill>
        </w:rPr>
        <w:t>kWh</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m</w:t>
      </w:r>
      <w:r>
        <w:rPr>
          <w:rFonts w:ascii="Times New Roman" w:hAnsi="Times New Roman" w:eastAsia="宋体" w:cs="Times New Roman"/>
          <w:color w:val="000000" w:themeColor="text1"/>
          <w:szCs w:val="21"/>
          <w:vertAlign w:val="superscript"/>
          <w14:textFill>
            <w14:solidFill>
              <w14:schemeClr w14:val="tx1"/>
            </w14:solidFill>
          </w14:textFill>
        </w:rPr>
        <w:t>-2</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ε</w:t>
      </w:r>
      <w:r>
        <w:rPr>
          <w:rFonts w:ascii="Times New Roman" w:hAnsi="Times New Roman" w:eastAsia="宋体" w:cs="Times New Roman"/>
          <w:i/>
          <w:iCs/>
          <w:color w:val="000000" w:themeColor="text1"/>
          <w:szCs w:val="21"/>
          <w:vertAlign w:val="subscript"/>
          <w14:textFill>
            <w14:solidFill>
              <w14:schemeClr w14:val="tx1"/>
            </w14:solidFill>
          </w14:textFill>
        </w:rPr>
        <w:t>direct</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ε</w:t>
      </w:r>
      <w:r>
        <w:rPr>
          <w:rFonts w:ascii="Times New Roman" w:hAnsi="Times New Roman" w:eastAsia="宋体" w:cs="Times New Roman"/>
          <w:i/>
          <w:iCs/>
          <w:color w:val="000000" w:themeColor="text1"/>
          <w:szCs w:val="21"/>
          <w:vertAlign w:val="subscript"/>
          <w14:textFill>
            <w14:solidFill>
              <w14:schemeClr w14:val="tx1"/>
            </w14:solidFill>
          </w14:textFill>
        </w:rPr>
        <w:t>diffuse</w:t>
      </w:r>
      <w:r>
        <w:rPr>
          <w:rFonts w:hint="default" w:ascii="Times New Roman" w:hAnsi="Times New Roman" w:eastAsia="宋体" w:cs="Times New Roman"/>
          <w:color w:val="000000" w:themeColor="text1"/>
          <w:szCs w:val="21"/>
          <w14:textFill>
            <w14:solidFill>
              <w14:schemeClr w14:val="tx1"/>
            </w14:solidFill>
          </w14:textFill>
        </w:rPr>
        <w:t>和</w:t>
      </w:r>
      <w:r>
        <w:rPr>
          <w:rFonts w:ascii="Times New Roman" w:hAnsi="Times New Roman" w:eastAsia="宋体" w:cs="Times New Roman"/>
          <w:i/>
          <w:iCs/>
          <w:color w:val="000000" w:themeColor="text1"/>
          <w:szCs w:val="21"/>
          <w14:textFill>
            <w14:solidFill>
              <w14:schemeClr w14:val="tx1"/>
            </w14:solidFill>
          </w14:textFill>
        </w:rPr>
        <w:t>ε</w:t>
      </w:r>
      <w:r>
        <w:rPr>
          <w:rFonts w:ascii="Times New Roman" w:hAnsi="Times New Roman" w:eastAsia="宋体" w:cs="Times New Roman"/>
          <w:i/>
          <w:iCs/>
          <w:color w:val="000000" w:themeColor="text1"/>
          <w:szCs w:val="21"/>
          <w:vertAlign w:val="subscript"/>
          <w14:textFill>
            <w14:solidFill>
              <w14:schemeClr w14:val="tx1"/>
            </w14:solidFill>
          </w14:textFill>
        </w:rPr>
        <w:t>reflect</w:t>
      </w:r>
      <w:r>
        <w:rPr>
          <w:rFonts w:hint="default" w:ascii="Times New Roman" w:hAnsi="Times New Roman" w:eastAsia="宋体" w:cs="Times New Roman"/>
          <w:color w:val="000000" w:themeColor="text1"/>
          <w:szCs w:val="21"/>
          <w14:textFill>
            <w14:solidFill>
              <w14:schemeClr w14:val="tx1"/>
            </w14:solidFill>
          </w14:textFill>
        </w:rPr>
        <w:t>分别为直射系数、散射系数和反射系数，取值范围均为</w:t>
      </w:r>
      <w:r>
        <w:rPr>
          <w:rFonts w:ascii="Times New Roman" w:hAnsi="Times New Roman" w:eastAsia="宋体" w:cs="Times New Roman"/>
          <w:color w:val="000000" w:themeColor="text1"/>
          <w:szCs w:val="21"/>
          <w14:textFill>
            <w14:solidFill>
              <w14:schemeClr w14:val="tx1"/>
            </w14:solidFill>
          </w14:textFill>
        </w:rPr>
        <w:t>0</w:t>
      </w:r>
      <w:r>
        <w:rPr>
          <w:rFonts w:hint="default" w:ascii="Times New Roman" w:hAnsi="Times New Roman" w:eastAsia="宋体" w:cs="Times New Roman"/>
          <w:color w:val="000000" w:themeColor="text1"/>
          <w:szCs w:val="21"/>
          <w14:textFill>
            <w14:solidFill>
              <w14:schemeClr w14:val="tx1"/>
            </w14:solidFill>
          </w14:textFill>
        </w:rPr>
        <w:t>到</w:t>
      </w:r>
      <w:r>
        <w:rPr>
          <w:rFonts w:ascii="Times New Roman" w:hAnsi="Times New Roman" w:eastAsia="宋体" w:cs="Times New Roman"/>
          <w:color w:val="000000" w:themeColor="text1"/>
          <w:szCs w:val="21"/>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β</w:t>
      </w:r>
      <w:r>
        <w:rPr>
          <w:rFonts w:hint="default" w:ascii="Times New Roman" w:hAnsi="Times New Roman" w:eastAsia="宋体" w:cs="Times New Roman"/>
          <w:color w:val="000000" w:themeColor="text1"/>
          <w:szCs w:val="21"/>
          <w14:textFill>
            <w14:solidFill>
              <w14:schemeClr w14:val="tx1"/>
            </w14:solidFill>
          </w14:textFill>
        </w:rPr>
        <w:t>和</w:t>
      </w:r>
      <w:r>
        <w:rPr>
          <w:rFonts w:ascii="Times New Roman" w:hAnsi="Times New Roman" w:eastAsia="宋体" w:cs="Times New Roman"/>
          <w:i/>
          <w:iCs/>
          <w:color w:val="000000" w:themeColor="text1"/>
          <w:szCs w:val="21"/>
          <w14:textFill>
            <w14:solidFill>
              <w14:schemeClr w14:val="tx1"/>
            </w14:solidFill>
          </w14:textFill>
        </w:rPr>
        <w:t>φ</w:t>
      </w:r>
      <w:r>
        <w:rPr>
          <w:rFonts w:hint="default" w:ascii="Times New Roman" w:hAnsi="Times New Roman" w:eastAsia="宋体" w:cs="Times New Roman"/>
          <w:color w:val="000000" w:themeColor="text1"/>
          <w:szCs w:val="21"/>
          <w14:textFill>
            <w14:solidFill>
              <w14:schemeClr w14:val="tx1"/>
            </w14:solidFill>
          </w14:textFill>
        </w:rPr>
        <w:t>分别表示太阳高度角和太阳方位角；</w:t>
      </w:r>
      <w:r>
        <w:rPr>
          <w:rFonts w:ascii="Times New Roman" w:hAnsi="Times New Roman" w:eastAsia="宋体" w:cs="Times New Roman"/>
          <w:i/>
          <w:iCs/>
          <w:color w:val="000000" w:themeColor="text1"/>
          <w:szCs w:val="21"/>
          <w14:textFill>
            <w14:solidFill>
              <w14:schemeClr w14:val="tx1"/>
            </w14:solidFill>
          </w14:textFill>
        </w:rPr>
        <w:t>ρ</w:t>
      </w:r>
      <w:r>
        <w:rPr>
          <w:rFonts w:hint="default" w:ascii="Times New Roman" w:hAnsi="Times New Roman" w:eastAsia="宋体" w:cs="Times New Roman"/>
          <w:color w:val="000000" w:themeColor="text1"/>
          <w:szCs w:val="21"/>
          <w14:textFill>
            <w14:solidFill>
              <w14:schemeClr w14:val="tx1"/>
            </w14:solidFill>
          </w14:textFill>
        </w:rPr>
        <w:t>为地表反射率，依据前人研究假设为</w:t>
      </w:r>
      <w:r>
        <w:rPr>
          <w:rFonts w:ascii="Times New Roman" w:hAnsi="Times New Roman" w:eastAsia="宋体" w:cs="Times New Roman"/>
          <w:color w:val="000000" w:themeColor="text1"/>
          <w:szCs w:val="21"/>
          <w14:textFill>
            <w14:solidFill>
              <w14:schemeClr w14:val="tx1"/>
            </w14:solidFill>
          </w14:textFill>
        </w:rPr>
        <w:t xml:space="preserve">0.2 </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{"citationID":"usV3sBZl","properties":{"unsorted":false,"formattedCitation":"\\super [1]\\nosupersub{}","plainCitation":"[1]","noteIndex":0},"citationItems":[{"id":424,"uris":["http://zotero.org/users/18711966/items/3QS975JM"],"itemData":{"id":424,"type":"article-journal","abstract":"Construction of carbon-intensive energy infrastructure is well underway under the Belt &amp; Road Initiative (BRI), challenging the global climate target. Regionally abundant solar power could provide an alternative for electricity generation. An integrative spatial model was developed to evaluate the technical potential of solar photovoltaic power. The influence of impacting factors was quantified systematically on an hourly basis. Results suggest that the electricity potential for the BRI region reaches 448.9 PWh annually, 41.3 times the regional demand for electricity in 2016. Tapping 3.7% of the potential through deploying 7.8 TW capacity could satisfy the regional electricity demand projected for 2030, requiring an investment of approximately 11.2 trillion 2017 USD and a commitment in land area of 88,426 km2, approximately 0.9% of China’s total. Countries endowed with 70.7% of the overall potential consume only 30.1% of regional electricity. The imbalance underscores the advantage of regional cooperation and investments in interconnected grids.","container-title":"Joule","DOI":"10.1016/j.joule.2019.06.006","ISSN":"2542-4351","issue":"8","journalAbbreviation":"Joule","language":"en","page":"1895-1912","source":"ScienceDirect","title":"The potential of photovoltaics to power the belt and road initiative","volume":"3","author":[{"family":"Chen","given":"Shi"},{"family":"Lu","given":"Xi"},{"family":"Miao","given":"Yufei"},{"family":"Deng","given":"Yu"},{"family":"Nielsen","given":"Chris P."},{"family":"Elbot","given":"Noah"},{"family":"Wang","given":"Yuanchen"},{"family":"Logan","given":"Kathryn G."},{"family":"McElroy","given":"Michael B."},{"family":"Hao","given":"Jiming"}],"issued":{"date-parts":[["2019",8,21]]}}}],"schema":"https://github.com/citation-style-language/schema/raw/master/csl-citation.json"}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C</w:t>
      </w:r>
      <w:r>
        <w:rPr>
          <w:rFonts w:hint="default" w:ascii="Times New Roman" w:hAnsi="Times New Roman" w:eastAsia="宋体" w:cs="Times New Roman"/>
          <w:color w:val="000000" w:themeColor="text1"/>
          <w:szCs w:val="21"/>
          <w14:textFill>
            <w14:solidFill>
              <w14:schemeClr w14:val="tx1"/>
            </w14:solidFill>
          </w14:textFill>
        </w:rPr>
        <w:t>为天空漫射系数，</w:t>
      </w:r>
      <w:r>
        <w:rPr>
          <w:rFonts w:ascii="Times New Roman" w:hAnsi="Times New Roman" w:eastAsia="宋体" w:cs="Times New Roman"/>
          <w:i/>
          <w:iCs/>
          <w:color w:val="000000" w:themeColor="text1"/>
          <w:szCs w:val="21"/>
          <w14:textFill>
            <w14:solidFill>
              <w14:schemeClr w14:val="tx1"/>
            </w14:solidFill>
          </w14:textFill>
        </w:rPr>
        <w:t>N</w:t>
      </w:r>
      <w:r>
        <w:rPr>
          <w:rFonts w:hint="default" w:ascii="Times New Roman" w:hAnsi="Times New Roman" w:eastAsia="宋体" w:cs="Times New Roman"/>
          <w:color w:val="000000" w:themeColor="text1"/>
          <w:szCs w:val="21"/>
          <w14:textFill>
            <w14:solidFill>
              <w14:schemeClr w14:val="tx1"/>
            </w14:solidFill>
          </w14:textFill>
        </w:rPr>
        <w:t>为天数，</w:t>
      </w:r>
      <w:r>
        <w:rPr>
          <w:rFonts w:ascii="Times New Roman" w:hAnsi="Times New Roman" w:eastAsia="宋体" w:cs="Times New Roman"/>
          <w:i/>
          <w:iCs/>
          <w:color w:val="000000" w:themeColor="text1"/>
          <w:szCs w:val="21"/>
          <w14:textFill>
            <w14:solidFill>
              <w14:schemeClr w14:val="tx1"/>
            </w14:solidFill>
          </w14:textFill>
        </w:rPr>
        <w:t>H</w:t>
      </w:r>
      <w:r>
        <w:rPr>
          <w:rFonts w:hint="default" w:ascii="Times New Roman" w:hAnsi="Times New Roman" w:eastAsia="宋体" w:cs="Times New Roman"/>
          <w:color w:val="000000" w:themeColor="text1"/>
          <w:szCs w:val="21"/>
          <w14:textFill>
            <w14:solidFill>
              <w14:schemeClr w14:val="tx1"/>
            </w14:solidFill>
          </w14:textFill>
        </w:rPr>
        <w:t>为时角。“</w:t>
      </w:r>
      <w:r>
        <w:rPr>
          <w:rFonts w:ascii="Times New Roman" w:hAnsi="Times New Roman" w:eastAsia="宋体" w:cs="Times New Roman"/>
          <w:color w:val="000000" w:themeColor="text1"/>
          <w:szCs w:val="21"/>
          <w14:textFill>
            <w14:solidFill>
              <w14:schemeClr w14:val="tx1"/>
            </w14:solidFill>
          </w14:textFill>
        </w:rPr>
        <w:t>hours before solar noon</w:t>
      </w:r>
      <w:r>
        <w:rPr>
          <w:rFonts w:hint="default" w:ascii="Times New Roman" w:hAnsi="Times New Roman" w:eastAsia="宋体" w:cs="Times New Roman"/>
          <w:color w:val="000000" w:themeColor="text1"/>
          <w:szCs w:val="21"/>
          <w14:textFill>
            <w14:solidFill>
              <w14:schemeClr w14:val="tx1"/>
            </w14:solidFill>
          </w14:textFill>
        </w:rPr>
        <w:t>”表示当前时刻相对于太阳正午（</w:t>
      </w:r>
      <w:r>
        <w:rPr>
          <w:rFonts w:ascii="Times New Roman" w:hAnsi="Times New Roman" w:eastAsia="宋体" w:cs="Times New Roman"/>
          <w:color w:val="000000" w:themeColor="text1"/>
          <w:szCs w:val="21"/>
          <w14:textFill>
            <w14:solidFill>
              <w14:schemeClr w14:val="tx1"/>
            </w14:solidFill>
          </w14:textFill>
        </w:rPr>
        <w:t>solar noon</w:t>
      </w:r>
      <w:r>
        <w:rPr>
          <w:rFonts w:hint="default" w:ascii="Times New Roman" w:hAnsi="Times New Roman" w:eastAsia="宋体" w:cs="Times New Roman"/>
          <w:color w:val="000000" w:themeColor="text1"/>
          <w:szCs w:val="21"/>
          <w14:textFill>
            <w14:solidFill>
              <w14:schemeClr w14:val="tx1"/>
            </w14:solidFill>
          </w14:textFill>
        </w:rPr>
        <w:t>，即地方真太阳时</w:t>
      </w:r>
      <w:r>
        <w:rPr>
          <w:rFonts w:ascii="Times New Roman" w:hAnsi="Times New Roman" w:eastAsia="宋体" w:cs="Times New Roman"/>
          <w:color w:val="000000" w:themeColor="text1"/>
          <w:szCs w:val="21"/>
          <w14:textFill>
            <w14:solidFill>
              <w14:schemeClr w14:val="tx1"/>
            </w14:solidFill>
          </w14:textFill>
        </w:rPr>
        <w:t>12:00</w:t>
      </w:r>
      <w:r>
        <w:rPr>
          <w:rFonts w:hint="default" w:ascii="Times New Roman" w:hAnsi="Times New Roman" w:eastAsia="宋体" w:cs="Times New Roman"/>
          <w:color w:val="000000" w:themeColor="text1"/>
          <w:szCs w:val="21"/>
          <w14:textFill>
            <w14:solidFill>
              <w14:schemeClr w14:val="tx1"/>
            </w14:solidFill>
          </w14:textFill>
        </w:rPr>
        <w:t>）的时间差值，单位为小时。其取值规则为：太阳正午时刻取值为</w:t>
      </w:r>
      <w:r>
        <w:rPr>
          <w:rFonts w:ascii="Times New Roman" w:hAnsi="Times New Roman" w:eastAsia="宋体" w:cs="Times New Roman"/>
          <w:color w:val="000000" w:themeColor="text1"/>
          <w:szCs w:val="21"/>
          <w14:textFill>
            <w14:solidFill>
              <w14:schemeClr w14:val="tx1"/>
            </w14:solidFill>
          </w14:textFill>
        </w:rPr>
        <w:t>0</w:t>
      </w:r>
      <w:r>
        <w:rPr>
          <w:rFonts w:hint="default" w:ascii="Times New Roman" w:hAnsi="Times New Roman" w:eastAsia="宋体" w:cs="Times New Roman"/>
          <w:color w:val="000000" w:themeColor="text1"/>
          <w:szCs w:val="21"/>
          <w14:textFill>
            <w14:solidFill>
              <w14:schemeClr w14:val="tx1"/>
            </w14:solidFill>
          </w14:textFill>
        </w:rPr>
        <w:t>；正午之前取负值，正午之后取正值。例如：上午</w:t>
      </w:r>
      <w:r>
        <w:rPr>
          <w:rFonts w:ascii="Times New Roman" w:hAnsi="Times New Roman" w:eastAsia="宋体" w:cs="Times New Roman"/>
          <w:color w:val="000000" w:themeColor="text1"/>
          <w:szCs w:val="21"/>
          <w14:textFill>
            <w14:solidFill>
              <w14:schemeClr w14:val="tx1"/>
            </w14:solidFill>
          </w14:textFill>
        </w:rPr>
        <w:t>11:00</w:t>
      </w:r>
      <w:r>
        <w:rPr>
          <w:rFonts w:hint="default" w:ascii="Times New Roman" w:hAnsi="Times New Roman" w:eastAsia="宋体" w:cs="Times New Roman"/>
          <w:color w:val="000000" w:themeColor="text1"/>
          <w:szCs w:val="21"/>
          <w14:textFill>
            <w14:solidFill>
              <w14:schemeClr w14:val="tx1"/>
            </w14:solidFill>
          </w14:textFill>
        </w:rPr>
        <w:t>对应取值为</w:t>
      </w:r>
      <w:r>
        <w:rPr>
          <w:rFonts w:ascii="Times New Roman" w:hAnsi="Times New Roman" w:eastAsia="宋体" w:cs="Times New Roman"/>
          <w:color w:val="000000" w:themeColor="text1"/>
          <w:szCs w:val="21"/>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，下午</w:t>
      </w:r>
      <w:r>
        <w:rPr>
          <w:rFonts w:ascii="Times New Roman" w:hAnsi="Times New Roman" w:eastAsia="宋体" w:cs="Times New Roman"/>
          <w:color w:val="000000" w:themeColor="text1"/>
          <w:szCs w:val="21"/>
          <w14:textFill>
            <w14:solidFill>
              <w14:schemeClr w14:val="tx1"/>
            </w14:solidFill>
          </w14:textFill>
        </w:rPr>
        <w:t>13:00</w:t>
      </w:r>
      <w:r>
        <w:rPr>
          <w:rFonts w:hint="default" w:ascii="Times New Roman" w:hAnsi="Times New Roman" w:eastAsia="宋体" w:cs="Times New Roman"/>
          <w:color w:val="000000" w:themeColor="text1"/>
          <w:szCs w:val="21"/>
          <w14:textFill>
            <w14:solidFill>
              <w14:schemeClr w14:val="tx1"/>
            </w14:solidFill>
          </w14:textFill>
        </w:rPr>
        <w:t>对应取值为</w:t>
      </w:r>
      <w:r>
        <w:rPr>
          <w:rFonts w:ascii="Times New Roman" w:hAnsi="Times New Roman" w:eastAsia="宋体" w:cs="Times New Roman"/>
          <w:color w:val="000000" w:themeColor="text1"/>
          <w:szCs w:val="21"/>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w:t>
      </w:r>
    </w:p>
    <w:p w14:paraId="75D41293">
      <w:pPr>
        <w:widowControl/>
        <w:adjustRightInd w:val="0"/>
        <w:spacing w:after="120" w:line="300" w:lineRule="auto"/>
        <w:outlineLvl w:val="2"/>
        <w:rPr>
          <w:rFonts w:ascii="Times New Roman" w:hAnsi="Times New Roman" w:eastAsia="宋体" w:cs="Times New Roman"/>
          <w:b/>
          <w:bCs/>
          <w:color w:val="000000" w:themeColor="text1"/>
          <w:szCs w:val="21"/>
          <w14:textFill>
            <w14:solidFill>
              <w14:schemeClr w14:val="tx1"/>
            </w14:solidFill>
          </w14:textFill>
        </w:rPr>
      </w:pPr>
      <w:r>
        <w:rPr>
          <w:rFonts w:ascii="Times New Roman" w:hAnsi="Times New Roman" w:eastAsia="宋体" w:cs="Times New Roman"/>
          <w:b/>
          <w:bCs/>
          <w:color w:val="000000" w:themeColor="text1"/>
          <w:szCs w:val="21"/>
          <w14:textFill>
            <w14:solidFill>
              <w14:schemeClr w14:val="tx1"/>
            </w14:solidFill>
          </w14:textFill>
        </w:rPr>
        <w:t>4</w:t>
      </w:r>
      <w:r>
        <w:rPr>
          <w:rFonts w:hint="default" w:ascii="Times New Roman" w:hAnsi="Times New Roman" w:eastAsia="宋体" w:cs="Times New Roman"/>
          <w:b/>
          <w:bCs/>
          <w:color w:val="000000" w:themeColor="text1"/>
          <w:szCs w:val="21"/>
          <w14:textFill>
            <w14:solidFill>
              <w14:schemeClr w14:val="tx1"/>
            </w14:solidFill>
          </w14:textFill>
        </w:rPr>
        <w:t>）光伏组件参数</w:t>
      </w:r>
    </w:p>
    <w:p w14:paraId="63D9974C">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本研究假设光伏系统采用固定倾角安装方式，各组件倾角保持不变。根据</w:t>
      </w:r>
      <w:r>
        <w:rPr>
          <w:rFonts w:ascii="Times New Roman" w:hAnsi="Times New Roman" w:eastAsia="宋体" w:cs="Times New Roman"/>
          <w:color w:val="000000" w:themeColor="text1"/>
          <w:szCs w:val="21"/>
          <w:lang w:val="en-GB"/>
          <w14:textFill>
            <w14:solidFill>
              <w14:schemeClr w14:val="tx1"/>
            </w14:solidFill>
          </w14:textFill>
        </w:rPr>
        <w:t>Masters</w:t>
      </w:r>
      <w:r>
        <w:rPr>
          <w:rFonts w:hint="default" w:ascii="Times New Roman" w:hAnsi="Times New Roman" w:eastAsia="宋体" w:cs="Times New Roman"/>
          <w:color w:val="000000" w:themeColor="text1"/>
          <w:szCs w:val="21"/>
          <w14:textFill>
            <w14:solidFill>
              <w14:schemeClr w14:val="tx1"/>
            </w14:solidFill>
          </w14:textFill>
        </w:rPr>
        <w:t>的方法</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{"citationID":"uaaLlaAi","properties":{"unsorted":false,"formattedCitation":"\\super [6]\\nosupersub{}","plainCitation":"[6]","noteIndex":0},"citationItems":[{"id":"UgoaWSgH/OC2lP4KJ","uris":["http://zotero.org/users/12506905/items/MSN2KWMD"],"itemData":{"id":308,"type":"book","language":"en","source":"Zotero","title":"Renewable and Efficient Electric Power Systems","author":[{"family":"Masters","given":"Gilbert M"}],"issued":{"date-parts":[["2004"]]}}}],"schema":"https://github.com/citation-style-language/schema/raw/master/csl-citation.json"}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1"/>
          <w:vertAlign w:val="superscript"/>
        </w:rPr>
        <w:t>[6]</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，北半球光伏组件倾角按下式计算：</w:t>
      </w:r>
    </w:p>
    <w:p w14:paraId="2D8E2F3A">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i/>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Σ</m:t>
            </m:r>
            <m:ctrlPr>
              <w:rPr>
                <w:rFonts w:ascii="Cambria Math" w:hAnsi="Cambria Math" w:eastAsia="宋体" w:cs="Times New Roman"/>
                <w:i/>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North</m:t>
            </m:r>
            <m:ctrlPr>
              <w:rPr>
                <w:rFonts w:ascii="Cambria Math" w:hAnsi="Cambria Math" w:eastAsia="宋体" w:cs="Times New Roman"/>
                <w:i/>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=1.3793+θ×(1.2011+θ×(−0.014404+θ⋅0.000080509))</m:t>
        </m:r>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S16</w:t>
      </w:r>
      <w:r>
        <w:rPr>
          <w:rFonts w:hint="default" w:ascii="Times New Roman" w:hAnsi="Times New Roman" w:eastAsia="宋体" w:cs="Times New Roman"/>
          <w:color w:val="000000" w:themeColor="text1"/>
          <w:szCs w:val="21"/>
          <w14:textFill>
            <w14:solidFill>
              <w14:schemeClr w14:val="tx1"/>
            </w14:solidFill>
          </w14:textFill>
        </w:rPr>
        <w:t>）</w:t>
      </w:r>
    </w:p>
    <w:p w14:paraId="42B69E22">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其中</w:t>
      </w:r>
      <w:r>
        <w:rPr>
          <w:rFonts w:hint="default" w:ascii="Times New Roman" w:hAnsi="Times New Roman" w:eastAsia="宋体" w:cs="Times New Roman"/>
          <w:i/>
          <w:iCs/>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vertAlign w:val="subscript"/>
          <w14:textFill>
            <w14:solidFill>
              <w14:schemeClr w14:val="tx1"/>
            </w14:solidFill>
          </w14:textFill>
        </w:rPr>
        <w:t>North</w:t>
      </w:r>
      <w:r>
        <w:rPr>
          <w:rFonts w:hint="default" w:ascii="Times New Roman" w:hAnsi="Times New Roman" w:eastAsia="宋体" w:cs="Times New Roman"/>
          <w:color w:val="000000" w:themeColor="text1"/>
          <w:szCs w:val="21"/>
          <w14:textFill>
            <w14:solidFill>
              <w14:schemeClr w14:val="tx1"/>
            </w14:solidFill>
          </w14:textFill>
        </w:rPr>
        <w:t>为北半球光伏组件倾角（°）；</w:t>
      </w:r>
      <w:r>
        <w:rPr>
          <w:rFonts w:ascii="Times New Roman" w:hAnsi="Times New Roman" w:eastAsia="宋体" w:cs="Times New Roman"/>
          <w:i/>
          <w:iCs/>
          <w:color w:val="000000" w:themeColor="text1"/>
          <w:szCs w:val="21"/>
          <w14:textFill>
            <w14:solidFill>
              <w14:schemeClr w14:val="tx1"/>
            </w14:solidFill>
          </w14:textFill>
        </w:rPr>
        <w:t>θ</w:t>
      </w:r>
      <w:r>
        <w:rPr>
          <w:rFonts w:hint="default" w:ascii="Times New Roman" w:hAnsi="Times New Roman" w:eastAsia="宋体" w:cs="Times New Roman"/>
          <w:color w:val="000000" w:themeColor="text1"/>
          <w:szCs w:val="21"/>
          <w14:textFill>
            <w14:solidFill>
              <w14:schemeClr w14:val="tx1"/>
            </w14:solidFill>
          </w14:textFill>
        </w:rPr>
        <w:t>为纬度。光伏组件具体参数详见表</w:t>
      </w:r>
      <w:r>
        <w:rPr>
          <w:rFonts w:ascii="Times New Roman" w:hAnsi="Times New Roman" w:eastAsia="宋体" w:cs="Times New Roman"/>
          <w:color w:val="000000" w:themeColor="text1"/>
          <w:szCs w:val="21"/>
          <w14:textFill>
            <w14:solidFill>
              <w14:schemeClr w14:val="tx1"/>
            </w14:solidFill>
          </w14:textFill>
        </w:rPr>
        <w:t>S2</w:t>
      </w:r>
      <w:r>
        <w:rPr>
          <w:rFonts w:hint="default" w:ascii="Times New Roman" w:hAnsi="Times New Roman" w:eastAsia="宋体" w:cs="Times New Roman"/>
          <w:color w:val="000000" w:themeColor="text1"/>
          <w:szCs w:val="21"/>
          <w14:textFill>
            <w14:solidFill>
              <w14:schemeClr w14:val="tx1"/>
            </w14:solidFill>
          </w14:textFill>
        </w:rPr>
        <w:t>。</w:t>
      </w:r>
    </w:p>
    <w:p w14:paraId="72DD64ED">
      <w:pPr>
        <w:widowControl/>
        <w:adjustRightInd w:val="0"/>
        <w:spacing w:after="120" w:line="300" w:lineRule="auto"/>
        <w:ind w:left="422" w:hanging="422" w:hangingChars="200"/>
        <w:outlineLvl w:val="2"/>
        <w:rPr>
          <w:rFonts w:ascii="Times New Roman" w:hAnsi="Times New Roman" w:eastAsia="宋体" w:cs="Times New Roman"/>
          <w:b/>
          <w:bCs/>
          <w:color w:val="000000" w:themeColor="text1"/>
          <w:szCs w:val="21"/>
          <w14:textFill>
            <w14:solidFill>
              <w14:schemeClr w14:val="tx1"/>
            </w14:solidFill>
          </w14:textFill>
        </w:rPr>
      </w:pPr>
      <w:r>
        <w:rPr>
          <w:rFonts w:ascii="Times New Roman" w:hAnsi="Times New Roman" w:eastAsia="宋体" w:cs="Times New Roman"/>
          <w:b/>
          <w:bCs/>
          <w:color w:val="000000" w:themeColor="text1"/>
          <w:szCs w:val="21"/>
          <w14:textFill>
            <w14:solidFill>
              <w14:schemeClr w14:val="tx1"/>
            </w14:solidFill>
          </w14:textFill>
        </w:rPr>
        <w:t>5</w:t>
      </w:r>
      <w:r>
        <w:rPr>
          <w:rFonts w:hint="default" w:ascii="Times New Roman" w:hAnsi="Times New Roman" w:eastAsia="宋体" w:cs="Times New Roman"/>
          <w:b/>
          <w:bCs/>
          <w:color w:val="000000" w:themeColor="text1"/>
          <w:szCs w:val="21"/>
          <w14:textFill>
            <w14:solidFill>
              <w14:schemeClr w14:val="tx1"/>
            </w14:solidFill>
          </w14:textFill>
        </w:rPr>
        <w:t>）叠放因子</w:t>
      </w:r>
    </w:p>
    <w:p w14:paraId="3275CB7D">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为量化单位土地面积上有效光伏面板面积的比例，本文采用</w:t>
      </w:r>
      <w:r>
        <w:rPr>
          <w:rFonts w:ascii="Times New Roman" w:hAnsi="Times New Roman" w:eastAsia="宋体" w:cs="Times New Roman"/>
          <w:color w:val="000000" w:themeColor="text1"/>
          <w:szCs w:val="21"/>
          <w14:textFill>
            <w14:solidFill>
              <w14:schemeClr w14:val="tx1"/>
            </w14:solidFill>
          </w14:textFill>
        </w:rPr>
        <w:t>Chen</w:t>
      </w:r>
      <w:r>
        <w:rPr>
          <w:rFonts w:hint="default" w:ascii="Times New Roman" w:hAnsi="Times New Roman" w:eastAsia="宋体" w:cs="Times New Roman"/>
          <w:color w:val="000000" w:themeColor="text1"/>
          <w:szCs w:val="21"/>
          <w14:textFill>
            <w14:solidFill>
              <w14:schemeClr w14:val="tx1"/>
            </w14:solidFill>
          </w14:textFill>
        </w:rPr>
        <w:t>等</w:t>
      </w:r>
      <w:r>
        <w:rPr>
          <w:rFonts w:hint="default"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{"citationID":"ibaKJ946","properties":{"unsorted":false,"formattedCitation":"\\super [1]\\nosupersub{}","plainCitation":"[1]","noteIndex":0},"citationItems":[{"id":424,"uris":["http://zotero.org/users/18711966/items/3QS975JM"],"itemData":{"id":424,"type":"article-journal","abstract":"Construction of carbon-intensive energy infrastructure is well underway under the Belt &amp; Road Initiative (BRI), challenging the global climate target. Regionally abundant solar power could provide an alternative for electricity generation. An integrative spatial model was developed to evaluate the technical potential of solar photovoltaic power. The influence of impacting factors was quantified systematically on an hourly basis. Results suggest that the electricity potential for the BRI region reaches 448.9 PWh annually, 41.3 times the regional demand for electricity in 2016. Tapping 3.7% of the potential through deploying 7.8 TW capacity could satisfy the regional electricity demand projected for 2030, requiring an investment of approximately 11.2 trillion 2017 USD and a commitment in land area of 88,426 km2, approximately 0.9% of China’s total. Countries endowed with 70.7% of the overall potential consume only 30.1% of regional electricity. The imbalance underscores the advantage of regional cooperation and investments in interconnected grids.","container-title":"Joule","DOI":"10.1016/j.joule.2019.06.006","ISSN":"2542-4351","issue":"8","journalAbbreviation":"Joule","language":"en","page":"1895-1912","source":"ScienceDirect","title":"The potential of photovoltaics to power the belt and road initiative","volume":"3","author":[{"family":"Chen","given":"Shi"},{"family":"Lu","given":"Xi"},{"family":"Miao","given":"Yufei"},{"family":"Deng","given":"Yu"},{"family":"Nielsen","given":"Chris P."},{"family":"Elbot","given":"Noah"},{"family":"Wang","given":"Yuanchen"},{"family":"Logan","given":"Kathryn G."},{"family":"McElroy","given":"Michael B."},{"family":"Hao","given":"Jiming"}],"issued":{"date-parts":[["2019",8,21]]}}}],"schema":"https://github.com/citation-style-language/schema/raw/master/csl-citation.json"} </w:instrText>
      </w:r>
      <w:r>
        <w:rPr>
          <w:rFonts w:hint="default"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w:t>
      </w:r>
      <w:r>
        <w:rPr>
          <w:rFonts w:hint="default"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提出的叠放因子（</w:t>
      </w:r>
      <w:r>
        <w:rPr>
          <w:rFonts w:ascii="Times New Roman" w:hAnsi="Times New Roman" w:eastAsia="宋体" w:cs="Times New Roman"/>
          <w:i/>
          <w:iCs/>
          <w:color w:val="000000" w:themeColor="text1"/>
          <w:szCs w:val="21"/>
          <w14:textFill>
            <w14:solidFill>
              <w14:schemeClr w14:val="tx1"/>
            </w14:solidFill>
          </w14:textFill>
        </w:rPr>
        <w:t>PF</w:t>
      </w:r>
      <w:r>
        <w:rPr>
          <w:rFonts w:hint="default" w:ascii="Times New Roman" w:hAnsi="Times New Roman" w:eastAsia="宋体" w:cs="Times New Roman"/>
          <w:color w:val="000000" w:themeColor="text1"/>
          <w:szCs w:val="21"/>
          <w14:textFill>
            <w14:solidFill>
              <w14:schemeClr w14:val="tx1"/>
            </w14:solidFill>
          </w14:textFill>
        </w:rPr>
        <w:t>，无量纲）对光伏发电潜力作进一步约束。</w:t>
      </w:r>
      <w:r>
        <w:rPr>
          <w:rFonts w:ascii="Times New Roman" w:hAnsi="Times New Roman" w:eastAsia="宋体" w:cs="Times New Roman"/>
          <w:i/>
          <w:iCs/>
          <w:color w:val="000000" w:themeColor="text1"/>
          <w:szCs w:val="21"/>
          <w14:textFill>
            <w14:solidFill>
              <w14:schemeClr w14:val="tx1"/>
            </w14:solidFill>
          </w14:textFill>
        </w:rPr>
        <w:t>PF</w:t>
      </w:r>
      <w:r>
        <w:rPr>
          <w:rFonts w:hint="default" w:ascii="Times New Roman" w:hAnsi="Times New Roman" w:eastAsia="宋体" w:cs="Times New Roman"/>
          <w:color w:val="000000" w:themeColor="text1"/>
          <w:szCs w:val="21"/>
          <w14:textFill>
            <w14:solidFill>
              <w14:schemeClr w14:val="tx1"/>
            </w14:solidFill>
          </w14:textFill>
        </w:rPr>
        <w:t>计算公式为：</w:t>
      </w:r>
    </w:p>
    <w:p w14:paraId="6C0C49C2">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D=L×cos</m:t>
        </m:r>
        <m:r>
          <m:rPr>
            <m:sty m:val="p"/>
          </m:rPr>
          <w:rPr>
            <w:rFonts w:ascii="Cambria Math" w:hAnsi="Cambria Math" w:eastAsia="宋体" w:cs="Times New Roman"/>
            <w:color w:val="000000" w:themeColor="text1"/>
            <w:szCs w:val="21"/>
            <w14:textFill>
              <w14:solidFill>
                <w14:schemeClr w14:val="tx1"/>
              </w14:solidFill>
            </w14:textFill>
          </w:rPr>
          <m:t>Σ</m:t>
        </m:r>
        <m:r>
          <m:rPr/>
          <w:rPr>
            <w:rFonts w:ascii="Cambria Math" w:hAnsi="Cambria Math" w:eastAsia="宋体" w:cs="Times New Roman"/>
            <w:color w:val="000000" w:themeColor="text1"/>
            <w:szCs w:val="21"/>
            <w14:textFill>
              <w14:solidFill>
                <w14:schemeClr w14:val="tx1"/>
              </w14:solidFill>
            </w14:textFill>
          </w:rPr>
          <m:t>+L×</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sin</m:t>
            </m:r>
            <m:r>
              <m:rPr>
                <m:sty m:val="p"/>
              </m:rPr>
              <w:rPr>
                <w:rFonts w:ascii="Cambria Math" w:hAnsi="Cambria Math" w:eastAsia="宋体" w:cs="Times New Roman"/>
                <w:color w:val="000000" w:themeColor="text1"/>
                <w:szCs w:val="21"/>
                <w14:textFill>
                  <w14:solidFill>
                    <w14:schemeClr w14:val="tx1"/>
                  </w14:solidFill>
                </w14:textFill>
              </w:rPr>
              <m:t>Σ</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tan</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β</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n</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×cos</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φ</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color w:val="000000" w:themeColor="text1"/>
                <w:szCs w:val="21"/>
                <w14:textFill>
                  <w14:solidFill>
                    <w14:schemeClr w14:val="tx1"/>
                  </w14:solidFill>
                </w14:textFill>
              </w:rPr>
            </m:ctrlPr>
          </m:sub>
        </m:sSub>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S17</w:t>
      </w:r>
      <w:r>
        <w:rPr>
          <w:rFonts w:hint="default" w:ascii="Times New Roman" w:hAnsi="Times New Roman" w:eastAsia="宋体" w:cs="Times New Roman"/>
          <w:color w:val="000000" w:themeColor="text1"/>
          <w:szCs w:val="21"/>
          <w14:textFill>
            <w14:solidFill>
              <w14:schemeClr w14:val="tx1"/>
            </w14:solidFill>
          </w14:textFill>
        </w:rPr>
        <w:t>）</w:t>
      </w:r>
    </w:p>
    <w:p w14:paraId="2E767F07">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PF=</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L</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color w:val="000000" w:themeColor="text1"/>
                <w:szCs w:val="21"/>
                <w14:textFill>
                  <w14:solidFill>
                    <w14:schemeClr w14:val="tx1"/>
                  </w14:solidFill>
                </w14:textFill>
              </w:rPr>
            </m:ctrlPr>
          </m:den>
        </m:f>
      </m:oMath>
      <w:r>
        <w:rPr>
          <w:rFonts w:ascii="Times New Roman" w:hAnsi="Times New Roman" w:eastAsia="宋体" w:cs="Times New Roman"/>
          <w:color w:val="000000" w:themeColor="text1"/>
          <w:szCs w:val="21"/>
          <w14:textFill>
            <w14:solidFill>
              <w14:schemeClr w14:val="tx1"/>
            </w14:solidFill>
          </w14:textFill>
        </w:rPr>
        <w:t xml:space="preserve"> </w:t>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 xml:space="preserve">     </w:t>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S18</w:t>
      </w:r>
      <w:r>
        <w:rPr>
          <w:rFonts w:hint="default" w:ascii="Times New Roman" w:hAnsi="Times New Roman" w:eastAsia="宋体" w:cs="Times New Roman"/>
          <w:color w:val="000000" w:themeColor="text1"/>
          <w:szCs w:val="21"/>
          <w14:textFill>
            <w14:solidFill>
              <w14:schemeClr w14:val="tx1"/>
            </w14:solidFill>
          </w14:textFill>
        </w:rPr>
        <w:t>）</w:t>
      </w:r>
    </w:p>
    <w:p w14:paraId="12F40A95">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其中</w:t>
      </w:r>
      <w:r>
        <w:rPr>
          <w:rFonts w:ascii="Times New Roman" w:hAnsi="Times New Roman" w:eastAsia="宋体" w:cs="Times New Roman"/>
          <w:i/>
          <w:iCs/>
          <w:color w:val="000000" w:themeColor="text1"/>
          <w:szCs w:val="21"/>
          <w14:textFill>
            <w14:solidFill>
              <w14:schemeClr w14:val="tx1"/>
            </w14:solidFill>
          </w14:textFill>
        </w:rPr>
        <w:t>L</w:t>
      </w:r>
      <w:r>
        <w:rPr>
          <w:rFonts w:hint="default" w:ascii="Times New Roman" w:hAnsi="Times New Roman" w:eastAsia="宋体" w:cs="Times New Roman"/>
          <w:color w:val="000000" w:themeColor="text1"/>
          <w:szCs w:val="21"/>
          <w14:textFill>
            <w14:solidFill>
              <w14:schemeClr w14:val="tx1"/>
            </w14:solidFill>
          </w14:textFill>
        </w:rPr>
        <w:t>为光伏面板长度（</w:t>
      </w:r>
      <w:r>
        <w:rPr>
          <w:rFonts w:ascii="Times New Roman" w:hAnsi="Times New Roman" w:eastAsia="宋体" w:cs="Times New Roman"/>
          <w:color w:val="000000" w:themeColor="text1"/>
          <w:szCs w:val="21"/>
          <w14:textFill>
            <w14:solidFill>
              <w14:schemeClr w14:val="tx1"/>
            </w14:solidFill>
          </w14:textFill>
        </w:rPr>
        <w:t>m</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D</w:t>
      </w:r>
      <w:r>
        <w:rPr>
          <w:rFonts w:hint="default" w:ascii="Times New Roman" w:hAnsi="Times New Roman" w:eastAsia="宋体" w:cs="Times New Roman"/>
          <w:color w:val="000000" w:themeColor="text1"/>
          <w:szCs w:val="21"/>
          <w14:textFill>
            <w14:solidFill>
              <w14:schemeClr w14:val="tx1"/>
            </w14:solidFill>
          </w14:textFill>
        </w:rPr>
        <w:t>为相邻面板间距（</w:t>
      </w:r>
      <w:r>
        <w:rPr>
          <w:rFonts w:ascii="Times New Roman" w:hAnsi="Times New Roman" w:eastAsia="宋体" w:cs="Times New Roman"/>
          <w:color w:val="000000" w:themeColor="text1"/>
          <w:szCs w:val="21"/>
          <w14:textFill>
            <w14:solidFill>
              <w14:schemeClr w14:val="tx1"/>
            </w14:solidFill>
          </w14:textFill>
        </w:rPr>
        <w:t>m</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β</w:t>
      </w:r>
      <w:r>
        <w:rPr>
          <w:rFonts w:ascii="Times New Roman" w:hAnsi="Times New Roman" w:eastAsia="宋体" w:cs="Times New Roman"/>
          <w:i/>
          <w:iCs/>
          <w:color w:val="000000" w:themeColor="text1"/>
          <w:szCs w:val="21"/>
          <w:vertAlign w:val="subscript"/>
          <w14:textFill>
            <w14:solidFill>
              <w14:schemeClr w14:val="tx1"/>
            </w14:solidFill>
          </w14:textFill>
        </w:rPr>
        <w:t>n</w:t>
      </w:r>
      <w:r>
        <w:rPr>
          <w:rFonts w:hint="default" w:ascii="Times New Roman" w:hAnsi="Times New Roman" w:eastAsia="宋体" w:cs="Times New Roman"/>
          <w:color w:val="000000" w:themeColor="text1"/>
          <w:szCs w:val="21"/>
          <w14:textFill>
            <w14:solidFill>
              <w14:schemeClr w14:val="tx1"/>
            </w14:solidFill>
          </w14:textFill>
        </w:rPr>
        <w:t>和</w:t>
      </w:r>
      <w:r>
        <w:rPr>
          <w:rFonts w:ascii="Times New Roman" w:hAnsi="Times New Roman" w:eastAsia="宋体" w:cs="Times New Roman"/>
          <w:i/>
          <w:iCs/>
          <w:color w:val="000000" w:themeColor="text1"/>
          <w:szCs w:val="21"/>
          <w14:textFill>
            <w14:solidFill>
              <w14:schemeClr w14:val="tx1"/>
            </w14:solidFill>
          </w14:textFill>
        </w:rPr>
        <w:t>φ</w:t>
      </w:r>
      <w:r>
        <w:rPr>
          <w:rFonts w:ascii="Times New Roman" w:hAnsi="Times New Roman" w:eastAsia="宋体" w:cs="Times New Roman"/>
          <w:i/>
          <w:iCs/>
          <w:color w:val="000000" w:themeColor="text1"/>
          <w:szCs w:val="21"/>
          <w:vertAlign w:val="subscript"/>
          <w14:textFill>
            <w14:solidFill>
              <w14:schemeClr w14:val="tx1"/>
            </w14:solidFill>
          </w14:textFill>
        </w:rPr>
        <w:t>s</w:t>
      </w:r>
      <w:r>
        <w:rPr>
          <w:rFonts w:hint="default" w:ascii="Times New Roman" w:hAnsi="Times New Roman" w:eastAsia="宋体" w:cs="Times New Roman"/>
          <w:color w:val="000000" w:themeColor="text1"/>
          <w:szCs w:val="21"/>
          <w14:textFill>
            <w14:solidFill>
              <w14:schemeClr w14:val="tx1"/>
            </w14:solidFill>
          </w14:textFill>
        </w:rPr>
        <w:t>分别为冬至日（</w:t>
      </w:r>
      <w:r>
        <w:rPr>
          <w:rFonts w:ascii="Times New Roman" w:hAnsi="Times New Roman" w:eastAsia="宋体" w:cs="Times New Roman"/>
          <w:color w:val="000000" w:themeColor="text1"/>
          <w:szCs w:val="21"/>
          <w14:textFill>
            <w14:solidFill>
              <w14:schemeClr w14:val="tx1"/>
            </w14:solidFill>
          </w14:textFill>
        </w:rPr>
        <w:t>12</w:t>
      </w:r>
      <w:r>
        <w:rPr>
          <w:rFonts w:hint="default" w:ascii="Times New Roman" w:hAnsi="Times New Roman" w:eastAsia="宋体" w:cs="Times New Roman"/>
          <w:color w:val="000000" w:themeColor="text1"/>
          <w:szCs w:val="21"/>
          <w14:textFill>
            <w14:solidFill>
              <w14:schemeClr w14:val="tx1"/>
            </w14:solidFill>
          </w14:textFill>
        </w:rPr>
        <w:t>月</w:t>
      </w:r>
      <w:r>
        <w:rPr>
          <w:rFonts w:ascii="Times New Roman" w:hAnsi="Times New Roman" w:eastAsia="宋体" w:cs="Times New Roman"/>
          <w:color w:val="000000" w:themeColor="text1"/>
          <w:szCs w:val="21"/>
          <w14:textFill>
            <w14:solidFill>
              <w14:schemeClr w14:val="tx1"/>
            </w14:solidFill>
          </w14:textFill>
        </w:rPr>
        <w:t>21</w:t>
      </w:r>
      <w:r>
        <w:rPr>
          <w:rFonts w:hint="default" w:ascii="Times New Roman" w:hAnsi="Times New Roman" w:eastAsia="宋体" w:cs="Times New Roman"/>
          <w:color w:val="000000" w:themeColor="text1"/>
          <w:szCs w:val="21"/>
          <w14:textFill>
            <w14:solidFill>
              <w14:schemeClr w14:val="tx1"/>
            </w14:solidFill>
          </w14:textFill>
        </w:rPr>
        <w:t>日）下午</w:t>
      </w:r>
      <w:r>
        <w:rPr>
          <w:rFonts w:ascii="Times New Roman" w:hAnsi="Times New Roman" w:eastAsia="宋体" w:cs="Times New Roman"/>
          <w:color w:val="000000" w:themeColor="text1"/>
          <w:szCs w:val="21"/>
          <w14:textFill>
            <w14:solidFill>
              <w14:schemeClr w14:val="tx1"/>
            </w14:solidFill>
          </w14:textFill>
        </w:rPr>
        <w:t>3</w:t>
      </w:r>
      <w:r>
        <w:rPr>
          <w:rFonts w:hint="default" w:ascii="Times New Roman" w:hAnsi="Times New Roman" w:eastAsia="宋体" w:cs="Times New Roman"/>
          <w:color w:val="000000" w:themeColor="text1"/>
          <w:szCs w:val="21"/>
          <w14:textFill>
            <w14:solidFill>
              <w14:schemeClr w14:val="tx1"/>
            </w14:solidFill>
          </w14:textFill>
        </w:rPr>
        <w:t>点时的太阳高度角和方位角。</w:t>
      </w:r>
    </w:p>
    <w:p w14:paraId="3746C434">
      <w:pPr>
        <w:widowControl/>
        <w:adjustRightInd w:val="0"/>
        <w:spacing w:after="120" w:line="300" w:lineRule="auto"/>
        <w:outlineLvl w:val="2"/>
        <w:rPr>
          <w:rFonts w:ascii="Times New Roman" w:hAnsi="Times New Roman" w:eastAsia="宋体" w:cs="Times New Roman"/>
          <w:b/>
          <w:bCs/>
          <w:color w:val="000000" w:themeColor="text1"/>
          <w:szCs w:val="21"/>
          <w14:textFill>
            <w14:solidFill>
              <w14:schemeClr w14:val="tx1"/>
            </w14:solidFill>
          </w14:textFill>
        </w:rPr>
      </w:pPr>
      <w:r>
        <w:rPr>
          <w:rFonts w:ascii="Times New Roman" w:hAnsi="Times New Roman" w:eastAsia="宋体" w:cs="Times New Roman"/>
          <w:b/>
          <w:bCs/>
          <w:color w:val="000000" w:themeColor="text1"/>
          <w:szCs w:val="21"/>
          <w14:textFill>
            <w14:solidFill>
              <w14:schemeClr w14:val="tx1"/>
            </w14:solidFill>
          </w14:textFill>
        </w:rPr>
        <w:t>6</w:t>
      </w:r>
      <w:r>
        <w:rPr>
          <w:rFonts w:hint="default" w:ascii="Times New Roman" w:hAnsi="Times New Roman" w:eastAsia="宋体" w:cs="Times New Roman"/>
          <w:b/>
          <w:bCs/>
          <w:color w:val="000000" w:themeColor="text1"/>
          <w:szCs w:val="21"/>
          <w14:textFill>
            <w14:solidFill>
              <w14:schemeClr w14:val="tx1"/>
            </w14:solidFill>
          </w14:textFill>
        </w:rPr>
        <w:t>）温度校正系数</w:t>
      </w:r>
    </w:p>
    <w:p w14:paraId="30E1E312">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温度是影响光伏发电效率的关键因素，温度每升高</w:t>
      </w:r>
      <w:r>
        <w:rPr>
          <w:rFonts w:ascii="Times New Roman" w:hAnsi="Times New Roman" w:eastAsia="宋体" w:cs="Times New Roman"/>
          <w:color w:val="000000" w:themeColor="text1"/>
          <w:szCs w:val="21"/>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℃，光伏输出功率约降低约</w:t>
      </w:r>
      <w:r>
        <w:rPr>
          <w:rFonts w:ascii="Times New Roman" w:hAnsi="Times New Roman" w:eastAsia="宋体" w:cs="Times New Roman"/>
          <w:color w:val="000000" w:themeColor="text1"/>
          <w:szCs w:val="21"/>
          <w14:textFill>
            <w14:solidFill>
              <w14:schemeClr w14:val="tx1"/>
            </w14:solidFill>
          </w14:textFill>
        </w:rPr>
        <w:t>0.4%~0.5%</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{"citationID":"Ss64iXSf","properties":{"unsorted":false,"formattedCitation":"\\super [8,9]\\nosupersub{}","plainCitation":"[8,9]","noteIndex":0},"citationItems":[{"id":"UgoaWSgH/WXAWtVtp","uris":["http://zotero.org/users/12506905/items/THT6MIW3"],"itemData":{"id":59,"type":"article-journal","abstract":"This work aims to identify the geographic distribution of photovoltaic (PV) energy potential considering the effect of temperature on PV system performance. A simple framework is developed that uses the JIS C 8907 Japanese industrial standard to evaluate the effects of irradiation and temperature on PV potential. The global distributions of PV potential and yearly performance ratio are obtained by this framework. Generally, the performance ratio decreases with latitude because of temperature. However, regions with high altitude have higher performance ratios due to low temperature. The southern Andes, the Himalaya region, and Antarctica have the largest PV potentials. Although PV modules with less sensitivity to temperature are preferable for the high temperature regions, PV modules that are more responsive to temperature may be more effective in the low temperature regions. The correlation between the estimates obtained by our framework and results from a more data-intensive method increases when the temperature effects are considered.","container-title":"Environmental Science &amp; Technology","DOI":"10.1021/es200635x","ISSN":"0013-936X","issue":"20","note":"number: 20","page":"9030-9035","publisher":"American Chemical Society","source":"ACS Publications","title":"Effect of Temperature on PV Potential in the World","volume":"45","author":[{"family":"Kawajiri","given":"Kotaro"},{"family":"Oozeki","given":"Takashi"},{"family":"Genchi","given":"Yutaka"}],"issued":{"date-parts":[["2011",10,15]]}}},{"id":"UgoaWSgH/xz1y9ZAl","uris":["http://zotero.org/users/12506905/items/5F8WQ3QZ"],"itemData":{"id":57,"type":"article-journal","abstract":"A brief discussion is presented regarding the operating temperature of one-sun commercial grade silicon-based solar cells/modules and its effect upon the electrical performance of photovoltaic installations. Suitable tabulations are given for most of the known algebraic forms which express the temperature dependence of solar electrical efficiency and, equivalently, solar power. Finally, the thermal aspects of the major power/energy rating methods are briefly discussed.","container-title":"Solar Energy","DOI":"10.1016/j.solener.2008.10.008","ISSN":"0038-092X","issue":"5","note":"number: 5","page":"614-624","source":"ScienceDirect","title":"On the temperature dependence of photovoltaic module electrical performance: A review of efficiency/power correlations","title-short":"On the temperature dependence of photovoltaic module electrical performance","volume":"83","author":[{"family":"Skoplaki","given":"E."},{"family":"Palyvos","given":"J. A."}],"issued":{"date-parts":[["2009",5,1]]}}}],"schema":"https://github.com/citation-style-language/schema/raw/master/csl-citation.json"}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[8,9]</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。根据</w:t>
      </w:r>
      <w:r>
        <w:rPr>
          <w:rFonts w:ascii="Times New Roman" w:hAnsi="Times New Roman" w:eastAsia="宋体" w:cs="Times New Roman"/>
          <w:color w:val="000000" w:themeColor="text1"/>
          <w:szCs w:val="21"/>
          <w14:textFill>
            <w14:solidFill>
              <w14:schemeClr w14:val="tx1"/>
            </w14:solidFill>
          </w14:textFill>
        </w:rPr>
        <w:t>Chen</w:t>
      </w:r>
      <w:r>
        <w:rPr>
          <w:rFonts w:hint="default" w:ascii="Times New Roman" w:hAnsi="Times New Roman" w:eastAsia="宋体" w:cs="Times New Roman"/>
          <w:color w:val="000000" w:themeColor="text1"/>
          <w:szCs w:val="21"/>
          <w14:textFill>
            <w14:solidFill>
              <w14:schemeClr w14:val="tx1"/>
            </w14:solidFill>
          </w14:textFill>
        </w:rPr>
        <w:t>等</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{"citationID":"gYSZEOyv","properties":{"unsorted":false,"formattedCitation":"\\super [1]\\nosupersub{}","plainCitation":"[1]","noteIndex":0},"citationItems":[{"id":424,"uris":["http://zotero.org/users/18711966/items/3QS975JM"],"itemData":{"id":424,"type":"article-journal","abstract":"Construction of carbon-intensive energy infrastructure is well underway under the Belt &amp; Road Initiative (BRI), challenging the global climate target. Regionally abundant solar power could provide an alternative for electricity generation. An integrative spatial model was developed to evaluate the technical potential of solar photovoltaic power. The influence of impacting factors was quantified systematically on an hourly basis. Results suggest that the electricity potential for the BRI region reaches 448.9 PWh annually, 41.3 times the regional demand for electricity in 2016. Tapping 3.7% of the potential through deploying 7.8 TW capacity could satisfy the regional electricity demand projected for 2030, requiring an investment of approximately 11.2 trillion 2017 USD and a commitment in land area of 88,426 km2, approximately 0.9% of China’s total. Countries endowed with 70.7% of the overall potential consume only 30.1% of regional electricity. The imbalance underscores the advantage of regional cooperation and investments in interconnected grids.","container-title":"Joule","DOI":"10.1016/j.joule.2019.06.006","ISSN":"2542-4351","issue":"8","journalAbbreviation":"Joule","language":"en","page":"1895-1912","source":"ScienceDirect","title":"The potential of photovoltaics to power the belt and road initiative","volume":"3","author":[{"family":"Chen","given":"Shi"},{"family":"Lu","given":"Xi"},{"family":"Miao","given":"Yufei"},{"family":"Deng","given":"Yu"},{"family":"Nielsen","given":"Chris P."},{"family":"Elbot","given":"Noah"},{"family":"Wang","given":"Yuanchen"},{"family":"Logan","given":"Kathryn G."},{"family":"McElroy","given":"Michael B."},{"family":"Hao","given":"Jiming"}],"issued":{"date-parts":[["2019",8,21]]}}}],"schema":"https://github.com/citation-style-language/schema/raw/master/csl-citation.json"}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的研究，温度效应对光伏发电潜力的影响通过以下公式量化：</w:t>
      </w:r>
    </w:p>
    <w:p w14:paraId="64D0FDC2">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eqArr>
          <m:eqArrPr>
            <m:ctrlPr>
              <w:rPr>
                <w:rFonts w:ascii="Cambria Math" w:hAnsi="Cambria Math" w:eastAsia="宋体" w:cs="Times New Roman"/>
                <w:i/>
                <w:color w:val="000000" w:themeColor="text1"/>
                <w:szCs w:val="21"/>
                <w14:textFill>
                  <w14:solidFill>
                    <w14:schemeClr w14:val="tx1"/>
                  </w14:solidFill>
                </w14:textFill>
              </w:rPr>
            </m:ctrlPr>
          </m:eqArrPr>
          <m:e>
            <m:r>
              <m:rPr/>
              <w:rPr>
                <w:rFonts w:ascii="Cambria Math" w:hAnsi="Cambria Math" w:eastAsia="宋体" w:cs="Times New Roman"/>
                <w:color w:val="000000" w:themeColor="text1"/>
                <w:szCs w:val="21"/>
                <w14:textFill>
                  <w14:solidFill>
                    <w14:schemeClr w14:val="tx1"/>
                  </w14:solidFill>
                </w14:textFill>
              </w:rPr>
              <m:t xml:space="preserve">      </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cell</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E</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d>
              <m:dPr>
                <m:ctrlPr>
                  <w:rPr>
                    <w:rFonts w:ascii="Cambria Math" w:hAnsi="Cambria Math" w:eastAsia="宋体" w:cs="Times New Roman"/>
                    <w:i/>
                    <w:color w:val="000000" w:themeColor="text1"/>
                    <w:szCs w:val="21"/>
                    <w14:textFill>
                      <w14:solidFill>
                        <w14:schemeClr w14:val="tx1"/>
                      </w14:solidFill>
                    </w14:textFill>
                  </w:rPr>
                </m:ctrlPr>
              </m:dPr>
              <m:e>
                <m:f>
                  <m:fPr>
                    <m:ctrlPr>
                      <w:rPr>
                        <w:rFonts w:ascii="Cambria Math" w:hAnsi="Cambria Math" w:eastAsia="宋体" w:cs="Times New Roman"/>
                        <w:color w:val="000000" w:themeColor="text1"/>
                        <w:szCs w:val="21"/>
                        <w14:textFill>
                          <w14:solidFill>
                            <w14:schemeClr w14:val="tx1"/>
                          </w14:solidFill>
                        </w14:textFill>
                      </w:rPr>
                    </m:ctrlPr>
                  </m:fPr>
                  <m:num>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norm</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−20</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0.08</m:t>
                    </m:r>
                    <m:ctrlPr>
                      <w:rPr>
                        <w:rFonts w:ascii="Cambria Math" w:hAnsi="Cambria Math" w:eastAsia="宋体" w:cs="Times New Roman"/>
                        <w:color w:val="000000" w:themeColor="text1"/>
                        <w:szCs w:val="21"/>
                        <w14:textFill>
                          <w14:solidFill>
                            <w14:schemeClr w14:val="tx1"/>
                          </w14:solidFill>
                        </w14:textFill>
                      </w:rPr>
                    </m:ctrlPr>
                  </m:den>
                </m:f>
                <m:ctrlPr>
                  <w:rPr>
                    <w:rFonts w:ascii="Cambria Math" w:hAnsi="Cambria Math" w:eastAsia="宋体" w:cs="Times New Roman"/>
                    <w:i/>
                    <w:color w:val="000000" w:themeColor="text1"/>
                    <w:szCs w:val="21"/>
                    <w14:textFill>
                      <w14:solidFill>
                        <w14:schemeClr w14:val="tx1"/>
                      </w14:solidFill>
                    </w14:textFill>
                  </w:rPr>
                </m:ctrlPr>
              </m:e>
            </m:d>
            <m:r>
              <m:rPr/>
              <w:rPr>
                <w:rFonts w:ascii="Cambria Math" w:hAnsi="Cambria Math" w:eastAsia="宋体" w:cs="Times New Roman"/>
                <w:color w:val="000000" w:themeColor="text1"/>
                <w:szCs w:val="21"/>
                <w14:textFill>
                  <w14:solidFill>
                    <w14:schemeClr w14:val="tx1"/>
                  </w14:solidFill>
                </w14:textFill>
              </w:rPr>
              <m:t>×ssr</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panel</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i/>
                <w:color w:val="000000" w:themeColor="text1"/>
                <w:szCs w:val="21"/>
                <w14:textFill>
                  <w14:solidFill>
                    <w14:schemeClr w14:val="tx1"/>
                  </w14:solidFill>
                </w14:textFill>
              </w:rPr>
            </m:ctrlPr>
          </m:e>
        </m:eqArr>
      </m:oMath>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S19</w:t>
      </w:r>
      <w:r>
        <w:rPr>
          <w:rFonts w:hint="default" w:ascii="Times New Roman" w:hAnsi="Times New Roman" w:eastAsia="宋体" w:cs="Times New Roman"/>
          <w:color w:val="000000" w:themeColor="text1"/>
          <w:szCs w:val="21"/>
          <w14:textFill>
            <w14:solidFill>
              <w14:schemeClr w14:val="tx1"/>
            </w14:solidFill>
          </w14:textFill>
        </w:rPr>
        <w:t>）</w:t>
      </w:r>
    </w:p>
    <w:p w14:paraId="40A3DB9C">
      <w:pPr>
        <w:widowControl/>
        <w:adjustRightInd w:val="0"/>
        <w:spacing w:after="120" w:line="300" w:lineRule="auto"/>
        <w:jc w:val="right"/>
        <w:rPr>
          <w:rFonts w:ascii="Times New Roman" w:hAnsi="Times New Roman" w:eastAsia="宋体" w:cs="Times New Roman"/>
          <w:bCs/>
          <w:color w:val="000000" w:themeColor="text1"/>
          <w:szCs w:val="21"/>
          <w14:textFill>
            <w14:solidFill>
              <w14:schemeClr w14:val="tx1"/>
            </w14:solidFill>
          </w14:textFill>
        </w:rPr>
      </w:pPr>
      <m:oMath>
        <m:eqArr>
          <m:eqArrPr>
            <m:ctrlPr>
              <w:rPr>
                <w:rFonts w:ascii="Cambria Math" w:hAnsi="Cambria Math" w:eastAsia="宋体" w:cs="Times New Roman"/>
                <w:i/>
                <w:color w:val="000000" w:themeColor="text1"/>
                <w:szCs w:val="21"/>
                <w14:textFill>
                  <w14:solidFill>
                    <w14:schemeClr w14:val="tx1"/>
                  </w14:solidFill>
                </w14:textFill>
              </w:rPr>
            </m:ctrlPr>
          </m:eqArrPr>
          <m:e>
            <m:r>
              <m:rPr/>
              <w:rPr>
                <w:rFonts w:ascii="Cambria Math" w:hAnsi="Cambria Math" w:eastAsia="宋体" w:cs="Times New Roman"/>
                <w:color w:val="000000" w:themeColor="text1"/>
                <w:szCs w:val="21"/>
                <w14:textFill>
                  <w14:solidFill>
                    <w14:schemeClr w14:val="tx1"/>
                  </w14:solidFill>
                </w14:textFill>
              </w:rPr>
              <m:t>TCF=1+ε×</m:t>
            </m:r>
            <m:d>
              <m:dPr>
                <m:ctrlPr>
                  <w:rPr>
                    <w:rFonts w:ascii="Cambria Math" w:hAnsi="Cambria Math" w:eastAsia="宋体" w:cs="Times New Roman"/>
                    <w:i/>
                    <w:color w:val="000000" w:themeColor="text1"/>
                    <w:szCs w:val="21"/>
                    <w14:textFill>
                      <w14:solidFill>
                        <w14:schemeClr w14:val="tx1"/>
                      </w14:solidFill>
                    </w14:textFill>
                  </w:rPr>
                </m:ctrlPr>
              </m:dPr>
              <m:e>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cell</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−25</m:t>
                </m:r>
                <m:ctrlPr>
                  <w:rPr>
                    <w:rFonts w:ascii="Cambria Math" w:hAnsi="Cambria Math" w:eastAsia="宋体" w:cs="Times New Roman"/>
                    <w:i/>
                    <w:color w:val="000000" w:themeColor="text1"/>
                    <w:szCs w:val="21"/>
                    <w14:textFill>
                      <w14:solidFill>
                        <w14:schemeClr w14:val="tx1"/>
                      </w14:solidFill>
                    </w14:textFill>
                  </w:rPr>
                </m:ctrlPr>
              </m:e>
            </m:d>
            <m:r>
              <m:rPr/>
              <w:rPr>
                <w:rFonts w:ascii="Cambria Math" w:hAnsi="Cambria Math" w:eastAsia="宋体" w:cs="Times New Roman"/>
                <w:color w:val="000000" w:themeColor="text1"/>
                <w:szCs w:val="21"/>
                <w14:textFill>
                  <w14:solidFill>
                    <w14:schemeClr w14:val="tx1"/>
                  </w14:solidFill>
                </w14:textFill>
              </w:rPr>
              <m:t>#</m:t>
            </m:r>
            <m:ctrlPr>
              <w:rPr>
                <w:rFonts w:ascii="Cambria Math" w:hAnsi="Cambria Math" w:eastAsia="宋体" w:cs="Times New Roman"/>
                <w:i/>
                <w:color w:val="000000" w:themeColor="text1"/>
                <w:szCs w:val="21"/>
                <w14:textFill>
                  <w14:solidFill>
                    <w14:schemeClr w14:val="tx1"/>
                  </w14:solidFill>
                </w14:textFill>
              </w:rPr>
            </m:ctrlPr>
          </m:e>
        </m:eqArr>
      </m:oMath>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S20</w:t>
      </w:r>
      <w:r>
        <w:rPr>
          <w:rFonts w:hint="default" w:ascii="Times New Roman" w:hAnsi="Times New Roman" w:eastAsia="宋体" w:cs="Times New Roman"/>
          <w:color w:val="000000" w:themeColor="text1"/>
          <w:szCs w:val="21"/>
          <w14:textFill>
            <w14:solidFill>
              <w14:schemeClr w14:val="tx1"/>
            </w14:solidFill>
          </w14:textFill>
        </w:rPr>
        <w:t>）</w:t>
      </w:r>
    </w:p>
    <w:p w14:paraId="692CCB3B">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其中，</w:t>
      </w:r>
      <w:r>
        <w:rPr>
          <w:rFonts w:ascii="Times New Roman" w:hAnsi="Times New Roman" w:eastAsia="宋体" w:cs="Times New Roman"/>
          <w:i/>
          <w:iCs/>
          <w:color w:val="000000" w:themeColor="text1"/>
          <w:szCs w:val="21"/>
          <w14:textFill>
            <w14:solidFill>
              <w14:schemeClr w14:val="tx1"/>
            </w14:solidFill>
          </w14:textFill>
        </w:rPr>
        <w:t>T</w:t>
      </w:r>
      <w:r>
        <w:rPr>
          <w:rFonts w:ascii="Times New Roman" w:hAnsi="Times New Roman" w:eastAsia="宋体" w:cs="Times New Roman"/>
          <w:i/>
          <w:iCs/>
          <w:color w:val="000000" w:themeColor="text1"/>
          <w:szCs w:val="21"/>
          <w:vertAlign w:val="subscript"/>
          <w14:textFill>
            <w14:solidFill>
              <w14:schemeClr w14:val="tx1"/>
            </w14:solidFill>
          </w14:textFill>
        </w:rPr>
        <w:t>cell</w:t>
      </w:r>
      <w:r>
        <w:rPr>
          <w:rFonts w:hint="default" w:ascii="Times New Roman" w:hAnsi="Times New Roman" w:eastAsia="宋体" w:cs="Times New Roman"/>
          <w:color w:val="000000" w:themeColor="text1"/>
          <w:szCs w:val="21"/>
          <w14:textFill>
            <w14:solidFill>
              <w14:schemeClr w14:val="tx1"/>
            </w14:solidFill>
          </w14:textFill>
        </w:rPr>
        <w:t>为光伏板温度（℃）；</w:t>
      </w:r>
      <w:r>
        <w:rPr>
          <w:rFonts w:ascii="Times New Roman" w:hAnsi="Times New Roman" w:eastAsia="宋体" w:cs="Times New Roman"/>
          <w:i/>
          <w:iCs/>
          <w:color w:val="000000" w:themeColor="text1"/>
          <w:szCs w:val="21"/>
          <w14:textFill>
            <w14:solidFill>
              <w14:schemeClr w14:val="tx1"/>
            </w14:solidFill>
          </w14:textFill>
        </w:rPr>
        <w:t>T</w:t>
      </w:r>
      <w:r>
        <w:rPr>
          <w:rFonts w:ascii="Times New Roman" w:hAnsi="Times New Roman" w:eastAsia="宋体" w:cs="Times New Roman"/>
          <w:i/>
          <w:iCs/>
          <w:color w:val="000000" w:themeColor="text1"/>
          <w:szCs w:val="21"/>
          <w:vertAlign w:val="subscript"/>
          <w14:textFill>
            <w14:solidFill>
              <w14:schemeClr w14:val="tx1"/>
            </w14:solidFill>
          </w14:textFill>
        </w:rPr>
        <w:t>E</w:t>
      </w:r>
      <w:r>
        <w:rPr>
          <w:rFonts w:hint="default" w:ascii="Times New Roman" w:hAnsi="Times New Roman" w:eastAsia="宋体" w:cs="Times New Roman"/>
          <w:color w:val="000000" w:themeColor="text1"/>
          <w:szCs w:val="21"/>
          <w14:textFill>
            <w14:solidFill>
              <w14:schemeClr w14:val="tx1"/>
            </w14:solidFill>
          </w14:textFill>
        </w:rPr>
        <w:t>为地表温度；</w:t>
      </w:r>
      <w:r>
        <w:rPr>
          <w:rFonts w:ascii="Times New Roman" w:hAnsi="Times New Roman" w:eastAsia="宋体" w:cs="Times New Roman"/>
          <w:i/>
          <w:iCs/>
          <w:color w:val="000000" w:themeColor="text1"/>
          <w:szCs w:val="21"/>
          <w14:textFill>
            <w14:solidFill>
              <w14:schemeClr w14:val="tx1"/>
            </w14:solidFill>
          </w14:textFill>
        </w:rPr>
        <w:t>T</w:t>
      </w:r>
      <w:r>
        <w:rPr>
          <w:rFonts w:ascii="Times New Roman" w:hAnsi="Times New Roman" w:eastAsia="宋体" w:cs="Times New Roman"/>
          <w:i/>
          <w:iCs/>
          <w:color w:val="000000" w:themeColor="text1"/>
          <w:szCs w:val="21"/>
          <w:vertAlign w:val="subscript"/>
          <w14:textFill>
            <w14:solidFill>
              <w14:schemeClr w14:val="tx1"/>
            </w14:solidFill>
          </w14:textFill>
        </w:rPr>
        <w:t>norm</w:t>
      </w:r>
      <w:r>
        <w:rPr>
          <w:rFonts w:hint="default" w:ascii="Times New Roman" w:hAnsi="Times New Roman" w:eastAsia="宋体" w:cs="Times New Roman"/>
          <w:color w:val="000000" w:themeColor="text1"/>
          <w:szCs w:val="21"/>
          <w14:textFill>
            <w14:solidFill>
              <w14:schemeClr w14:val="tx1"/>
            </w14:solidFill>
          </w14:textFill>
        </w:rPr>
        <w:t>为光伏板标准工作温度，设定为</w:t>
      </w:r>
      <w:r>
        <w:rPr>
          <w:rFonts w:ascii="Times New Roman" w:hAnsi="Times New Roman" w:eastAsia="宋体" w:cs="Times New Roman"/>
          <w:color w:val="000000" w:themeColor="text1"/>
          <w:szCs w:val="21"/>
          <w14:textFill>
            <w14:solidFill>
              <w14:schemeClr w14:val="tx1"/>
            </w14:solidFill>
          </w14:textFill>
        </w:rPr>
        <w:t>44</w:t>
      </w:r>
      <w:r>
        <w:rPr>
          <w:rFonts w:hint="default" w:ascii="Times New Roman" w:hAnsi="Times New Roman" w:eastAsia="宋体" w:cs="Times New Roman"/>
          <w:color w:val="000000" w:themeColor="text1"/>
          <w:szCs w:val="21"/>
          <w14:textFill>
            <w14:solidFill>
              <w14:schemeClr w14:val="tx1"/>
            </w14:solidFill>
          </w14:textFill>
        </w:rPr>
        <w:t>℃（表</w:t>
      </w:r>
      <w:r>
        <w:rPr>
          <w:rFonts w:ascii="Times New Roman" w:hAnsi="Times New Roman" w:eastAsia="宋体" w:cs="Times New Roman"/>
          <w:color w:val="000000" w:themeColor="text1"/>
          <w:szCs w:val="21"/>
          <w14:textFill>
            <w14:solidFill>
              <w14:schemeClr w14:val="tx1"/>
            </w14:solidFill>
          </w14:textFill>
        </w:rPr>
        <w:t>S3</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TCF</w:t>
      </w:r>
      <w:r>
        <w:rPr>
          <w:rFonts w:hint="default" w:ascii="Times New Roman" w:hAnsi="Times New Roman" w:eastAsia="宋体" w:cs="Times New Roman"/>
          <w:color w:val="000000" w:themeColor="text1"/>
          <w:szCs w:val="21"/>
          <w14:textFill>
            <w14:solidFill>
              <w14:schemeClr w14:val="tx1"/>
            </w14:solidFill>
          </w14:textFill>
        </w:rPr>
        <w:t>为温度校正系数；</w:t>
      </w:r>
      <w:r>
        <w:rPr>
          <w:rFonts w:ascii="Times New Roman" w:hAnsi="Times New Roman" w:eastAsia="宋体" w:cs="Times New Roman"/>
          <w:i/>
          <w:iCs/>
          <w:color w:val="000000" w:themeColor="text1"/>
          <w:szCs w:val="21"/>
          <w14:textFill>
            <w14:solidFill>
              <w14:schemeClr w14:val="tx1"/>
            </w14:solidFill>
          </w14:textFill>
        </w:rPr>
        <w:t>ε</w:t>
      </w:r>
      <w:r>
        <w:rPr>
          <w:rFonts w:hint="default" w:ascii="Times New Roman" w:hAnsi="Times New Roman" w:eastAsia="宋体" w:cs="Times New Roman"/>
          <w:color w:val="000000" w:themeColor="text1"/>
          <w:szCs w:val="21"/>
          <w14:textFill>
            <w14:solidFill>
              <w14:schemeClr w14:val="tx1"/>
            </w14:solidFill>
          </w14:textFill>
        </w:rPr>
        <w:t>为温度功率衰减系数，取值为</w:t>
      </w:r>
      <w:r>
        <w:rPr>
          <w:rFonts w:ascii="Times New Roman" w:hAnsi="Times New Roman" w:eastAsia="宋体" w:cs="Times New Roman"/>
          <w:color w:val="000000" w:themeColor="text1"/>
          <w:szCs w:val="21"/>
          <w14:textFill>
            <w14:solidFill>
              <w14:schemeClr w14:val="tx1"/>
            </w14:solidFill>
          </w14:textFill>
        </w:rPr>
        <w:t>0.41%</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w:t>
      </w:r>
    </w:p>
    <w:p w14:paraId="767D9549">
      <w:pPr>
        <w:widowControl/>
        <w:adjustRightInd w:val="0"/>
        <w:spacing w:after="120" w:line="300" w:lineRule="auto"/>
        <w:outlineLvl w:val="2"/>
        <w:rPr>
          <w:rFonts w:ascii="Times New Roman" w:hAnsi="Times New Roman" w:eastAsia="宋体" w:cs="Times New Roman"/>
          <w:b/>
          <w:bCs/>
          <w:color w:val="000000" w:themeColor="text1"/>
          <w:szCs w:val="21"/>
          <w14:textFill>
            <w14:solidFill>
              <w14:schemeClr w14:val="tx1"/>
            </w14:solidFill>
          </w14:textFill>
        </w:rPr>
      </w:pPr>
      <w:r>
        <w:rPr>
          <w:rFonts w:ascii="Times New Roman" w:hAnsi="Times New Roman" w:eastAsia="宋体" w:cs="Times New Roman"/>
          <w:b/>
          <w:bCs/>
          <w:color w:val="000000" w:themeColor="text1"/>
          <w:szCs w:val="21"/>
          <w14:textFill>
            <w14:solidFill>
              <w14:schemeClr w14:val="tx1"/>
            </w14:solidFill>
          </w14:textFill>
        </w:rPr>
        <w:t>7</w:t>
      </w:r>
      <w:r>
        <w:rPr>
          <w:rFonts w:hint="default" w:ascii="Times New Roman" w:hAnsi="Times New Roman" w:eastAsia="宋体" w:cs="Times New Roman"/>
          <w:b/>
          <w:bCs/>
          <w:color w:val="000000" w:themeColor="text1"/>
          <w:szCs w:val="21"/>
          <w14:textFill>
            <w14:solidFill>
              <w14:schemeClr w14:val="tx1"/>
            </w14:solidFill>
          </w14:textFill>
        </w:rPr>
        <w:t>）阴影校正系数</w:t>
      </w:r>
    </w:p>
    <w:p w14:paraId="4AD4FF37">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在太阳入射角较低时，相邻光伏组件之间将产生阴影遮挡，对发电效率影响显著。借鉴</w:t>
      </w:r>
      <w:r>
        <w:rPr>
          <w:rFonts w:ascii="Times New Roman" w:hAnsi="Times New Roman" w:eastAsia="宋体" w:cs="Times New Roman"/>
          <w:color w:val="000000" w:themeColor="text1"/>
          <w:szCs w:val="21"/>
          <w14:textFill>
            <w14:solidFill>
              <w14:schemeClr w14:val="tx1"/>
            </w14:solidFill>
          </w14:textFill>
        </w:rPr>
        <w:t>Qiu</w:t>
      </w:r>
      <w:r>
        <w:rPr>
          <w:rFonts w:hint="default" w:ascii="Times New Roman" w:hAnsi="Times New Roman" w:eastAsia="宋体" w:cs="Times New Roman"/>
          <w:color w:val="000000" w:themeColor="text1"/>
          <w:szCs w:val="21"/>
          <w14:textFill>
            <w14:solidFill>
              <w14:schemeClr w14:val="tx1"/>
            </w14:solidFill>
          </w14:textFill>
        </w:rPr>
        <w:t>等</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{"citationID":"huvggYBf","properties":{"unsorted":false,"formattedCitation":"\\super [2]\\nosupersub{}","plainCitation":"[2]","noteIndex":0},"citationItems":[{"id":769,"uris":["http://zotero.org/users/18711966/items/UYP4V2I3"],"itemData":{"id":769,"type":"article-journal","abstract":"Accurate assessment of the photovoltaic (PV) power generation potential in China is important for the reduction of carbon emission intensity and the achievement of the goal of Carbon Neutral. This study used a PV power generation potential assessment system based on Geographic Information Systems (GIS) and Multi-Criteria Decision Making (MCDM) methods to investigate the PV power generation potential in China. Firstly, the high spatial-temporal resolution and high-quality ERA5 data and related technical, geographic, and social factors were used to assess the theoretical power generation and land suitability of PV power generation. Then, the theoretical power generation and land suitability were comprehensively considered to evaluate the PV power generation potential of China in 2015. The results showed that the average suitability score of land in China is 0.1058 and the suitable land for PV power generation is about 993,000 km2 in 2015. The PV power generation potential of China is 131.942 PWh, which is approximately 23 times the electricity demand of China in 2015. The spatial distribution characteristics of PV power generation potential mainly showed a downward trend from northwest to southeast. Meanwhile, there were clear spatial dislocations between the PV power generation potential and the population distribution and electricity demand in China. In areas that accounting for about 75% of the PV potential, population and electricity demand only accounted for about 16% of the total population and total electricity demand in China. Besides, the degree of tapping PV potential in China is not high, and the installed capacity of most provinces in China accounted for no more than 1% of the capacity potential, especially in the PV potential-rich areas.","container-title":"Renewable and Sustainable Energy Reviews","DOI":"10.1016/j.rser.2021.111900","ISSN":"1364-0321","journalAbbreviation":"Renew. Sustain. Energy Rev.","language":"en","page":"111900","source":"ScienceDirect","title":"Potential assessment of photovoltaic power generation in China","volume":"154","author":[{"family":"Qiu","given":"Tianzhi"},{"family":"Wang","given":"Lunche"},{"family":"Lu","given":"Yunbo"},{"family":"Zhang","given":"Ming"},{"family":"Qin","given":"Wenmin"},{"family":"Wang","given":"Shaoqiang"},{"family":"Wang","given":"Lizhe"}],"issued":{"date-parts":[["2022",2,1]]}}}],"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[2]</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的研究，本文引入阴影校正系数（</w:t>
      </w:r>
      <w:r>
        <w:rPr>
          <w:rFonts w:ascii="Times New Roman" w:hAnsi="Times New Roman" w:eastAsia="宋体" w:cs="Times New Roman"/>
          <w:color w:val="000000" w:themeColor="text1"/>
          <w:szCs w:val="21"/>
          <w14:textFill>
            <w14:solidFill>
              <w14:schemeClr w14:val="tx1"/>
            </w14:solidFill>
          </w14:textFill>
        </w:rPr>
        <w:t>SCF</w:t>
      </w:r>
      <w:r>
        <w:rPr>
          <w:rFonts w:hint="default" w:ascii="Times New Roman" w:hAnsi="Times New Roman" w:eastAsia="宋体" w:cs="Times New Roman"/>
          <w:color w:val="000000" w:themeColor="text1"/>
          <w:szCs w:val="21"/>
          <w14:textFill>
            <w14:solidFill>
              <w14:schemeClr w14:val="tx1"/>
            </w14:solidFill>
          </w14:textFill>
        </w:rPr>
        <w:t>，无量纲）以量化组件间阴影对光伏发电效率的影响：</w:t>
      </w:r>
    </w:p>
    <w:p w14:paraId="684FB7D2">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β</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tmp</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=atan</m:t>
        </m:r>
        <m:r>
          <m:rPr>
            <m:sty m:val="p"/>
          </m:rPr>
          <w:rPr>
            <w:rFonts w:ascii="Cambria Math" w:hAnsi="Cambria Math" w:eastAsia="宋体" w:cs="Times New Roman"/>
            <w:color w:val="000000" w:themeColor="text1"/>
            <w:szCs w:val="21"/>
            <w14:textFill>
              <w14:solidFill>
                <w14:schemeClr w14:val="tx1"/>
              </w14:solidFill>
            </w14:textFill>
          </w:rPr>
          <m:t>⁡</m:t>
        </m:r>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tanβ</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cos</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φ</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m:t>
        </m:r>
      </m:oMath>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ab/>
      </w:r>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S21</w:t>
      </w:r>
      <w:r>
        <w:rPr>
          <w:rFonts w:hint="default" w:ascii="Times New Roman" w:hAnsi="Times New Roman" w:eastAsia="宋体" w:cs="Times New Roman"/>
          <w:color w:val="000000" w:themeColor="text1"/>
          <w:szCs w:val="21"/>
          <w14:textFill>
            <w14:solidFill>
              <w14:schemeClr w14:val="tx1"/>
            </w14:solidFill>
          </w14:textFill>
        </w:rPr>
        <w:t>）</w:t>
      </w:r>
    </w:p>
    <w:p w14:paraId="554BE122">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SCF=1−(sin</m:t>
        </m:r>
        <m:r>
          <m:rPr>
            <m:sty m:val="p"/>
          </m:rPr>
          <w:rPr>
            <w:rFonts w:ascii="Cambria Math" w:hAnsi="Cambria Math" w:eastAsia="宋体" w:cs="Times New Roman"/>
            <w:color w:val="000000" w:themeColor="text1"/>
            <w:szCs w:val="21"/>
            <w14:textFill>
              <w14:solidFill>
                <w14:schemeClr w14:val="tx1"/>
              </w14:solidFill>
            </w14:textFill>
          </w:rPr>
          <m:t>Σ</m:t>
        </m:r>
        <m:r>
          <m:rPr/>
          <w:rPr>
            <w:rFonts w:ascii="Cambria Math" w:hAnsi="Cambria Math" w:eastAsia="宋体" w:cs="Times New Roman"/>
            <w:color w:val="000000" w:themeColor="text1"/>
            <w:szCs w:val="21"/>
            <w14:textFill>
              <w14:solidFill>
                <w14:schemeClr w14:val="tx1"/>
              </w14:solidFill>
            </w14:textFill>
          </w:rPr>
          <m:t>×cotβ×cosφ−</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sin</m:t>
            </m:r>
            <m:r>
              <m:rPr>
                <m:sty m:val="p"/>
              </m:rPr>
              <w:rPr>
                <w:rFonts w:ascii="Cambria Math" w:hAnsi="Cambria Math" w:eastAsia="宋体" w:cs="Times New Roman"/>
                <w:color w:val="000000" w:themeColor="text1"/>
                <w:szCs w:val="21"/>
                <w14:textFill>
                  <w14:solidFill>
                    <w14:schemeClr w14:val="tx1"/>
                  </w14:solidFill>
                </w14:textFill>
              </w:rPr>
              <m:t>Σ</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tan</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β</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n</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×cos</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φ</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sin</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β</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tmp</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sin(π−</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β</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tmp</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r>
              <m:rPr>
                <m:sty m:val="p"/>
              </m:rPr>
              <w:rPr>
                <w:rFonts w:ascii="Cambria Math" w:hAnsi="Cambria Math" w:eastAsia="宋体" w:cs="Times New Roman"/>
                <w:color w:val="000000" w:themeColor="text1"/>
                <w:szCs w:val="21"/>
                <w14:textFill>
                  <w14:solidFill>
                    <w14:schemeClr w14:val="tx1"/>
                  </w14:solidFill>
                </w14:textFill>
              </w:rPr>
              <m:t>Σ</m:t>
            </m:r>
            <m:r>
              <m:rPr/>
              <w:rPr>
                <w:rFonts w:ascii="Cambria Math" w:hAnsi="Cambria Math" w:eastAsia="宋体" w:cs="Times New Roman"/>
                <w:color w:val="000000" w:themeColor="text1"/>
                <w:szCs w:val="21"/>
                <w14:textFill>
                  <w14:solidFill>
                    <w14:schemeClr w14:val="tx1"/>
                  </w14:solidFill>
                </w14:textFill>
              </w:rPr>
              <m:t>)</m:t>
            </m:r>
            <m:ctrlPr>
              <w:rPr>
                <w:rFonts w:ascii="Cambria Math" w:hAnsi="Cambria Math" w:eastAsia="宋体" w:cs="Times New Roman"/>
                <w:color w:val="000000" w:themeColor="text1"/>
                <w:szCs w:val="21"/>
                <w14:textFill>
                  <w14:solidFill>
                    <w14:schemeClr w14:val="tx1"/>
                  </w14:solidFill>
                </w14:textFill>
              </w:rPr>
            </m:ctrlPr>
          </m:den>
        </m:f>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S22</w:t>
      </w:r>
      <w:r>
        <w:rPr>
          <w:rFonts w:hint="default" w:ascii="Times New Roman" w:hAnsi="Times New Roman" w:eastAsia="宋体" w:cs="Times New Roman"/>
          <w:color w:val="000000" w:themeColor="text1"/>
          <w:szCs w:val="21"/>
          <w14:textFill>
            <w14:solidFill>
              <w14:schemeClr w14:val="tx1"/>
            </w14:solidFill>
          </w14:textFill>
        </w:rPr>
        <w:t>）</w:t>
      </w:r>
    </w:p>
    <w:p w14:paraId="5B08BA21">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其中</w:t>
      </w:r>
      <w:r>
        <w:rPr>
          <w:rFonts w:ascii="Times New Roman" w:hAnsi="Times New Roman" w:eastAsia="宋体" w:cs="Times New Roman"/>
          <w:i/>
          <w:iCs/>
          <w:color w:val="000000" w:themeColor="text1"/>
          <w:szCs w:val="21"/>
          <w14:textFill>
            <w14:solidFill>
              <w14:schemeClr w14:val="tx1"/>
            </w14:solidFill>
          </w14:textFill>
        </w:rPr>
        <w:t>β</w:t>
      </w:r>
      <w:r>
        <w:rPr>
          <w:rFonts w:ascii="Times New Roman" w:hAnsi="Times New Roman" w:eastAsia="宋体" w:cs="Times New Roman"/>
          <w:i/>
          <w:iCs/>
          <w:color w:val="000000" w:themeColor="text1"/>
          <w:szCs w:val="21"/>
          <w:vertAlign w:val="subscript"/>
          <w14:textFill>
            <w14:solidFill>
              <w14:schemeClr w14:val="tx1"/>
            </w14:solidFill>
          </w14:textFill>
        </w:rPr>
        <w:t>tmp</w:t>
      </w:r>
      <w:r>
        <w:rPr>
          <w:rFonts w:hint="default" w:ascii="Times New Roman" w:hAnsi="Times New Roman" w:eastAsia="宋体" w:cs="Times New Roman"/>
          <w:color w:val="000000" w:themeColor="text1"/>
          <w:szCs w:val="21"/>
          <w14:textFill>
            <w14:solidFill>
              <w14:schemeClr w14:val="tx1"/>
            </w14:solidFill>
          </w14:textFill>
        </w:rPr>
        <w:t>为太阳高度角在平行于南北轴且垂直于地面的平面上的投影。</w:t>
      </w:r>
    </w:p>
    <w:p w14:paraId="78D96997">
      <w:pPr>
        <w:adjustRightInd w:val="0"/>
        <w:spacing w:after="120" w:line="300" w:lineRule="auto"/>
        <w:outlineLvl w:val="2"/>
        <w:rPr>
          <w:rFonts w:ascii="Times New Roman" w:hAnsi="Times New Roman" w:eastAsia="宋体" w:cs="Times New Roman"/>
          <w:b/>
          <w:bCs/>
          <w:color w:val="000000" w:themeColor="text1"/>
          <w:szCs w:val="21"/>
          <w14:textFill>
            <w14:solidFill>
              <w14:schemeClr w14:val="tx1"/>
            </w14:solidFill>
          </w14:textFill>
        </w:rPr>
      </w:pPr>
      <w:r>
        <w:rPr>
          <w:rFonts w:ascii="Times New Roman" w:hAnsi="Times New Roman" w:eastAsia="宋体" w:cs="Times New Roman"/>
          <w:b/>
          <w:bCs/>
          <w:color w:val="000000" w:themeColor="text1"/>
          <w:szCs w:val="21"/>
          <w14:textFill>
            <w14:solidFill>
              <w14:schemeClr w14:val="tx1"/>
            </w14:solidFill>
          </w14:textFill>
        </w:rPr>
        <w:t>8</w:t>
      </w:r>
      <w:r>
        <w:rPr>
          <w:rFonts w:hint="default" w:ascii="Times New Roman" w:hAnsi="Times New Roman" w:eastAsia="宋体" w:cs="Times New Roman"/>
          <w:b/>
          <w:bCs/>
          <w:color w:val="000000" w:themeColor="text1"/>
          <w:szCs w:val="21"/>
          <w14:textFill>
            <w14:solidFill>
              <w14:schemeClr w14:val="tx1"/>
            </w14:solidFill>
          </w14:textFill>
        </w:rPr>
        <w:t>）太阳能光伏发电潜力</w:t>
      </w:r>
    </w:p>
    <w:p w14:paraId="47B4AB62">
      <w:pPr>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基于</w:t>
      </w:r>
      <w:r>
        <w:rPr>
          <w:rFonts w:ascii="Times New Roman" w:hAnsi="Times New Roman" w:eastAsia="宋体" w:cs="Times New Roman"/>
          <w:color w:val="000000" w:themeColor="text1"/>
          <w:szCs w:val="21"/>
          <w14:textFill>
            <w14:solidFill>
              <w14:schemeClr w14:val="tx1"/>
            </w14:solidFill>
          </w14:textFill>
        </w:rPr>
        <w:t>NEX-GDDP-CMIP6</w:t>
      </w:r>
      <w:r>
        <w:rPr>
          <w:rFonts w:hint="default" w:ascii="Times New Roman" w:hAnsi="Times New Roman" w:eastAsia="宋体" w:cs="Times New Roman"/>
          <w:color w:val="000000" w:themeColor="text1"/>
          <w:szCs w:val="21"/>
          <w14:textFill>
            <w14:solidFill>
              <w14:schemeClr w14:val="tx1"/>
            </w14:solidFill>
          </w14:textFill>
        </w:rPr>
        <w:t>数据集</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{"citationID":"mzW0jLUJ","properties":{"unsorted":false,"formattedCitation":"\\super [4]\\nosupersub{}","plainCitation":"[4]","noteIndex":0},"citationItems":[{"id":"UgoaWSgH/xJoLMxLl","uris":["http://zotero.org/users/12506905/items/CXBYKI7B"],"itemData":{"id":356,"type":"article-journal","abstract":"When applying a quantile mapping-based bias correction to daily temperature extremes simulated by a global climate model (GCM), the transformed values of maximum and minimum temperatures are changed, and the diurnal temperature range (DTR) can become physically unrealistic. While causes are not thoroughly explored, there is a strong relationship between GCM biases in snow albedo feedback during snowmelt and bias correction resulting in unrealistic DTR values. We propose a technique to bias correct DTR, based on comparing observations and GCM historic simulations, and combine that with either bias correcting daily maximum temperatures and calculating daily minimum temperatures or vice versa. By basing the bias correction on a base period of 1961–1980 and validating it during a test period of 1981–1999, we show that bias correcting DTR and maximum daily temperature can produce more accurate estimations of daily temperature extremes while avoiding the pathological cases of unrealistic DTR values.","container-title":"Hydrology and Earth System Sciences","DOI":"10.5194/hess-16-3309-2012","ISSN":"1027-5606","issue":"9","language":"English","note":"number: 9","page":"3309-3314","publisher":"Copernicus GmbH","source":"Copernicus Online Journals","title":"Technical Note: Bias correcting climate model simulated daily temperature extremes with quantile mapping","title-short":"Technical Note","volume":"16","author":[{"family":"Thrasher","given":"B."},{"family":"Maurer","given":"E. P."},{"family":"McKellar","given":"C."},{"family":"Duffy","given":"P. B."}],"issued":{"date-parts":[["2012",9,17]]}}}],"schema":"https://github.com/citation-style-language/schema/raw/master/csl-citation.json"}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1"/>
          <w:vertAlign w:val="superscript"/>
        </w:rPr>
        <w:t>[4]</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提供的温度和地表太阳辐射数据，结合上述各环节计算结果，可获取每个</w:t>
      </w:r>
      <w:r>
        <w:rPr>
          <w:rFonts w:ascii="Times New Roman" w:hAnsi="Times New Roman" w:eastAsia="宋体" w:cs="Times New Roman"/>
          <w:color w:val="000000" w:themeColor="text1"/>
          <w:szCs w:val="21"/>
          <w14:textFill>
            <w14:solidFill>
              <w14:schemeClr w14:val="tx1"/>
            </w14:solidFill>
          </w14:textFill>
        </w:rPr>
        <w:t>0.25</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0.25</w:t>
      </w:r>
      <w:r>
        <w:rPr>
          <w:rFonts w:hint="default" w:ascii="Times New Roman" w:hAnsi="Times New Roman" w:eastAsia="宋体" w:cs="Times New Roman"/>
          <w:color w:val="000000" w:themeColor="text1"/>
          <w:szCs w:val="21"/>
          <w14:textFill>
            <w14:solidFill>
              <w14:schemeClr w14:val="tx1"/>
            </w14:solidFill>
          </w14:textFill>
        </w:rPr>
        <w:t>°栅格的逐小时光伏发电潜力（</w:t>
      </w:r>
      <w:r>
        <w:rPr>
          <w:rFonts w:ascii="Times New Roman" w:hAnsi="Times New Roman" w:eastAsia="宋体" w:cs="Times New Roman"/>
          <w:i/>
          <w:iCs/>
          <w:color w:val="000000" w:themeColor="text1"/>
          <w:szCs w:val="21"/>
          <w14:textFill>
            <w14:solidFill>
              <w14:schemeClr w14:val="tx1"/>
            </w14:solidFill>
          </w14:textFill>
        </w:rPr>
        <w:t>P</w:t>
      </w:r>
      <w:r>
        <w:rPr>
          <w:rFonts w:ascii="Times New Roman" w:hAnsi="Times New Roman" w:eastAsia="宋体" w:cs="Times New Roman"/>
          <w:i/>
          <w:iCs/>
          <w:color w:val="000000" w:themeColor="text1"/>
          <w:szCs w:val="21"/>
          <w:vertAlign w:val="subscript"/>
          <w14:textFill>
            <w14:solidFill>
              <w14:schemeClr w14:val="tx1"/>
            </w14:solidFill>
          </w14:textFill>
        </w:rPr>
        <w:t>solarPV</w:t>
      </w:r>
      <w:r>
        <w:rPr>
          <w:rFonts w:hint="default" w:ascii="Times New Roman" w:hAnsi="Times New Roman" w:eastAsia="宋体" w:cs="Times New Roman"/>
          <w:color w:val="000000" w:themeColor="text1"/>
          <w:szCs w:val="21"/>
          <w14:textFill>
            <w14:solidFill>
              <w14:schemeClr w14:val="tx1"/>
            </w14:solidFill>
          </w14:textFill>
        </w:rPr>
        <w:t>）。具体公式见数据和方法部分。</w:t>
      </w:r>
    </w:p>
    <w:p w14:paraId="791FAD3C">
      <w:pPr>
        <w:widowControl/>
        <w:adjustRightInd w:val="0"/>
        <w:spacing w:after="160" w:line="300" w:lineRule="auto"/>
        <w:jc w:val="left"/>
        <w:outlineLvl w:val="1"/>
        <w:rPr>
          <w:rFonts w:ascii="Times New Roman" w:hAnsi="Times New Roman" w:eastAsia="黑体" w:cs="Times New Roman"/>
          <w:b/>
          <w:bCs/>
          <w:color w:val="000000" w:themeColor="text1"/>
          <w:szCs w:val="21"/>
          <w14:textFill>
            <w14:solidFill>
              <w14:schemeClr w14:val="tx1"/>
            </w14:solidFill>
          </w14:textFill>
        </w:rPr>
      </w:pPr>
      <w:r>
        <w:rPr>
          <w:rFonts w:ascii="Times New Roman" w:hAnsi="Times New Roman" w:eastAsia="黑体" w:cs="Times New Roman"/>
          <w:b/>
          <w:bCs/>
          <w:color w:val="000000" w:themeColor="text1"/>
          <w:szCs w:val="21"/>
          <w14:textFill>
            <w14:solidFill>
              <w14:schemeClr w14:val="tx1"/>
            </w14:solidFill>
          </w14:textFill>
        </w:rPr>
        <w:t xml:space="preserve">1.2 </w:t>
      </w:r>
      <w:r>
        <w:rPr>
          <w:rFonts w:hint="default" w:ascii="Times New Roman" w:hAnsi="Times New Roman" w:eastAsia="黑体" w:cs="Times New Roman"/>
          <w:b/>
          <w:bCs/>
          <w:color w:val="000000" w:themeColor="text1"/>
          <w:szCs w:val="21"/>
          <w14:textFill>
            <w14:solidFill>
              <w14:schemeClr w14:val="tx1"/>
            </w14:solidFill>
          </w14:textFill>
        </w:rPr>
        <w:t>陆上风能发电潜力模型</w:t>
      </w:r>
    </w:p>
    <w:p w14:paraId="4F45C072">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本研究基于风力发电空气动力学原理，结合青藏高原高寒低压的环境特征，构建了考虑空气密度动态校正与风速概率积分的陆上风能发电潜力评估模型。模型构建主要包括以下环节：</w:t>
      </w:r>
    </w:p>
    <w:p w14:paraId="41F4B3C0">
      <w:pPr>
        <w:widowControl/>
        <w:adjustRightInd w:val="0"/>
        <w:spacing w:after="120" w:line="300" w:lineRule="auto"/>
        <w:outlineLvl w:val="2"/>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b/>
          <w:bCs/>
          <w:color w:val="000000" w:themeColor="text1"/>
          <w:szCs w:val="21"/>
          <w14:textFill>
            <w14:solidFill>
              <w14:schemeClr w14:val="tx1"/>
            </w14:solidFill>
          </w14:textFill>
        </w:rPr>
        <w:t>1</w:t>
      </w:r>
      <w:r>
        <w:rPr>
          <w:rFonts w:hint="default" w:ascii="Times New Roman" w:hAnsi="Times New Roman" w:eastAsia="宋体" w:cs="Times New Roman"/>
          <w:b/>
          <w:bCs/>
          <w:color w:val="000000" w:themeColor="text1"/>
          <w:szCs w:val="21"/>
          <w14:textFill>
            <w14:solidFill>
              <w14:schemeClr w14:val="tx1"/>
            </w14:solidFill>
          </w14:textFill>
        </w:rPr>
        <w:t>）轮毂高度处气象要素垂直外推</w:t>
      </w:r>
    </w:p>
    <w:p w14:paraId="63A09A86">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全球气候模式通常仅提供近地面（</w:t>
      </w:r>
      <w:r>
        <w:rPr>
          <w:rFonts w:ascii="Times New Roman" w:hAnsi="Times New Roman" w:eastAsia="宋体" w:cs="Times New Roman"/>
          <w:color w:val="000000" w:themeColor="text1"/>
          <w:szCs w:val="21"/>
          <w14:textFill>
            <w14:solidFill>
              <w14:schemeClr w14:val="tx1"/>
            </w14:solidFill>
          </w14:textFill>
        </w:rPr>
        <w:t>10 m</w:t>
      </w:r>
      <w:r>
        <w:rPr>
          <w:rFonts w:hint="default" w:ascii="Times New Roman" w:hAnsi="Times New Roman" w:eastAsia="宋体" w:cs="Times New Roman"/>
          <w:color w:val="000000" w:themeColor="text1"/>
          <w:szCs w:val="21"/>
          <w14:textFill>
            <w14:solidFill>
              <w14:schemeClr w14:val="tx1"/>
            </w14:solidFill>
          </w14:textFill>
        </w:rPr>
        <w:t>高度）风速以及地表气温和气压。为获取风力发电机组轮毂高度（本研究设定为</w:t>
      </w:r>
      <w:r>
        <w:rPr>
          <w:rFonts w:ascii="Times New Roman" w:hAnsi="Times New Roman" w:eastAsia="宋体" w:cs="Times New Roman"/>
          <w:color w:val="000000" w:themeColor="text1"/>
          <w:szCs w:val="21"/>
          <w14:textFill>
            <w14:solidFill>
              <w14:schemeClr w14:val="tx1"/>
            </w14:solidFill>
          </w14:textFill>
        </w:rPr>
        <w:t xml:space="preserve"> Δ</w:t>
      </w:r>
      <w:r>
        <w:rPr>
          <w:rFonts w:ascii="Times New Roman" w:hAnsi="Times New Roman" w:eastAsia="宋体" w:cs="Times New Roman"/>
          <w:i/>
          <w:iCs/>
          <w:color w:val="000000" w:themeColor="text1"/>
          <w:szCs w:val="21"/>
          <w14:textFill>
            <w14:solidFill>
              <w14:schemeClr w14:val="tx1"/>
            </w14:solidFill>
          </w14:textFill>
        </w:rPr>
        <w:t>h</w:t>
      </w:r>
      <w:r>
        <w:rPr>
          <w:rFonts w:ascii="Times New Roman" w:hAnsi="Times New Roman" w:eastAsia="宋体" w:cs="Times New Roman"/>
          <w:color w:val="000000" w:themeColor="text1"/>
          <w:szCs w:val="21"/>
          <w14:textFill>
            <w14:solidFill>
              <w14:schemeClr w14:val="tx1"/>
            </w14:solidFill>
          </w14:textFill>
        </w:rPr>
        <w:t xml:space="preserve"> = 100 m</w:t>
      </w:r>
      <w:r>
        <w:rPr>
          <w:rFonts w:hint="default" w:ascii="Times New Roman" w:hAnsi="Times New Roman" w:eastAsia="宋体" w:cs="Times New Roman"/>
          <w:color w:val="000000" w:themeColor="text1"/>
          <w:szCs w:val="21"/>
          <w14:textFill>
            <w14:solidFill>
              <w14:schemeClr w14:val="tx1"/>
            </w14:solidFill>
          </w14:textFill>
        </w:rPr>
        <w:t>）处的真实气象条件，需对风速、气温和气压分别进行垂直修正。风速随高度的变化采用幂律公式外推</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{"citationID":"hAONuyEW","properties":{"unsorted":false,"formattedCitation":"\\super [10]\\nosupersub{}","plainCitation":"[10]","noteIndex":0},"citationItems":[{"id":"UgoaWSgH/82SSEIHg","uris":["http://zotero.org/users/12506905/items/TPDJ5MGI"],"itemData":{"id":10,"type":"article-journal","abstract":"Economic productivity depends on reliable access to electricity, but the extreme shortage events of variable wind-solar systems may be strongly affected by climate change. Here, hourly reanalysis climatological data are leveraged to examine historical trends in defined extreme shortage events worldwide. We find uptrends in extreme shortage events regardless of their frequency, duration, and intensity since 1980. For instance, duration of extreme low-reliability events worldwide has increased by 4.1 hours (0.392 hours per year on average) between 1980–2000 and 2001–2022. However, such ascending trends are unevenly distributed worldwide, with a greater variability in low- and middle-latitude developing countries. This uptrend in extreme shortage events is driven by extremely low wind speed and solar radiation, particularly compound wind and solar drought, which however are strongly disproportionated. Only average 12.5% change in compound extremely low wind speed and solar radiation events may give rise to over 30% variability in extreme shortage events, despite a mere average 1.0% change in average wind speed and solar radiation. Our findings underline that wind-solar systems will probably suffer from weakened power security if such uptrends persist in a warmer future.","container-title":"Nature Communications","DOI":"10.1038/s41467-024-48966-y","ISSN":"2041-1723","issue":"1","journalAbbreviation":"Nat Commun","language":"en","license":"2024 The Author(s)","page":"5225","publisher":"Nature Publishing Group","source":"www.nature.com","title":"Climate change impacts on the extreme power shortage events of wind-solar supply systems worldwide during 1980–2022","volume":"15","author":[{"family":"Zheng","given":"Dongsheng"},{"family":"Tong","given":"Dan"},{"family":"Davis","given":"Steven J."},{"family":"Qin","given":"Yue"},{"family":"Liu","given":"Yang"},{"family":"Xu","given":"Ruochong"},{"family":"Yang","given":"Jin"},{"family":"Yan","given":"Xizhe"},{"family":"Geng","given":"Guannan"},{"family":"Che","given":"Huizheng"},{"family":"Zhang","given":"Qiang"}],"issued":{"date-parts":[["2024",6,18]]}}}],"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[10]</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，风切变指数依据工程惯例取</w:t>
      </w:r>
      <w:r>
        <w:rPr>
          <w:rFonts w:ascii="Times New Roman" w:hAnsi="Times New Roman" w:eastAsia="宋体" w:cs="Times New Roman"/>
          <w:color w:val="000000" w:themeColor="text1"/>
          <w:szCs w:val="21"/>
          <w14:textFill>
            <w14:solidFill>
              <w14:schemeClr w14:val="tx1"/>
            </w14:solidFill>
          </w14:textFill>
        </w:rPr>
        <w:t xml:space="preserve">1/7 </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{"citationID":"mXOuH9pR","properties":{"unsorted":false,"formattedCitation":"\\super [11]\\nosupersub{}","plainCitation":"[11]","noteIndex":0},"citationItems":[{"id":"UgoaWSgH/htpLw705","uris":["http://zotero.org/users/12506905/items/PCQJJTSS"],"itemData":{"id":11,"type":"article-journal","abstract":"The evaluation of wind power potential at a proposed aerogenerator site by extrapolation from measured winds at a reference level is investigated. It is shown that the total mean wind power density is not particularly sensitive to the selection of roughness length or power law exponent; over the entire likely range of these parameters the wind power in the mean flow at typical aerogenerator hub heights is within 1.4–4 times the power at a reference height of about 10 m. In lieu of in situ profile measurements, it is suggested that a power law exponent of 1/7 is adequate for realistic but conservative estimates of the available wind power except at extremely rough sites where the estimates may only be conservative.","container-title":"Journal of Applied Meteorology and Climatology","DOI":"10.1175/1520-0450(1978)017&lt;0390:OTUOPL&gt;2.0.CO;2","ISSN":"1520-0450","issue":"3","language":"en","page":"390-394","publisher":"American Meteorological Society","section":"Journal of Applied Meteorology and Climatology","source":"journals.ametsoc.org","title":"On the Use of Power Laws for Estimates of Wind Power Potential","volume":"17","author":[{"family":"Peterson","given":"Ernest W."},{"family":"Hennessey","given":"Joseph P."}],"issued":{"date-parts":[["1978",3,1]]}}}],"schema":"https://github.com/citation-style-language/schema/raw/master/csl-citation.json"}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[11]</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；气温随高度的衰减按标准大气垂直递减率（</w:t>
      </w:r>
      <w:r>
        <w:rPr>
          <w:rFonts w:ascii="Times New Roman" w:hAnsi="Times New Roman" w:eastAsia="宋体" w:cs="Times New Roman"/>
          <w:color w:val="000000" w:themeColor="text1"/>
          <w:szCs w:val="21"/>
          <w14:textFill>
            <w14:solidFill>
              <w14:schemeClr w14:val="tx1"/>
            </w14:solidFill>
          </w14:textFill>
        </w:rPr>
        <w:t xml:space="preserve">0.0065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m</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）计算；气压基于流体静力学压高公式推导</w:t>
      </w:r>
      <w:r>
        <w:rPr>
          <w:rFonts w:ascii="Times New Roman" w:hAnsi="Times New Roman" w:eastAsia="宋体" w:cs="Times New Roman"/>
          <w:color w:val="000000" w:themeColor="text1"/>
          <w:szCs w:val="21"/>
          <w14:textFill>
            <w14:solidFill>
              <w14:schemeClr w14:val="tx1"/>
            </w14:solidFill>
          </w14:textFill>
        </w:rPr>
        <w:t xml:space="preserve"> </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{"citationID":"CI11xZ7p","properties":{"unsorted":false,"formattedCitation":"\\super [12]\\nosupersub{}","plainCitation":"[12]","noteIndex":0},"citationItems":[{"id":"UgoaWSgH/epyxRpJc","uris":["http://zotero.org/users/12506905/items/RFI4CNHM"],"itemData":{"id":6,"type":"book","DOI":"10.1016/C2009-0-00034-8","ISBN":"978-0-12-732951-2","language":"en","publisher":"Elsevier","source":"DOI.org (Crossref)","title":"Atmospheric Science","URL":"https://linkinghub.elsevier.com/retrieve/pii/C20090000348","author":[{"literal":"John M. Wallace"},{"literal":"Peter V. Hobbs"}],"accessed":{"date-parts":[["2026",2,3]]},"issued":{"date-parts":[["2006"]]}}}],"schema":"https://github.com/citation-style-language/schema/raw/master/csl-citation.json"}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[12]</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。具体计算公式如下：</w:t>
      </w:r>
    </w:p>
    <w:p w14:paraId="2354F55A">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V</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V</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sfc</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p>
          <m:sSupPr>
            <m:ctrlPr>
              <w:rPr>
                <w:rFonts w:ascii="Cambria Math" w:hAnsi="Cambria Math" w:eastAsia="宋体" w:cs="Times New Roman"/>
                <w:color w:val="000000" w:themeColor="text1"/>
                <w:szCs w:val="21"/>
                <w14:textFill>
                  <w14:solidFill>
                    <w14:schemeClr w14:val="tx1"/>
                  </w14:solidFill>
                </w14:textFill>
              </w:rPr>
            </m:ctrlPr>
          </m:sSupPr>
          <m:e>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100</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10</m:t>
                </m:r>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m:t>
            </m:r>
            <m:ctrlPr>
              <w:rPr>
                <w:rFonts w:ascii="Cambria Math" w:hAnsi="Cambria Math" w:eastAsia="宋体" w:cs="Times New Roman"/>
                <w:color w:val="000000" w:themeColor="text1"/>
                <w:szCs w:val="21"/>
                <w14:textFill>
                  <w14:solidFill>
                    <w14:schemeClr w14:val="tx1"/>
                  </w14:solidFill>
                </w14:textFill>
              </w:rPr>
            </m:ctrlPr>
          </m:e>
          <m:sup>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1</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7</m:t>
                </m:r>
                <m:ctrlPr>
                  <w:rPr>
                    <w:rFonts w:ascii="Cambria Math" w:hAnsi="Cambria Math" w:eastAsia="宋体" w:cs="Times New Roman"/>
                    <w:color w:val="000000" w:themeColor="text1"/>
                    <w:szCs w:val="21"/>
                    <w14:textFill>
                      <w14:solidFill>
                        <w14:schemeClr w14:val="tx1"/>
                      </w14:solidFill>
                    </w14:textFill>
                  </w:rPr>
                </m:ctrlPr>
              </m:den>
            </m:f>
            <m:ctrlPr>
              <w:rPr>
                <w:rFonts w:ascii="Cambria Math" w:hAnsi="Cambria Math" w:eastAsia="宋体" w:cs="Times New Roman"/>
                <w:color w:val="000000" w:themeColor="text1"/>
                <w:szCs w:val="21"/>
                <w14:textFill>
                  <w14:solidFill>
                    <w14:schemeClr w14:val="tx1"/>
                  </w14:solidFill>
                </w14:textFill>
              </w:rPr>
            </m:ctrlPr>
          </m:sup>
        </m:sSup>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S23</w:t>
      </w:r>
      <w:r>
        <w:rPr>
          <w:rFonts w:hint="default" w:ascii="Times New Roman" w:hAnsi="Times New Roman" w:eastAsia="宋体" w:cs="Times New Roman"/>
          <w:color w:val="000000" w:themeColor="text1"/>
          <w:szCs w:val="21"/>
          <w14:textFill>
            <w14:solidFill>
              <w14:schemeClr w14:val="tx1"/>
            </w14:solidFill>
          </w14:textFill>
        </w:rPr>
        <w:t>）</w:t>
      </w:r>
    </w:p>
    <w:p w14:paraId="0D553C0A">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sfc</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−0.0065⋅</m:t>
        </m:r>
        <m:r>
          <m:rPr>
            <m:sty m:val="p"/>
          </m:rPr>
          <w:rPr>
            <w:rFonts w:ascii="Cambria Math" w:hAnsi="Cambria Math" w:eastAsia="宋体" w:cs="Times New Roman"/>
            <w:color w:val="000000" w:themeColor="text1"/>
            <w:szCs w:val="21"/>
            <w14:textFill>
              <w14:solidFill>
                <w14:schemeClr w14:val="tx1"/>
              </w14:solidFill>
            </w14:textFill>
          </w:rPr>
          <m:t>Δ</m:t>
        </m:r>
        <m:r>
          <m:rPr/>
          <w:rPr>
            <w:rFonts w:ascii="Cambria Math" w:hAnsi="Cambria Math" w:eastAsia="宋体" w:cs="Times New Roman"/>
            <w:color w:val="000000" w:themeColor="text1"/>
            <w:szCs w:val="21"/>
            <w14:textFill>
              <w14:solidFill>
                <w14:schemeClr w14:val="tx1"/>
              </w14:solidFill>
            </w14:textFill>
          </w:rPr>
          <m:t>h</m:t>
        </m:r>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S24</w:t>
      </w:r>
      <w:r>
        <w:rPr>
          <w:rFonts w:hint="default" w:ascii="Times New Roman" w:hAnsi="Times New Roman" w:eastAsia="宋体" w:cs="Times New Roman"/>
          <w:color w:val="000000" w:themeColor="text1"/>
          <w:szCs w:val="21"/>
          <w14:textFill>
            <w14:solidFill>
              <w14:schemeClr w14:val="tx1"/>
            </w14:solidFill>
          </w14:textFill>
        </w:rPr>
        <w:t>）</w:t>
      </w:r>
    </w:p>
    <w:p w14:paraId="19ED03E8">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P</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P</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sfc</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r>
          <m:rPr>
            <m:sty m:val="p"/>
          </m:rPr>
          <w:rPr>
            <w:rFonts w:ascii="Cambria Math" w:hAnsi="Cambria Math" w:eastAsia="宋体" w:cs="Times New Roman"/>
            <w:color w:val="000000" w:themeColor="text1"/>
            <w:szCs w:val="21"/>
            <w14:textFill>
              <w14:solidFill>
                <w14:schemeClr w14:val="tx1"/>
              </w14:solidFill>
            </w14:textFill>
          </w:rPr>
          <m:t>exp</m:t>
        </m:r>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−g⋅</m:t>
            </m:r>
            <m:r>
              <m:rPr>
                <m:sty m:val="p"/>
              </m:rPr>
              <w:rPr>
                <w:rFonts w:ascii="Cambria Math" w:hAnsi="Cambria Math" w:eastAsia="宋体" w:cs="Times New Roman"/>
                <w:color w:val="000000" w:themeColor="text1"/>
                <w:szCs w:val="21"/>
                <w14:textFill>
                  <w14:solidFill>
                    <w14:schemeClr w14:val="tx1"/>
                  </w14:solidFill>
                </w14:textFill>
              </w:rPr>
              <m:t>Δ</m:t>
            </m:r>
            <m:r>
              <m:rPr/>
              <w:rPr>
                <w:rFonts w:ascii="Cambria Math" w:hAnsi="Cambria Math" w:eastAsia="宋体" w:cs="Times New Roman"/>
                <w:color w:val="000000" w:themeColor="text1"/>
                <w:szCs w:val="21"/>
                <w14:textFill>
                  <w14:solidFill>
                    <w14:schemeClr w14:val="tx1"/>
                  </w14:solidFill>
                </w14:textFill>
              </w:rPr>
              <m:t>h</m:t>
            </m:r>
            <m:ctrlPr>
              <w:rPr>
                <w:rFonts w:ascii="Cambria Math" w:hAnsi="Cambria Math" w:eastAsia="宋体" w:cs="Times New Roman"/>
                <w:color w:val="000000" w:themeColor="text1"/>
                <w:szCs w:val="21"/>
                <w14:textFill>
                  <w14:solidFill>
                    <w14:schemeClr w14:val="tx1"/>
                  </w14:solidFill>
                </w14:textFill>
              </w:rPr>
            </m:ctrlPr>
          </m:num>
          <m:den>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R</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sfc</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m:t>
        </m:r>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S25</w:t>
      </w:r>
      <w:r>
        <w:rPr>
          <w:rFonts w:hint="default" w:ascii="Times New Roman" w:hAnsi="Times New Roman" w:eastAsia="宋体" w:cs="Times New Roman"/>
          <w:color w:val="000000" w:themeColor="text1"/>
          <w:szCs w:val="21"/>
          <w14:textFill>
            <w14:solidFill>
              <w14:schemeClr w14:val="tx1"/>
            </w14:solidFill>
          </w14:textFill>
        </w:rPr>
        <w:t>）</w:t>
      </w:r>
    </w:p>
    <w:p w14:paraId="34BB9E91">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ρ</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P</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num>
          <m:den>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R</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d</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T</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den>
        </m:f>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S26</w:t>
      </w:r>
      <w:r>
        <w:rPr>
          <w:rFonts w:hint="default" w:ascii="Times New Roman" w:hAnsi="Times New Roman" w:eastAsia="宋体" w:cs="Times New Roman"/>
          <w:color w:val="000000" w:themeColor="text1"/>
          <w:szCs w:val="21"/>
          <w14:textFill>
            <w14:solidFill>
              <w14:schemeClr w14:val="tx1"/>
            </w14:solidFill>
          </w14:textFill>
        </w:rPr>
        <w:t>）</w:t>
      </w:r>
    </w:p>
    <w:p w14:paraId="1CBEFEDD">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其中，</w:t>
      </w:r>
      <w:r>
        <w:rPr>
          <w:rFonts w:ascii="Times New Roman" w:hAnsi="Times New Roman" w:eastAsia="宋体" w:cs="Times New Roman"/>
          <w:i/>
          <w:iCs/>
          <w:color w:val="000000" w:themeColor="text1"/>
          <w:szCs w:val="21"/>
          <w14:textFill>
            <w14:solidFill>
              <w14:schemeClr w14:val="tx1"/>
            </w14:solidFill>
          </w14:textFill>
        </w:rPr>
        <w:t>V</w:t>
      </w:r>
      <w:r>
        <w:rPr>
          <w:rFonts w:ascii="Times New Roman" w:hAnsi="Times New Roman" w:eastAsia="宋体" w:cs="Times New Roman"/>
          <w:i/>
          <w:iCs/>
          <w:color w:val="000000" w:themeColor="text1"/>
          <w:szCs w:val="21"/>
          <w:vertAlign w:val="subscript"/>
          <w14:textFill>
            <w14:solidFill>
              <w14:schemeClr w14:val="tx1"/>
            </w14:solidFill>
          </w14:textFill>
        </w:rPr>
        <w:t>sfc</w:t>
      </w:r>
      <w:r>
        <w:rPr>
          <w:rFonts w:hint="default" w:ascii="Times New Roman" w:hAnsi="Times New Roman" w:eastAsia="宋体" w:cs="Times New Roman"/>
          <w:color w:val="000000" w:themeColor="text1"/>
          <w:szCs w:val="21"/>
          <w14:textFill>
            <w14:solidFill>
              <w14:schemeClr w14:val="tx1"/>
            </w14:solidFill>
          </w14:textFill>
        </w:rPr>
        <w:t>和</w:t>
      </w:r>
      <w:r>
        <w:rPr>
          <w:rFonts w:ascii="Times New Roman" w:hAnsi="Times New Roman" w:eastAsia="宋体" w:cs="Times New Roman"/>
          <w:i/>
          <w:iCs/>
          <w:color w:val="000000" w:themeColor="text1"/>
          <w:szCs w:val="21"/>
          <w14:textFill>
            <w14:solidFill>
              <w14:schemeClr w14:val="tx1"/>
            </w14:solidFill>
          </w14:textFill>
        </w:rPr>
        <w:t>V</w:t>
      </w:r>
      <w:r>
        <w:rPr>
          <w:rFonts w:ascii="Times New Roman" w:hAnsi="Times New Roman" w:eastAsia="宋体" w:cs="Times New Roman"/>
          <w:color w:val="000000" w:themeColor="text1"/>
          <w:szCs w:val="21"/>
          <w:vertAlign w:val="subscript"/>
          <w14:textFill>
            <w14:solidFill>
              <w14:schemeClr w14:val="tx1"/>
            </w14:solidFill>
          </w14:textFill>
        </w:rPr>
        <w:t>100</w:t>
      </w:r>
      <w:r>
        <w:rPr>
          <w:rFonts w:hint="default" w:ascii="Times New Roman" w:hAnsi="Times New Roman" w:eastAsia="宋体" w:cs="Times New Roman"/>
          <w:color w:val="000000" w:themeColor="text1"/>
          <w:szCs w:val="21"/>
          <w14:textFill>
            <w14:solidFill>
              <w14:schemeClr w14:val="tx1"/>
            </w14:solidFill>
          </w14:textFill>
        </w:rPr>
        <w:t>分别为</w:t>
      </w:r>
      <w:r>
        <w:rPr>
          <w:rFonts w:ascii="Times New Roman" w:hAnsi="Times New Roman" w:eastAsia="宋体" w:cs="Times New Roman"/>
          <w:color w:val="000000" w:themeColor="text1"/>
          <w:szCs w:val="21"/>
          <w14:textFill>
            <w14:solidFill>
              <w14:schemeClr w14:val="tx1"/>
            </w14:solidFill>
          </w14:textFill>
        </w:rPr>
        <w:t>10 m</w:t>
      </w:r>
      <w:r>
        <w:rPr>
          <w:rFonts w:hint="default" w:ascii="Times New Roman" w:hAnsi="Times New Roman" w:eastAsia="宋体" w:cs="Times New Roman"/>
          <w:color w:val="000000" w:themeColor="text1"/>
          <w:szCs w:val="21"/>
          <w14:textFill>
            <w14:solidFill>
              <w14:schemeClr w14:val="tx1"/>
            </w14:solidFill>
          </w14:textFill>
        </w:rPr>
        <w:t>高度和</w:t>
      </w:r>
      <w:r>
        <w:rPr>
          <w:rFonts w:ascii="Times New Roman" w:hAnsi="Times New Roman" w:eastAsia="宋体" w:cs="Times New Roman"/>
          <w:color w:val="000000" w:themeColor="text1"/>
          <w:szCs w:val="21"/>
          <w14:textFill>
            <w14:solidFill>
              <w14:schemeClr w14:val="tx1"/>
            </w14:solidFill>
          </w14:textFill>
        </w:rPr>
        <w:t>100 m</w:t>
      </w:r>
      <w:r>
        <w:rPr>
          <w:rFonts w:hint="default" w:ascii="Times New Roman" w:hAnsi="Times New Roman" w:eastAsia="宋体" w:cs="Times New Roman"/>
          <w:color w:val="000000" w:themeColor="text1"/>
          <w:szCs w:val="21"/>
          <w14:textFill>
            <w14:solidFill>
              <w14:schemeClr w14:val="tx1"/>
            </w14:solidFill>
          </w14:textFill>
        </w:rPr>
        <w:t>轮毂高度处的风速（</w:t>
      </w:r>
      <w:r>
        <w:rPr>
          <w:rFonts w:ascii="Times New Roman" w:hAnsi="Times New Roman" w:eastAsia="宋体" w:cs="Times New Roman"/>
          <w:color w:val="000000" w:themeColor="text1"/>
          <w:szCs w:val="21"/>
          <w14:textFill>
            <w14:solidFill>
              <w14:schemeClr w14:val="tx1"/>
            </w14:solidFill>
          </w14:textFill>
        </w:rPr>
        <w:t>m</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T</w:t>
      </w:r>
      <w:r>
        <w:rPr>
          <w:rFonts w:ascii="Times New Roman" w:hAnsi="Times New Roman" w:eastAsia="宋体" w:cs="Times New Roman"/>
          <w:i/>
          <w:iCs/>
          <w:color w:val="000000" w:themeColor="text1"/>
          <w:szCs w:val="21"/>
          <w:vertAlign w:val="subscript"/>
          <w14:textFill>
            <w14:solidFill>
              <w14:schemeClr w14:val="tx1"/>
            </w14:solidFill>
          </w14:textFill>
        </w:rPr>
        <w:t>sfc</w:t>
      </w:r>
      <w:r>
        <w:rPr>
          <w:rFonts w:hint="default" w:ascii="Times New Roman" w:hAnsi="Times New Roman" w:eastAsia="宋体" w:cs="Times New Roman"/>
          <w:color w:val="000000" w:themeColor="text1"/>
          <w:szCs w:val="21"/>
          <w14:textFill>
            <w14:solidFill>
              <w14:schemeClr w14:val="tx1"/>
            </w14:solidFill>
          </w14:textFill>
        </w:rPr>
        <w:t>和</w:t>
      </w:r>
      <w:r>
        <w:rPr>
          <w:rFonts w:ascii="Times New Roman" w:hAnsi="Times New Roman" w:eastAsia="宋体" w:cs="Times New Roman"/>
          <w:i/>
          <w:iCs/>
          <w:color w:val="000000" w:themeColor="text1"/>
          <w:szCs w:val="21"/>
          <w14:textFill>
            <w14:solidFill>
              <w14:schemeClr w14:val="tx1"/>
            </w14:solidFill>
          </w14:textFill>
        </w:rPr>
        <w:t>T</w:t>
      </w:r>
      <w:r>
        <w:rPr>
          <w:rFonts w:ascii="Times New Roman" w:hAnsi="Times New Roman" w:eastAsia="宋体" w:cs="Times New Roman"/>
          <w:color w:val="000000" w:themeColor="text1"/>
          <w:szCs w:val="21"/>
          <w:vertAlign w:val="subscript"/>
          <w14:textFill>
            <w14:solidFill>
              <w14:schemeClr w14:val="tx1"/>
            </w14:solidFill>
          </w14:textFill>
        </w:rPr>
        <w:t>100</w:t>
      </w:r>
      <w:r>
        <w:rPr>
          <w:rFonts w:hint="default" w:ascii="Times New Roman" w:hAnsi="Times New Roman" w:eastAsia="宋体" w:cs="Times New Roman"/>
          <w:color w:val="000000" w:themeColor="text1"/>
          <w:szCs w:val="21"/>
          <w14:textFill>
            <w14:solidFill>
              <w14:schemeClr w14:val="tx1"/>
            </w14:solidFill>
          </w14:textFill>
        </w:rPr>
        <w:t>分别为地表和轮毂高度处的气温（</w:t>
      </w:r>
      <w:r>
        <w:rPr>
          <w:rFonts w:ascii="Times New Roman" w:hAnsi="Times New Roman" w:eastAsia="宋体" w:cs="Times New Roman"/>
          <w:color w:val="000000" w:themeColor="text1"/>
          <w:szCs w:val="21"/>
          <w14:textFill>
            <w14:solidFill>
              <w14:schemeClr w14:val="tx1"/>
            </w14:solidFill>
          </w14:textFill>
        </w:rPr>
        <w:t>K</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P</w:t>
      </w:r>
      <w:r>
        <w:rPr>
          <w:rFonts w:ascii="Times New Roman" w:hAnsi="Times New Roman" w:eastAsia="宋体" w:cs="Times New Roman"/>
          <w:i/>
          <w:iCs/>
          <w:color w:val="000000" w:themeColor="text1"/>
          <w:szCs w:val="21"/>
          <w:vertAlign w:val="subscript"/>
          <w14:textFill>
            <w14:solidFill>
              <w14:schemeClr w14:val="tx1"/>
            </w14:solidFill>
          </w14:textFill>
        </w:rPr>
        <w:t>sfc</w:t>
      </w:r>
      <w:r>
        <w:rPr>
          <w:rFonts w:hint="default" w:ascii="Times New Roman" w:hAnsi="Times New Roman" w:eastAsia="宋体" w:cs="Times New Roman"/>
          <w:color w:val="000000" w:themeColor="text1"/>
          <w:szCs w:val="21"/>
          <w14:textFill>
            <w14:solidFill>
              <w14:schemeClr w14:val="tx1"/>
            </w14:solidFill>
          </w14:textFill>
        </w:rPr>
        <w:t>和</w:t>
      </w:r>
      <w:r>
        <w:rPr>
          <w:rFonts w:ascii="Times New Roman" w:hAnsi="Times New Roman" w:eastAsia="宋体" w:cs="Times New Roman"/>
          <w:i/>
          <w:iCs/>
          <w:color w:val="000000" w:themeColor="text1"/>
          <w:szCs w:val="21"/>
          <w14:textFill>
            <w14:solidFill>
              <w14:schemeClr w14:val="tx1"/>
            </w14:solidFill>
          </w14:textFill>
        </w:rPr>
        <w:t>P</w:t>
      </w:r>
      <w:r>
        <w:rPr>
          <w:rFonts w:ascii="Times New Roman" w:hAnsi="Times New Roman" w:eastAsia="宋体" w:cs="Times New Roman"/>
          <w:color w:val="000000" w:themeColor="text1"/>
          <w:szCs w:val="21"/>
          <w:vertAlign w:val="subscript"/>
          <w14:textFill>
            <w14:solidFill>
              <w14:schemeClr w14:val="tx1"/>
            </w14:solidFill>
          </w14:textFill>
        </w:rPr>
        <w:t>100</w:t>
      </w:r>
      <w:r>
        <w:rPr>
          <w:rFonts w:hint="default" w:ascii="Times New Roman" w:hAnsi="Times New Roman" w:eastAsia="宋体" w:cs="Times New Roman"/>
          <w:color w:val="000000" w:themeColor="text1"/>
          <w:szCs w:val="21"/>
          <w14:textFill>
            <w14:solidFill>
              <w14:schemeClr w14:val="tx1"/>
            </w14:solidFill>
          </w14:textFill>
        </w:rPr>
        <w:t>分别为</w:t>
      </w:r>
      <w:r>
        <w:rPr>
          <w:rFonts w:ascii="Times New Roman" w:hAnsi="Times New Roman" w:eastAsia="宋体" w:cs="Times New Roman"/>
          <w:color w:val="000000" w:themeColor="text1"/>
          <w:szCs w:val="21"/>
          <w14:textFill>
            <w14:solidFill>
              <w14:schemeClr w14:val="tx1"/>
            </w14:solidFill>
          </w14:textFill>
        </w:rPr>
        <w:t>10 m</w:t>
      </w:r>
      <w:r>
        <w:rPr>
          <w:rFonts w:hint="default" w:ascii="Times New Roman" w:hAnsi="Times New Roman" w:eastAsia="宋体" w:cs="Times New Roman"/>
          <w:color w:val="000000" w:themeColor="text1"/>
          <w:szCs w:val="21"/>
          <w14:textFill>
            <w14:solidFill>
              <w14:schemeClr w14:val="tx1"/>
            </w14:solidFill>
          </w14:textFill>
        </w:rPr>
        <w:t>高度和</w:t>
      </w:r>
      <w:r>
        <w:rPr>
          <w:rFonts w:ascii="Times New Roman" w:hAnsi="Times New Roman" w:eastAsia="宋体" w:cs="Times New Roman"/>
          <w:color w:val="000000" w:themeColor="text1"/>
          <w:szCs w:val="21"/>
          <w14:textFill>
            <w14:solidFill>
              <w14:schemeClr w14:val="tx1"/>
            </w14:solidFill>
          </w14:textFill>
        </w:rPr>
        <w:t>100 m</w:t>
      </w:r>
      <w:r>
        <w:rPr>
          <w:rFonts w:hint="default" w:ascii="Times New Roman" w:hAnsi="Times New Roman" w:eastAsia="宋体" w:cs="Times New Roman"/>
          <w:color w:val="000000" w:themeColor="text1"/>
          <w:szCs w:val="21"/>
          <w14:textFill>
            <w14:solidFill>
              <w14:schemeClr w14:val="tx1"/>
            </w14:solidFill>
          </w14:textFill>
        </w:rPr>
        <w:t>轮毂高度处的气压（</w:t>
      </w:r>
      <w:r>
        <w:rPr>
          <w:rFonts w:ascii="Times New Roman" w:hAnsi="Times New Roman" w:eastAsia="宋体" w:cs="Times New Roman"/>
          <w:color w:val="000000" w:themeColor="text1"/>
          <w:szCs w:val="21"/>
          <w14:textFill>
            <w14:solidFill>
              <w14:schemeClr w14:val="tx1"/>
            </w14:solidFill>
          </w14:textFill>
        </w:rPr>
        <w:t>Pa</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g</w:t>
      </w:r>
      <w:r>
        <w:rPr>
          <w:rFonts w:hint="default" w:ascii="Times New Roman" w:hAnsi="Times New Roman" w:eastAsia="宋体" w:cs="Times New Roman"/>
          <w:color w:val="000000" w:themeColor="text1"/>
          <w:szCs w:val="21"/>
          <w14:textFill>
            <w14:solidFill>
              <w14:schemeClr w14:val="tx1"/>
            </w14:solidFill>
          </w14:textFill>
        </w:rPr>
        <w:t>为重力加速度（</w:t>
      </w:r>
      <w:r>
        <w:rPr>
          <w:rFonts w:ascii="Times New Roman" w:hAnsi="Times New Roman" w:eastAsia="宋体" w:cs="Times New Roman"/>
          <w:color w:val="000000" w:themeColor="text1"/>
          <w:szCs w:val="21"/>
          <w14:textFill>
            <w14:solidFill>
              <w14:schemeClr w14:val="tx1"/>
            </w14:solidFill>
          </w14:textFill>
        </w:rPr>
        <w:t>9.81 m·s</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R</w:t>
      </w:r>
      <w:r>
        <w:rPr>
          <w:rFonts w:ascii="Times New Roman" w:hAnsi="Times New Roman" w:eastAsia="宋体" w:cs="Times New Roman"/>
          <w:i/>
          <w:iCs/>
          <w:color w:val="000000" w:themeColor="text1"/>
          <w:szCs w:val="21"/>
          <w:vertAlign w:val="subscript"/>
          <w14:textFill>
            <w14:solidFill>
              <w14:schemeClr w14:val="tx1"/>
            </w14:solidFill>
          </w14:textFill>
        </w:rPr>
        <w:t>d</w:t>
      </w:r>
      <w:r>
        <w:rPr>
          <w:rFonts w:hint="default" w:ascii="Times New Roman" w:hAnsi="Times New Roman" w:eastAsia="宋体" w:cs="Times New Roman"/>
          <w:color w:val="000000" w:themeColor="text1"/>
          <w:szCs w:val="21"/>
          <w14:textFill>
            <w14:solidFill>
              <w14:schemeClr w14:val="tx1"/>
            </w14:solidFill>
          </w14:textFill>
        </w:rPr>
        <w:t>为干空气气体常数（</w:t>
      </w:r>
      <w:r>
        <w:rPr>
          <w:rFonts w:ascii="Times New Roman" w:hAnsi="Times New Roman" w:eastAsia="宋体" w:cs="Times New Roman"/>
          <w:color w:val="000000" w:themeColor="text1"/>
          <w:szCs w:val="21"/>
          <w14:textFill>
            <w14:solidFill>
              <w14:schemeClr w14:val="tx1"/>
            </w14:solidFill>
          </w14:textFill>
        </w:rPr>
        <w:t>287.05 J·kg</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ascii="Times New Roman" w:hAnsi="Times New Roman" w:eastAsia="宋体" w:cs="Times New Roman"/>
          <w:color w:val="000000" w:themeColor="text1"/>
          <w:szCs w:val="21"/>
          <w14:textFill>
            <w14:solidFill>
              <w14:schemeClr w14:val="tx1"/>
            </w14:solidFill>
          </w14:textFill>
        </w:rPr>
        <w:t>·K</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ρ</w:t>
      </w:r>
      <w:r>
        <w:rPr>
          <w:rFonts w:ascii="Times New Roman" w:hAnsi="Times New Roman" w:eastAsia="宋体" w:cs="Times New Roman"/>
          <w:i/>
          <w:iCs/>
          <w:color w:val="000000" w:themeColor="text1"/>
          <w:szCs w:val="21"/>
          <w:vertAlign w:val="subscript"/>
          <w14:textFill>
            <w14:solidFill>
              <w14:schemeClr w14:val="tx1"/>
            </w14:solidFill>
          </w14:textFill>
        </w:rPr>
        <w:softHyphen/>
      </w:r>
      <w:r>
        <w:rPr>
          <w:rFonts w:ascii="Times New Roman" w:hAnsi="Times New Roman" w:eastAsia="宋体" w:cs="Times New Roman"/>
          <w:color w:val="000000" w:themeColor="text1"/>
          <w:szCs w:val="21"/>
          <w:vertAlign w:val="subscript"/>
          <w14:textFill>
            <w14:solidFill>
              <w14:schemeClr w14:val="tx1"/>
            </w14:solidFill>
          </w14:textFill>
        </w:rPr>
        <w:t>100</w:t>
      </w:r>
      <w:r>
        <w:rPr>
          <w:rFonts w:hint="default" w:ascii="Times New Roman" w:hAnsi="Times New Roman" w:eastAsia="宋体" w:cs="Times New Roman"/>
          <w:color w:val="000000" w:themeColor="text1"/>
          <w:szCs w:val="21"/>
          <w14:textFill>
            <w14:solidFill>
              <w14:schemeClr w14:val="tx1"/>
            </w14:solidFill>
          </w14:textFill>
        </w:rPr>
        <w:t>为</w:t>
      </w:r>
      <w:r>
        <w:rPr>
          <w:rFonts w:ascii="Times New Roman" w:hAnsi="Times New Roman" w:eastAsia="宋体" w:cs="Times New Roman"/>
          <w:color w:val="000000" w:themeColor="text1"/>
          <w:szCs w:val="21"/>
          <w14:textFill>
            <w14:solidFill>
              <w14:schemeClr w14:val="tx1"/>
            </w14:solidFill>
          </w14:textFill>
        </w:rPr>
        <w:t>100 m</w:t>
      </w:r>
      <w:r>
        <w:rPr>
          <w:rFonts w:hint="default" w:ascii="Times New Roman" w:hAnsi="Times New Roman" w:eastAsia="宋体" w:cs="Times New Roman"/>
          <w:color w:val="000000" w:themeColor="text1"/>
          <w:szCs w:val="21"/>
          <w14:textFill>
            <w14:solidFill>
              <w14:schemeClr w14:val="tx1"/>
            </w14:solidFill>
          </w14:textFill>
        </w:rPr>
        <w:t>高度处的实际空气密度（</w:t>
      </w:r>
      <w:r>
        <w:rPr>
          <w:rFonts w:ascii="Times New Roman" w:hAnsi="Times New Roman" w:eastAsia="宋体" w:cs="Times New Roman"/>
          <w:color w:val="000000" w:themeColor="text1"/>
          <w:szCs w:val="21"/>
          <w14:textFill>
            <w14:solidFill>
              <w14:schemeClr w14:val="tx1"/>
            </w14:solidFill>
          </w14:textFill>
        </w:rPr>
        <w:t>kg</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m</w:t>
      </w:r>
      <w:r>
        <w:rPr>
          <w:rFonts w:ascii="Times New Roman" w:hAnsi="Times New Roman" w:eastAsia="宋体" w:cs="Times New Roman"/>
          <w:color w:val="000000" w:themeColor="text1"/>
          <w:szCs w:val="21"/>
          <w:vertAlign w:val="superscript"/>
          <w14:textFill>
            <w14:solidFill>
              <w14:schemeClr w14:val="tx1"/>
            </w14:solidFill>
          </w14:textFill>
        </w:rPr>
        <w:t>-3</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{"citationID":"iIC6ZYXf","properties":{"unsorted":false,"formattedCitation":"\\super [13]\\nosupersub{}","plainCitation":"[13]","noteIndex":0},"citationItems":[{"id":"UgoaWSgH/VWjHWbwi","uris":["http://zotero.org/users/12506905/items/JGP6KKMD"],"itemData":{"id":4,"type":"article-journal","container-title":"British Standard, IEC","language":"en","page":"61400-12","title":"12-1: Power Performance Measurements of Electricity Producing Wind Turbines","author":[{"family":"Turbines—Part","given":"Wind"}],"issued":{"date-parts":[["2005"]]}}}],"schema":"https://github.com/citation-style-language/schema/raw/master/csl-citation.json"}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[13]</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w:t>
      </w:r>
    </w:p>
    <w:p w14:paraId="6644241F">
      <w:pPr>
        <w:widowControl/>
        <w:adjustRightInd w:val="0"/>
        <w:spacing w:after="120" w:line="300" w:lineRule="auto"/>
        <w:outlineLvl w:val="2"/>
        <w:rPr>
          <w:rFonts w:ascii="Times New Roman" w:hAnsi="Times New Roman" w:eastAsia="宋体" w:cs="Times New Roman"/>
          <w:b/>
          <w:bCs/>
          <w:color w:val="000000" w:themeColor="text1"/>
          <w:szCs w:val="21"/>
          <w14:textFill>
            <w14:solidFill>
              <w14:schemeClr w14:val="tx1"/>
            </w14:solidFill>
          </w14:textFill>
        </w:rPr>
      </w:pPr>
      <w:r>
        <w:rPr>
          <w:rFonts w:ascii="Times New Roman" w:hAnsi="Times New Roman" w:eastAsia="宋体" w:cs="Times New Roman"/>
          <w:b/>
          <w:bCs/>
          <w:color w:val="000000" w:themeColor="text1"/>
          <w:szCs w:val="21"/>
          <w14:textFill>
            <w14:solidFill>
              <w14:schemeClr w14:val="tx1"/>
            </w14:solidFill>
          </w14:textFill>
        </w:rPr>
        <w:t>2</w:t>
      </w:r>
      <w:r>
        <w:rPr>
          <w:rFonts w:hint="default" w:ascii="Times New Roman" w:hAnsi="Times New Roman" w:eastAsia="宋体" w:cs="Times New Roman"/>
          <w:b/>
          <w:bCs/>
          <w:color w:val="000000" w:themeColor="text1"/>
          <w:szCs w:val="21"/>
          <w14:textFill>
            <w14:solidFill>
              <w14:schemeClr w14:val="tx1"/>
            </w14:solidFill>
          </w14:textFill>
        </w:rPr>
        <w:t>）空气密度等效动能修正</w:t>
      </w:r>
    </w:p>
    <w:p w14:paraId="5F2AB02C">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青藏高原平均海拔超过</w:t>
      </w:r>
      <w:r>
        <w:rPr>
          <w:rFonts w:ascii="Times New Roman" w:hAnsi="Times New Roman" w:eastAsia="宋体" w:cs="Times New Roman"/>
          <w:color w:val="000000" w:themeColor="text1"/>
          <w:szCs w:val="21"/>
          <w14:textFill>
            <w14:solidFill>
              <w14:schemeClr w14:val="tx1"/>
            </w14:solidFill>
          </w14:textFill>
        </w:rPr>
        <w:t>4500 m</w:t>
      </w:r>
      <w:r>
        <w:rPr>
          <w:rFonts w:hint="default" w:ascii="Times New Roman" w:hAnsi="Times New Roman" w:eastAsia="宋体" w:cs="Times New Roman"/>
          <w:color w:val="000000" w:themeColor="text1"/>
          <w:szCs w:val="21"/>
          <w14:textFill>
            <w14:solidFill>
              <w14:schemeClr w14:val="tx1"/>
            </w14:solidFill>
          </w14:textFill>
        </w:rPr>
        <w:t>，空气稀薄，实际空气密度远低于平原地区。由于风流动能通量与空气密度呈正比</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{"citationID":"lI4Z4OES","properties":{"unsorted":false,"formattedCitation":"\\super [14,15]\\nosupersub{}","plainCitation":"[14,15]","noteIndex":0},"citationItems":[{"id":"UgoaWSgH/USxrKxdY","uris":["http://zotero.org/users/12506905/items/XDCM6AEM"],"itemData":{"id":1967,"type":"book","abstract":"Wind energy’s bestselling textbook- fully revised.  This must-have second edition includes up-to-date data, diagrams, illustrations and thorough new material on:  the fundamentals of wind turbine aerodynamics; wind turbine testing and modelling; wind turbine design standards; offshore wind energy; special purpose applications, such as energy storage and fuel production.  Fifty additional homework problems and a new appendix on data processing make this comprehensive edition perfect for engineering students. This book offers a complete examination of one of the most promising sources of renewable energy and is a great introduction to this cross-disciplinary field for practising engineers. “provides a wealth of information and is an excellent reference book for people interested in the subject of wind energy.” (IEEE Power &amp; Energy Magazine, November/December 2003) “deserves a place in the library of every university and college where renewable energy is taught.” (The International Journal of Electrical Engineering Education, Vol.41, No.2 April 2004) “a very comprehensive and well-organized treatment of the current status of wind power.” (Choice, Vol. 40, No. 4, December 2002)","ISBN":"978-0-470-68628-7","language":"en","note":"Google-Books-ID: roaTx_Of0vAC","number-of-pages":"706","publisher":"John Wiley &amp; Sons","source":"Google Books","title":"Wind Energy Explained: Theory, Design and Application","title-short":"Wind Energy Explained","author":[{"family":"Manwell","given":"James F."},{"family":"McGowan","given":"Jon G."},{"family":"Rogers","given":"Anthony L."}],"issued":{"date-parts":[["2010",9,14]]}}},{"id":"UgoaWSgH/z9nEBjIy","uris":["http://zotero.org/users/12506905/items/J7UQYN5T"],"itemData":{"id":1974,"type":"article-journal","abstract":"Wind energy is a virtually carbon-free and pollution-free electricity source, with global wind resources greatly exceeding electricity demand. Accordingly, the installed capacity of wind turbines grew at an annualized rate of &gt;20% from 2000 to 2019 and is projected to increase by a further 50% by the end of 2023. In this Review, we describe the factors that dictate the wind resource magnitude and variability and illustrate the tools and techniques that are being used to make projections of wind resources and wind turbine operating conditions. Natural variability due to the action of internal climate modes appears to dominate over global-warming-induced non-stationarity over most areas with large wind energy installations or potential. However, there is evidence for increased wind energy resources by the end of the current century in northern Europe and the US Southern Great Plains. New technology trends are changing the sensitivity of wind energy to global climate non-stationarity and, thus, present new challenges and opportunities for innovative research. The evolution of climate modelling to increasingly address mesoscale processes is providing improved projections of both wind resources and wind turbine operating conditions, and will contribute to continued reductions in the levelized cost of energy from wind power generation.","container-title":"Nature Reviews Earth &amp; Environment","DOI":"10.1038/s43017-020-0101-7","ISSN":"2662-138X","issue":"12","journalAbbreviation":"Nat Rev Earth Environ","language":"en","license":"2020 Springer Nature Limited","page":"627-643","publisher":"Nature Publishing Group","source":"www.nature.com","title":"Climate change impacts on wind power generation","volume":"1","author":[{"family":"Pryor","given":"Sara C."},{"family":"Barthelmie","given":"Rebecca J."},{"family":"Bukovsky","given":"Melissa S."},{"family":"Leung","given":"L. Ruby"},{"family":"Sakaguchi","given":"Koichi"}],"issued":{"date-parts":[["2020",12]]}}}],"schema":"https://github.com/citation-style-language/schema/raw/master/csl-citation.json"}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[14,15]</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，直接采用实测风速会严重高估发电潜力。为此，本研究依据</w:t>
      </w:r>
      <w:r>
        <w:rPr>
          <w:rFonts w:ascii="Times New Roman" w:hAnsi="Times New Roman" w:eastAsia="宋体" w:cs="Times New Roman"/>
          <w:color w:val="000000" w:themeColor="text1"/>
          <w:szCs w:val="21"/>
          <w14:textFill>
            <w14:solidFill>
              <w14:schemeClr w14:val="tx1"/>
            </w14:solidFill>
          </w14:textFill>
        </w:rPr>
        <w:t>IEC 61400-12</w:t>
      </w:r>
      <w:r>
        <w:rPr>
          <w:rFonts w:hint="default" w:ascii="Times New Roman" w:hAnsi="Times New Roman" w:eastAsia="宋体" w:cs="Times New Roman"/>
          <w:color w:val="000000" w:themeColor="text1"/>
          <w:szCs w:val="21"/>
          <w14:textFill>
            <w14:solidFill>
              <w14:schemeClr w14:val="tx1"/>
            </w14:solidFill>
          </w14:textFill>
        </w:rPr>
        <w:t>国际标准中的动能等效原理</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{"citationID":"QL8Ym2R0","properties":{"unsorted":false,"formattedCitation":"\\super [14]\\nosupersub{}","plainCitation":"[14]","noteIndex":0},"citationItems":[{"id":"UgoaWSgH/USxrKxdY","uris":["http://zotero.org/users/12506905/items/XDCM6AEM"],"itemData":{"id":1967,"type":"book","abstract":"Wind energy’s bestselling textbook- fully revised.  This must-have second edition includes up-to-date data, diagrams, illustrations and thorough new material on:  the fundamentals of wind turbine aerodynamics; wind turbine testing and modelling; wind turbine design standards; offshore wind energy; special purpose applications, such as energy storage and fuel production.  Fifty additional homework problems and a new appendix on data processing make this comprehensive edition perfect for engineering students. This book offers a complete examination of one of the most promising sources of renewable energy and is a great introduction to this cross-disciplinary field for practising engineers. “provides a wealth of information and is an excellent reference book for people interested in the subject of wind energy.” (IEEE Power &amp; Energy Magazine, November/December 2003) “deserves a place in the library of every university and college where renewable energy is taught.” (The International Journal of Electrical Engineering Education, Vol.41, No.2 April 2004) “a very comprehensive and well-organized treatment of the current status of wind power.” (Choice, Vol. 40, No. 4, December 2002)","ISBN":"978-0-470-68628-7","language":"en","note":"Google-Books-ID: roaTx_Of0vAC","number-of-pages":"706","publisher":"John Wiley &amp; Sons","source":"Google Books","title":"Wind Energy Explained: Theory, Design and Application","title-short":"Wind Energy Explained","author":[{"family":"Manwell","given":"James F."},{"family":"McGowan","given":"Jon G."},{"family":"Rogers","given":"Anthony L."}],"issued":{"date-parts":[["2010",9,14]]}}}],"schema":"https://github.com/citation-style-language/schema/raw/master/csl-citation.json"}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[14]</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，将轮毂高度处的实际风速折算至标准海平面空气密度（</w:t>
      </w:r>
      <w:r>
        <w:rPr>
          <w:rFonts w:ascii="Times New Roman" w:hAnsi="Times New Roman" w:eastAsia="宋体" w:cs="Times New Roman"/>
          <w:i/>
          <w:iCs/>
          <w:color w:val="000000" w:themeColor="text1"/>
          <w:szCs w:val="21"/>
          <w14:textFill>
            <w14:solidFill>
              <w14:schemeClr w14:val="tx1"/>
            </w14:solidFill>
          </w14:textFill>
        </w:rPr>
        <w:t>ρ</w:t>
      </w:r>
      <w:r>
        <w:rPr>
          <w:rFonts w:ascii="Times New Roman" w:hAnsi="Times New Roman" w:eastAsia="宋体" w:cs="Times New Roman"/>
          <w:i/>
          <w:iCs/>
          <w:color w:val="000000" w:themeColor="text1"/>
          <w:szCs w:val="21"/>
          <w:vertAlign w:val="subscript"/>
          <w14:textFill>
            <w14:solidFill>
              <w14:schemeClr w14:val="tx1"/>
            </w14:solidFill>
          </w14:textFill>
        </w:rPr>
        <w:softHyphen/>
      </w:r>
      <w:r>
        <w:rPr>
          <w:rFonts w:ascii="Times New Roman" w:hAnsi="Times New Roman" w:eastAsia="宋体" w:cs="Times New Roman"/>
          <w:color w:val="000000" w:themeColor="text1"/>
          <w:szCs w:val="21"/>
          <w:vertAlign w:val="subscript"/>
          <w14:textFill>
            <w14:solidFill>
              <w14:schemeClr w14:val="tx1"/>
            </w14:solidFill>
          </w14:textFill>
        </w:rPr>
        <w:t>0</w:t>
      </w:r>
      <w:r>
        <w:rPr>
          <w:rFonts w:ascii="Times New Roman" w:hAnsi="Times New Roman" w:eastAsia="宋体" w:cs="Times New Roman"/>
          <w:color w:val="000000" w:themeColor="text1"/>
          <w:szCs w:val="21"/>
          <w14:textFill>
            <w14:solidFill>
              <w14:schemeClr w14:val="tx1"/>
            </w14:solidFill>
          </w14:textFill>
        </w:rPr>
        <w:t xml:space="preserve"> = 1.225 kg·m</w:t>
      </w:r>
      <w:r>
        <w:rPr>
          <w:rFonts w:ascii="Times New Roman" w:hAnsi="Times New Roman" w:eastAsia="宋体" w:cs="Times New Roman"/>
          <w:color w:val="000000" w:themeColor="text1"/>
          <w:szCs w:val="21"/>
          <w:vertAlign w:val="superscript"/>
          <w14:textFill>
            <w14:solidFill>
              <w14:schemeClr w14:val="tx1"/>
            </w14:solidFill>
          </w14:textFill>
        </w:rPr>
        <w:t>-3</w:t>
      </w:r>
      <w:r>
        <w:rPr>
          <w:rFonts w:hint="default" w:ascii="Times New Roman" w:hAnsi="Times New Roman" w:eastAsia="宋体" w:cs="Times New Roman"/>
          <w:color w:val="000000" w:themeColor="text1"/>
          <w:szCs w:val="21"/>
          <w14:textFill>
            <w14:solidFill>
              <w14:schemeClr w14:val="tx1"/>
            </w14:solidFill>
          </w14:textFill>
        </w:rPr>
        <w:t>）条件下的等效风速</w:t>
      </w:r>
      <w:r>
        <w:rPr>
          <w:rFonts w:ascii="Times New Roman" w:hAnsi="Times New Roman" w:eastAsia="宋体" w:cs="Times New Roman"/>
          <w:i/>
          <w:iCs/>
          <w:color w:val="000000" w:themeColor="text1"/>
          <w:szCs w:val="21"/>
          <w14:textFill>
            <w14:solidFill>
              <w14:schemeClr w14:val="tx1"/>
            </w14:solidFill>
          </w14:textFill>
        </w:rPr>
        <w:t>V</w:t>
      </w:r>
      <w:r>
        <w:rPr>
          <w:rFonts w:ascii="Times New Roman" w:hAnsi="Times New Roman" w:eastAsia="宋体" w:cs="Times New Roman"/>
          <w:color w:val="000000" w:themeColor="text1"/>
          <w:szCs w:val="21"/>
          <w:vertAlign w:val="subscript"/>
          <w14:textFill>
            <w14:solidFill>
              <w14:schemeClr w14:val="tx1"/>
            </w14:solidFill>
          </w14:textFill>
        </w:rPr>
        <w:t>100</w:t>
      </w:r>
      <w:r>
        <w:rPr>
          <w:rFonts w:ascii="Times New Roman" w:hAnsi="Times New Roman" w:eastAsia="宋体" w:cs="Times New Roman"/>
          <w:i/>
          <w:iCs/>
          <w:color w:val="000000" w:themeColor="text1"/>
          <w:szCs w:val="21"/>
          <w:vertAlign w:val="subscript"/>
          <w14:textFill>
            <w14:solidFill>
              <w14:schemeClr w14:val="tx1"/>
            </w14:solidFill>
          </w14:textFill>
        </w:rPr>
        <w:t xml:space="preserve">c </w:t>
      </w:r>
      <w:r>
        <w:rPr>
          <w:rFonts w:ascii="Times New Roman" w:hAnsi="Times New Roman" w:eastAsia="宋体" w:cs="Times New Roman"/>
          <w:i/>
          <w:iCs/>
          <w:color w:val="000000" w:themeColor="text1"/>
          <w:szCs w:val="21"/>
          <w:vertAlign w:val="subscript"/>
          <w14:textFill>
            <w14:solidFill>
              <w14:schemeClr w14:val="tx1"/>
            </w14:solidFill>
          </w14:textFill>
        </w:rPr>
        <w:fldChar w:fldCharType="begin"/>
      </w:r>
      <w:r>
        <w:rPr>
          <w:rFonts w:ascii="Times New Roman" w:hAnsi="Times New Roman" w:eastAsia="宋体" w:cs="Times New Roman"/>
          <w:i/>
          <w:iCs/>
          <w:color w:val="000000" w:themeColor="text1"/>
          <w:szCs w:val="21"/>
          <w:vertAlign w:val="subscript"/>
          <w14:textFill>
            <w14:solidFill>
              <w14:schemeClr w14:val="tx1"/>
            </w14:solidFill>
          </w14:textFill>
        </w:rPr>
        <w:instrText xml:space="preserve"> ADDIN ZOTERO_ITEM CSL_CITATION {"citationID":"iaUBovSI","properties":{"unsorted":false,"formattedCitation":"\\super [10]\\nosupersub{}","plainCitation":"[10]","noteIndex":0},"citationItems":[{"id":"UgoaWSgH/82SSEIHg","uris":["http://zotero.org/users/12506905/items/TPDJ5MGI"],"itemData":{"id":10,"type":"article-journal","abstract":"Economic productivity depends on reliable access to electricity, but the extreme shortage events of variable wind-solar systems may be strongly affected by climate change. Here, hourly reanalysis climatological data are leveraged to examine historical trends in defined extreme shortage events worldwide. We find uptrends in extreme shortage events regardless of their frequency, duration, and intensity since 1980. For instance, duration of extreme low-reliability events worldwide has increased by 4.1 hours (0.392 hours per year on average) between 1980–2000 and 2001–2022. However, such ascending trends are unevenly distributed worldwide, with a greater variability in low- and middle-latitude developing countries. This uptrend in extreme shortage events is driven by extremely low wind speed and solar radiation, particularly compound wind and solar drought, which however are strongly disproportionated. Only average 12.5% change in compound extremely low wind speed and solar radiation events may give rise to over 30% variability in extreme shortage events, despite a mere average 1.0% change in average wind speed and solar radiation. Our findings underline that wind-solar systems will probably suffer from weakened power security if such uptrends persist in a warmer future.","container-title":"Nature Communications","DOI":"10.1038/s41467-024-48966-y","ISSN":"2041-1723","issue":"1","journalAbbreviation":"Nat Commun","language":"en","license":"2024 The Author(s)","page":"5225","publisher":"Nature Publishing Group","source":"www.nature.com","title":"Climate change impacts on the extreme power shortage events of wind-solar supply systems worldwide during 1980–2022","volume":"15","author":[{"family":"Zheng","given":"Dongsheng"},{"family":"Tong","given":"Dan"},{"family":"Davis","given":"Steven J."},{"family":"Qin","given":"Yue"},{"family":"Liu","given":"Yang"},{"family":"Xu","given":"Ruochong"},{"family":"Yang","given":"Jin"},{"family":"Yan","given":"Xizhe"},{"family":"Geng","given":"Guannan"},{"family":"Che","given":"Huizheng"},{"family":"Zhang","given":"Qiang"}],"issued":{"date-parts":[["2024",6,18]]}}}],"schema":"https://github.com/citation-style-language/schema/raw/master/csl-citation.json"} </w:instrText>
      </w:r>
      <w:r>
        <w:rPr>
          <w:rFonts w:ascii="Times New Roman" w:hAnsi="Times New Roman" w:eastAsia="宋体" w:cs="Times New Roman"/>
          <w:i/>
          <w:iCs/>
          <w:color w:val="000000" w:themeColor="text1"/>
          <w:szCs w:val="21"/>
          <w:vertAlign w:val="subscript"/>
          <w14:textFill>
            <w14:solidFill>
              <w14:schemeClr w14:val="tx1"/>
            </w14:solidFill>
          </w14:textFill>
        </w:rPr>
        <w:fldChar w:fldCharType="separate"/>
      </w:r>
      <w:r>
        <w:rPr>
          <w:rFonts w:ascii="Times New Roman" w:hAnsi="Times New Roman" w:cs="Times New Roman"/>
          <w:szCs w:val="24"/>
          <w:vertAlign w:val="superscript"/>
        </w:rPr>
        <w:t>[10]</w:t>
      </w:r>
      <w:r>
        <w:rPr>
          <w:rFonts w:ascii="Times New Roman" w:hAnsi="Times New Roman" w:eastAsia="宋体" w:cs="Times New Roman"/>
          <w:i/>
          <w:iCs/>
          <w:color w:val="000000" w:themeColor="text1"/>
          <w:szCs w:val="21"/>
          <w:vertAlign w:val="subscript"/>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w:t>
      </w:r>
    </w:p>
    <w:p w14:paraId="03B56BF1">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V</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100c</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V</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sSup>
          <m:sSupPr>
            <m:ctrlPr>
              <w:rPr>
                <w:rFonts w:ascii="Cambria Math" w:hAnsi="Cambria Math" w:eastAsia="宋体" w:cs="Times New Roman"/>
                <w:color w:val="000000" w:themeColor="text1"/>
                <w:szCs w:val="21"/>
                <w14:textFill>
                  <w14:solidFill>
                    <w14:schemeClr w14:val="tx1"/>
                  </w14:solidFill>
                </w14:textFill>
              </w:rPr>
            </m:ctrlPr>
          </m:sSupPr>
          <m:e>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ρ</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num>
              <m:den>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ρ</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0</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m:t>
            </m:r>
            <m:ctrlPr>
              <w:rPr>
                <w:rFonts w:ascii="Cambria Math" w:hAnsi="Cambria Math" w:eastAsia="宋体" w:cs="Times New Roman"/>
                <w:color w:val="000000" w:themeColor="text1"/>
                <w:szCs w:val="21"/>
                <w14:textFill>
                  <w14:solidFill>
                    <w14:schemeClr w14:val="tx1"/>
                  </w14:solidFill>
                </w14:textFill>
              </w:rPr>
            </m:ctrlPr>
          </m:e>
          <m:sup>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1</m:t>
                </m:r>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3</m:t>
                </m:r>
                <m:ctrlPr>
                  <w:rPr>
                    <w:rFonts w:ascii="Cambria Math" w:hAnsi="Cambria Math" w:eastAsia="宋体" w:cs="Times New Roman"/>
                    <w:color w:val="000000" w:themeColor="text1"/>
                    <w:szCs w:val="21"/>
                    <w14:textFill>
                      <w14:solidFill>
                        <w14:schemeClr w14:val="tx1"/>
                      </w14:solidFill>
                    </w14:textFill>
                  </w:rPr>
                </m:ctrlPr>
              </m:den>
            </m:f>
            <m:ctrlPr>
              <w:rPr>
                <w:rFonts w:ascii="Cambria Math" w:hAnsi="Cambria Math" w:eastAsia="宋体" w:cs="Times New Roman"/>
                <w:color w:val="000000" w:themeColor="text1"/>
                <w:szCs w:val="21"/>
                <w14:textFill>
                  <w14:solidFill>
                    <w14:schemeClr w14:val="tx1"/>
                  </w14:solidFill>
                </w14:textFill>
              </w:rPr>
            </m:ctrlPr>
          </m:sup>
        </m:sSup>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S27</w:t>
      </w:r>
      <w:r>
        <w:rPr>
          <w:rFonts w:hint="default" w:ascii="Times New Roman" w:hAnsi="Times New Roman" w:eastAsia="宋体" w:cs="Times New Roman"/>
          <w:color w:val="000000" w:themeColor="text1"/>
          <w:szCs w:val="21"/>
          <w14:textFill>
            <w14:solidFill>
              <w14:schemeClr w14:val="tx1"/>
            </w14:solidFill>
          </w14:textFill>
        </w:rPr>
        <w:t>）</w:t>
      </w:r>
    </w:p>
    <w:p w14:paraId="61FABBDD">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为避免气候模式在微弱风速区产生无效计算，当等效风速低于</w:t>
      </w:r>
      <w:r>
        <w:rPr>
          <w:rFonts w:ascii="Times New Roman" w:hAnsi="Times New Roman" w:eastAsia="宋体" w:cs="Times New Roman"/>
          <w:color w:val="000000" w:themeColor="text1"/>
          <w:szCs w:val="21"/>
          <w14:textFill>
            <w14:solidFill>
              <w14:schemeClr w14:val="tx1"/>
            </w14:solidFill>
          </w14:textFill>
        </w:rPr>
        <w:t>0.01 m·s</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时，将其动能忽略不计，记为</w:t>
      </w:r>
      <w:r>
        <w:rPr>
          <w:rFonts w:ascii="Times New Roman" w:hAnsi="Times New Roman" w:eastAsia="宋体" w:cs="Times New Roman"/>
          <w:color w:val="000000" w:themeColor="text1"/>
          <w:szCs w:val="21"/>
          <w14:textFill>
            <w14:solidFill>
              <w14:schemeClr w14:val="tx1"/>
            </w14:solidFill>
          </w14:textFill>
        </w:rPr>
        <w:t>0</w:t>
      </w:r>
      <w:r>
        <w:rPr>
          <w:rFonts w:hint="default" w:ascii="Times New Roman" w:hAnsi="Times New Roman" w:eastAsia="宋体" w:cs="Times New Roman"/>
          <w:color w:val="000000" w:themeColor="text1"/>
          <w:szCs w:val="21"/>
          <w14:textFill>
            <w14:solidFill>
              <w14:schemeClr w14:val="tx1"/>
            </w14:solidFill>
          </w14:textFill>
        </w:rPr>
        <w:t>。</w:t>
      </w:r>
    </w:p>
    <w:p w14:paraId="6B05F9C7">
      <w:pPr>
        <w:widowControl/>
        <w:adjustRightInd w:val="0"/>
        <w:spacing w:after="120" w:line="300" w:lineRule="auto"/>
        <w:outlineLvl w:val="2"/>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b/>
          <w:bCs/>
          <w:color w:val="000000" w:themeColor="text1"/>
          <w:szCs w:val="21"/>
          <w14:textFill>
            <w14:solidFill>
              <w14:schemeClr w14:val="tx1"/>
            </w14:solidFill>
          </w14:textFill>
        </w:rPr>
        <w:t>3</w:t>
      </w:r>
      <w:r>
        <w:rPr>
          <w:rFonts w:hint="default" w:ascii="Times New Roman" w:hAnsi="Times New Roman" w:eastAsia="宋体" w:cs="Times New Roman"/>
          <w:b/>
          <w:bCs/>
          <w:color w:val="000000" w:themeColor="text1"/>
          <w:szCs w:val="21"/>
          <w14:textFill>
            <w14:solidFill>
              <w14:schemeClr w14:val="tx1"/>
            </w14:solidFill>
          </w14:textFill>
        </w:rPr>
        <w:t>）逐日内单台风机期望输出功率比</w:t>
      </w:r>
    </w:p>
    <w:p w14:paraId="5F4C4818">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自然条件下日际风速波动通常服从威布尔分布。本研究假定其简化为形状参数</w:t>
      </w:r>
      <w:r>
        <w:rPr>
          <w:rFonts w:ascii="Times New Roman" w:hAnsi="Times New Roman" w:eastAsia="宋体" w:cs="Times New Roman"/>
          <w:color w:val="000000" w:themeColor="text1"/>
          <w:szCs w:val="21"/>
          <w14:textFill>
            <w14:solidFill>
              <w14:schemeClr w14:val="tx1"/>
            </w14:solidFill>
          </w14:textFill>
        </w:rPr>
        <w:t>k = 2</w:t>
      </w:r>
      <w:r>
        <w:rPr>
          <w:rFonts w:hint="default" w:ascii="Times New Roman" w:hAnsi="Times New Roman" w:eastAsia="宋体" w:cs="Times New Roman"/>
          <w:color w:val="000000" w:themeColor="text1"/>
          <w:szCs w:val="21"/>
          <w14:textFill>
            <w14:solidFill>
              <w14:schemeClr w14:val="tx1"/>
            </w14:solidFill>
          </w14:textFill>
        </w:rPr>
        <w:t>的瑞利分布，依据逐日风速反推当日风速概率密度函数</w:t>
      </w:r>
      <w:r>
        <w:rPr>
          <w:rFonts w:ascii="Times New Roman" w:hAnsi="Times New Roman" w:eastAsia="宋体" w:cs="Times New Roman"/>
          <w:i/>
          <w:iCs/>
          <w:color w:val="000000" w:themeColor="text1"/>
          <w:szCs w:val="21"/>
          <w14:textFill>
            <w14:solidFill>
              <w14:schemeClr w14:val="tx1"/>
            </w14:solidFill>
          </w14:textFill>
        </w:rPr>
        <w:t>f</w:t>
      </w:r>
      <w:r>
        <w:rPr>
          <w:rFonts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i/>
          <w:iCs/>
          <w:color w:val="000000" w:themeColor="text1"/>
          <w:szCs w:val="21"/>
          <w14:textFill>
            <w14:solidFill>
              <w14:schemeClr w14:val="tx1"/>
            </w14:solidFill>
          </w14:textFill>
        </w:rPr>
        <w:t>v</w:t>
      </w:r>
      <w:r>
        <w:rPr>
          <w:rFonts w:ascii="Times New Roman" w:hAnsi="Times New Roman" w:eastAsia="宋体" w:cs="Times New Roman"/>
          <w:color w:val="000000" w:themeColor="text1"/>
          <w:szCs w:val="21"/>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的尺度参数</w:t>
      </w:r>
      <w:r>
        <w:rPr>
          <w:rFonts w:ascii="Times New Roman" w:hAnsi="Times New Roman" w:eastAsia="宋体" w:cs="Times New Roman"/>
          <w:i/>
          <w:iCs/>
          <w:color w:val="000000" w:themeColor="text1"/>
          <w:szCs w:val="21"/>
          <w14:textFill>
            <w14:solidFill>
              <w14:schemeClr w14:val="tx1"/>
            </w14:solidFill>
          </w14:textFill>
        </w:rPr>
        <w:t xml:space="preserve">c </w:t>
      </w:r>
      <w:r>
        <w:rPr>
          <w:rFonts w:ascii="Times New Roman" w:hAnsi="Times New Roman" w:eastAsia="宋体" w:cs="Times New Roman"/>
          <w:i/>
          <w:iCs/>
          <w:color w:val="000000" w:themeColor="text1"/>
          <w:szCs w:val="21"/>
          <w14:textFill>
            <w14:solidFill>
              <w14:schemeClr w14:val="tx1"/>
            </w14:solidFill>
          </w14:textFill>
        </w:rPr>
        <w:fldChar w:fldCharType="begin"/>
      </w:r>
      <w:r>
        <w:rPr>
          <w:rFonts w:ascii="Times New Roman" w:hAnsi="Times New Roman" w:eastAsia="宋体" w:cs="Times New Roman"/>
          <w:i/>
          <w:iCs/>
          <w:color w:val="000000" w:themeColor="text1"/>
          <w:szCs w:val="21"/>
          <w14:textFill>
            <w14:solidFill>
              <w14:schemeClr w14:val="tx1"/>
            </w14:solidFill>
          </w14:textFill>
        </w:rPr>
        <w:instrText xml:space="preserve"> ADDIN ZOTERO_ITEM CSL_CITATION {"citationID":"gV1bnJqA","properties":{"unsorted":false,"formattedCitation":"\\super [16,17]\\nosupersub{}","plainCitation":"[16,17]","noteIndex":0},"citationItems":[{"id":"UgoaWSgH/sFqeR18M","uris":["http://zotero.org/users/12506905/items/B67D8GAJ"],"itemData":{"id":1969,"type":"article-journal","abstract":"The probability density function (PDF) of wind speed is important in numerous wind energy applications. A large number of studies have been published in scientific literature related to renewable energies that propose the use of a variety of PDFs to describe wind speed frequency distributions. In this paper a review of these PDFs is carried out. The flexibility and usefulness of the PDFs in the description of different wind regimes (high frequencies of null winds, unimodal, bimodal, bitangential regimes, etc.) is analysed for a wide collection of models. Likewise, the methods that have been used to estimate the parameters on which these models depend are reviewed and the degree of complexity of the estimation is analysed in function of the model selected: these are the method of moments (MM), the maximum likelihood method (MLM) and the least squares method (LSM). In addition, a review is conducted of the statistical tests employed to see whether a sample of wind data comes from a population with a particular probability distribution. With the purpose of cataloguing the various PDFs, a comparison is made between them and the two parameter Weibull distribution (W.pdf), which has been the most widely used and accepted distribution in the specialised literature on wind energy and other renewable energy sources. This comparison is based on: (a) an analysis of the degree of fit of the continuous cumulative distribution functions (CDFs) for wind speed to the cumulative relative frequency histograms of hourly mean wind speeds recorded at weather stations located in the Canarian Archipelago; (b) an analysis of the degree of fit of the CDFs for wind power density to the cumulative relative frequency histograms of the cube of hourly mean wind speeds recorded at the aforementioned weather stations. The suitability of the distributions is judged from the coefficient of determination R2. Amongst the various conclusions obtained, it can be stated that the W.pdf presents a series of advantages with respect to the other PDFs analysed. However, the W.pdf cannot represent all the wind regimes encountered in nature such as, for example, those with high percentages of null wind speeds, bimodal distributions, etc. Therefore, its generalised use is not justified and it will be necessary to select the appropriate PDF for each wind regime in order to minimise errors in the estimation of the energy produced by a WECS (wind energy conversion system). In this sense, the extensive collection of PDFs proposed in this paper comprises a valuable catalogue.","container-title":"Renewable and Sustainable Energy Reviews","DOI":"10.1016/j.rser.2008.05.005","ISSN":"1364-0321","issue":"5","journalAbbreviation":"Renewable and Sustainable Energy Reviews","page":"933-955","source":"ScienceDirect","title":"A review of wind speed probability distributions used in wind energy analysis: Case studies in the Canary Islands","title-short":"A review of wind speed probability distributions used in wind energy analysis","volume":"13","author":[{"family":"Carta","given":"J. A."},{"family":"Ramírez","given":"P."},{"family":"Velázquez","given":"S."}],"issued":{"date-parts":[["2009",6,1]]}}},{"id":"UgoaWSgH/eLeUMxJ2","uris":["http://zotero.org/users/12506905/items/3FTXU5KI"],"itemData":{"id":2,"type":"article-journal","abstract":"The Weibull function is discussed for representation of the wind speed frequency distribution. Methods are presented for estimating the two Weibull parameters (scale factor c and shape factor k) from simple wind statistics. Comparison is made with a recently proposed method based on the “square-root-normal” distribution with mean wind speed and fastest mile data as input statistics. The Weibull distribution is shown to give smaller root-mean-square errors than the square-root-normal distribution when fitting actual distributions of observed wind speed. Another advantage of the Weibull distribution is the available methodology for projecting to another height the observed Weibull distribution parameters at anemometer height.","container-title":"Journal of Applied Meteorology and Climatology","DOI":"10.1175/1520-0450(1978)017&lt;0350:MFEWSF&gt;2.0.CO;2","ISSN":"1520-0450","issue":"3","language":"en","page":"350-353","publisher":"American Meteorological Society","section":"Journal of Applied Meteorology and Climatology","source":"journals.ametsoc.org","title":"Methods for Estimating Wind Speed Frequency Distributions","volume":"17","author":[{"family":"Justus","given":"C. G."},{"family":"Hargraves","given":"W. R."},{"family":"Mikhail","given":"Amir"},{"family":"Graber","given":"Denise"}],"issued":{"date-parts":[["1978",3,1]]}}}],"schema":"https://github.com/citation-style-language/schema/raw/master/csl-citation.json"} </w:instrText>
      </w:r>
      <w:r>
        <w:rPr>
          <w:rFonts w:ascii="Times New Roman" w:hAnsi="Times New Roman" w:eastAsia="宋体" w:cs="Times New Roman"/>
          <w:i/>
          <w:iCs/>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[16,17]</w:t>
      </w:r>
      <w:r>
        <w:rPr>
          <w:rFonts w:ascii="Times New Roman" w:hAnsi="Times New Roman" w:eastAsia="宋体" w:cs="Times New Roman"/>
          <w:i/>
          <w:iCs/>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w:t>
      </w:r>
    </w:p>
    <w:p w14:paraId="0C76A3DA">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c=</m:t>
        </m:r>
        <m:f>
          <m:fPr>
            <m:ctrlPr>
              <w:rPr>
                <w:rFonts w:ascii="Cambria Math" w:hAnsi="Cambria Math" w:eastAsia="宋体" w:cs="Times New Roman"/>
                <w:color w:val="000000" w:themeColor="text1"/>
                <w:szCs w:val="21"/>
                <w14:textFill>
                  <w14:solidFill>
                    <w14:schemeClr w14:val="tx1"/>
                  </w14:solidFill>
                </w14:textFill>
              </w:rPr>
            </m:ctrlPr>
          </m:fPr>
          <m:num>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V</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100c</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num>
          <m:den>
            <m:f>
              <m:fPr>
                <m:ctrlPr>
                  <w:rPr>
                    <w:rFonts w:ascii="Cambria Math" w:hAnsi="Cambria Math" w:eastAsia="宋体" w:cs="Times New Roman"/>
                    <w:color w:val="000000" w:themeColor="text1"/>
                    <w:szCs w:val="21"/>
                    <w14:textFill>
                      <w14:solidFill>
                        <w14:schemeClr w14:val="tx1"/>
                      </w14:solidFill>
                    </w14:textFill>
                  </w:rPr>
                </m:ctrlPr>
              </m:fPr>
              <m:num>
                <m:rad>
                  <m:radPr>
                    <m:degHide m:val="1"/>
                    <m:ctrlPr>
                      <w:rPr>
                        <w:rFonts w:ascii="Cambria Math" w:hAnsi="Cambria Math" w:eastAsia="宋体" w:cs="Times New Roman"/>
                        <w:color w:val="000000" w:themeColor="text1"/>
                        <w:szCs w:val="21"/>
                        <w14:textFill>
                          <w14:solidFill>
                            <w14:schemeClr w14:val="tx1"/>
                          </w14:solidFill>
                        </w14:textFill>
                      </w:rPr>
                    </m:ctrlPr>
                  </m:radPr>
                  <m:deg>
                    <m:ctrlPr>
                      <w:rPr>
                        <w:rFonts w:ascii="Cambria Math" w:hAnsi="Cambria Math" w:eastAsia="宋体" w:cs="Times New Roman"/>
                        <w:color w:val="000000" w:themeColor="text1"/>
                        <w:szCs w:val="21"/>
                        <w14:textFill>
                          <w14:solidFill>
                            <w14:schemeClr w14:val="tx1"/>
                          </w14:solidFill>
                        </w14:textFill>
                      </w:rPr>
                    </m:ctrlPr>
                  </m:deg>
                  <m:e>
                    <m:r>
                      <m:rPr/>
                      <w:rPr>
                        <w:rFonts w:ascii="Cambria Math" w:hAnsi="Cambria Math" w:eastAsia="宋体" w:cs="Times New Roman"/>
                        <w:color w:val="000000" w:themeColor="text1"/>
                        <w:szCs w:val="21"/>
                        <w14:textFill>
                          <w14:solidFill>
                            <w14:schemeClr w14:val="tx1"/>
                          </w14:solidFill>
                        </w14:textFill>
                      </w:rPr>
                      <m:t>π</m:t>
                    </m:r>
                    <m:ctrlPr>
                      <w:rPr>
                        <w:rFonts w:ascii="Cambria Math" w:hAnsi="Cambria Math" w:eastAsia="宋体" w:cs="Times New Roman"/>
                        <w:color w:val="000000" w:themeColor="text1"/>
                        <w:szCs w:val="21"/>
                        <w14:textFill>
                          <w14:solidFill>
                            <w14:schemeClr w14:val="tx1"/>
                          </w14:solidFill>
                        </w14:textFill>
                      </w:rPr>
                    </m:ctrlPr>
                  </m:e>
                </m:rad>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2</m:t>
                </m:r>
                <m:ctrlPr>
                  <w:rPr>
                    <w:rFonts w:ascii="Cambria Math" w:hAnsi="Cambria Math" w:eastAsia="宋体" w:cs="Times New Roman"/>
                    <w:color w:val="000000" w:themeColor="text1"/>
                    <w:szCs w:val="21"/>
                    <w14:textFill>
                      <w14:solidFill>
                        <w14:schemeClr w14:val="tx1"/>
                      </w14:solidFill>
                    </w14:textFill>
                  </w:rPr>
                </m:ctrlPr>
              </m:den>
            </m:f>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2</m:t>
            </m:r>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V</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100c</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num>
          <m:den>
            <m:rad>
              <m:radPr>
                <m:degHide m:val="1"/>
                <m:ctrlPr>
                  <w:rPr>
                    <w:rFonts w:ascii="Cambria Math" w:hAnsi="Cambria Math" w:eastAsia="宋体" w:cs="Times New Roman"/>
                    <w:color w:val="000000" w:themeColor="text1"/>
                    <w:szCs w:val="21"/>
                    <w14:textFill>
                      <w14:solidFill>
                        <w14:schemeClr w14:val="tx1"/>
                      </w14:solidFill>
                    </w14:textFill>
                  </w:rPr>
                </m:ctrlPr>
              </m:radPr>
              <m:deg>
                <m:ctrlPr>
                  <w:rPr>
                    <w:rFonts w:ascii="Cambria Math" w:hAnsi="Cambria Math" w:eastAsia="宋体" w:cs="Times New Roman"/>
                    <w:color w:val="000000" w:themeColor="text1"/>
                    <w:szCs w:val="21"/>
                    <w14:textFill>
                      <w14:solidFill>
                        <w14:schemeClr w14:val="tx1"/>
                      </w14:solidFill>
                    </w14:textFill>
                  </w:rPr>
                </m:ctrlPr>
              </m:deg>
              <m:e>
                <m:r>
                  <m:rPr/>
                  <w:rPr>
                    <w:rFonts w:ascii="Cambria Math" w:hAnsi="Cambria Math" w:eastAsia="宋体" w:cs="Times New Roman"/>
                    <w:color w:val="000000" w:themeColor="text1"/>
                    <w:szCs w:val="21"/>
                    <w14:textFill>
                      <w14:solidFill>
                        <w14:schemeClr w14:val="tx1"/>
                      </w14:solidFill>
                    </w14:textFill>
                  </w:rPr>
                  <m:t>π</m:t>
                </m:r>
                <m:ctrlPr>
                  <w:rPr>
                    <w:rFonts w:ascii="Cambria Math" w:hAnsi="Cambria Math" w:eastAsia="宋体" w:cs="Times New Roman"/>
                    <w:color w:val="000000" w:themeColor="text1"/>
                    <w:szCs w:val="21"/>
                    <w14:textFill>
                      <w14:solidFill>
                        <w14:schemeClr w14:val="tx1"/>
                      </w14:solidFill>
                    </w14:textFill>
                  </w:rPr>
                </m:ctrlPr>
              </m:e>
            </m:rad>
            <m:ctrlPr>
              <w:rPr>
                <w:rFonts w:ascii="Cambria Math" w:hAnsi="Cambria Math" w:eastAsia="宋体" w:cs="Times New Roman"/>
                <w:color w:val="000000" w:themeColor="text1"/>
                <w:szCs w:val="21"/>
                <w14:textFill>
                  <w14:solidFill>
                    <w14:schemeClr w14:val="tx1"/>
                  </w14:solidFill>
                </w14:textFill>
              </w:rPr>
            </m:ctrlPr>
          </m:den>
        </m:f>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S28</w:t>
      </w:r>
      <w:r>
        <w:rPr>
          <w:rFonts w:hint="default" w:ascii="Times New Roman" w:hAnsi="Times New Roman" w:eastAsia="宋体" w:cs="Times New Roman"/>
          <w:color w:val="000000" w:themeColor="text1"/>
          <w:szCs w:val="21"/>
          <w14:textFill>
            <w14:solidFill>
              <w14:schemeClr w14:val="tx1"/>
            </w14:solidFill>
          </w14:textFill>
        </w:rPr>
        <w:t>）</w:t>
      </w:r>
    </w:p>
    <w:p w14:paraId="3E78A196">
      <w:pPr>
        <w:widowControl/>
        <w:wordWrap/>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r>
          <m:rPr/>
          <w:rPr>
            <w:rFonts w:ascii="Cambria Math" w:hAnsi="Cambria Math" w:eastAsia="宋体" w:cs="Times New Roman"/>
            <w:color w:val="000000" w:themeColor="text1"/>
            <w:szCs w:val="21"/>
            <w14:textFill>
              <w14:solidFill>
                <w14:schemeClr w14:val="tx1"/>
              </w14:solidFill>
            </w14:textFill>
          </w:rPr>
          <m:t>f(v)=(</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2v</m:t>
            </m:r>
            <m:ctrlPr>
              <w:rPr>
                <w:rFonts w:ascii="Cambria Math" w:hAnsi="Cambria Math" w:eastAsia="宋体" w:cs="Times New Roman"/>
                <w:color w:val="000000" w:themeColor="text1"/>
                <w:szCs w:val="21"/>
                <w14:textFill>
                  <w14:solidFill>
                    <w14:schemeClr w14:val="tx1"/>
                  </w14:solidFill>
                </w14:textFill>
              </w:rPr>
            </m:ctrlPr>
          </m:num>
          <m:den>
            <m:sSup>
              <m:sSupPr>
                <m:ctrlPr>
                  <w:rPr>
                    <w:rFonts w:ascii="Cambria Math" w:hAnsi="Cambria Math" w:eastAsia="宋体" w:cs="Times New Roman"/>
                    <w:color w:val="000000" w:themeColor="text1"/>
                    <w:szCs w:val="21"/>
                    <w14:textFill>
                      <w14:solidFill>
                        <w14:schemeClr w14:val="tx1"/>
                      </w14:solidFill>
                    </w14:textFill>
                  </w:rPr>
                </m:ctrlPr>
              </m:sSupPr>
              <m:e>
                <m:r>
                  <m:rPr/>
                  <w:rPr>
                    <w:rFonts w:ascii="Cambria Math" w:hAnsi="Cambria Math" w:eastAsia="宋体" w:cs="Times New Roman"/>
                    <w:color w:val="000000" w:themeColor="text1"/>
                    <w:szCs w:val="21"/>
                    <w14:textFill>
                      <w14:solidFill>
                        <w14:schemeClr w14:val="tx1"/>
                      </w14:solidFill>
                    </w14:textFill>
                  </w:rPr>
                  <m:t>c</m:t>
                </m:r>
                <m:ctrlPr>
                  <w:rPr>
                    <w:rFonts w:ascii="Cambria Math" w:hAnsi="Cambria Math" w:eastAsia="宋体" w:cs="Times New Roman"/>
                    <w:color w:val="000000" w:themeColor="text1"/>
                    <w:szCs w:val="21"/>
                    <w14:textFill>
                      <w14:solidFill>
                        <w14:schemeClr w14:val="tx1"/>
                      </w14:solidFill>
                    </w14:textFill>
                  </w:rPr>
                </m:ctrlPr>
              </m:e>
              <m:sup>
                <m:r>
                  <m:rPr/>
                  <w:rPr>
                    <w:rFonts w:ascii="Cambria Math" w:hAnsi="Cambria Math" w:eastAsia="宋体" w:cs="Times New Roman"/>
                    <w:color w:val="000000" w:themeColor="text1"/>
                    <w:szCs w:val="21"/>
                    <w14:textFill>
                      <w14:solidFill>
                        <w14:schemeClr w14:val="tx1"/>
                      </w14:solidFill>
                    </w14:textFill>
                  </w:rPr>
                  <m:t>2</m:t>
                </m:r>
                <m:ctrlPr>
                  <w:rPr>
                    <w:rFonts w:ascii="Cambria Math" w:hAnsi="Cambria Math" w:eastAsia="宋体" w:cs="Times New Roman"/>
                    <w:color w:val="000000" w:themeColor="text1"/>
                    <w:szCs w:val="21"/>
                    <w14:textFill>
                      <w14:solidFill>
                        <w14:schemeClr w14:val="tx1"/>
                      </w14:solidFill>
                    </w14:textFill>
                  </w:rPr>
                </m:ctrlPr>
              </m:sup>
            </m:sSup>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m:t>
        </m:r>
        <m:r>
          <m:rPr>
            <m:sty m:val="p"/>
          </m:rPr>
          <w:rPr>
            <w:rFonts w:ascii="Cambria Math" w:hAnsi="Cambria Math" w:eastAsia="宋体" w:cs="Times New Roman"/>
            <w:color w:val="000000" w:themeColor="text1"/>
            <w:szCs w:val="21"/>
            <w14:textFill>
              <w14:solidFill>
                <w14:schemeClr w14:val="tx1"/>
              </w14:solidFill>
            </w14:textFill>
          </w:rPr>
          <m:t>exp</m:t>
        </m:r>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sSup>
              <m:sSupPr>
                <m:ctrlPr>
                  <w:rPr>
                    <w:rFonts w:ascii="Cambria Math" w:hAnsi="Cambria Math" w:eastAsia="宋体" w:cs="Times New Roman"/>
                    <w:color w:val="000000" w:themeColor="text1"/>
                    <w:szCs w:val="21"/>
                    <w14:textFill>
                      <w14:solidFill>
                        <w14:schemeClr w14:val="tx1"/>
                      </w14:solidFill>
                    </w14:textFill>
                  </w:rPr>
                </m:ctrlPr>
              </m:sSupPr>
              <m:e>
                <m:r>
                  <m:rPr/>
                  <w:rPr>
                    <w:rFonts w:ascii="Cambria Math" w:hAnsi="Cambria Math" w:eastAsia="宋体" w:cs="Times New Roman"/>
                    <w:color w:val="000000" w:themeColor="text1"/>
                    <w:szCs w:val="21"/>
                    <w14:textFill>
                      <w14:solidFill>
                        <w14:schemeClr w14:val="tx1"/>
                      </w14:solidFill>
                    </w14:textFill>
                  </w:rPr>
                  <m:t>v</m:t>
                </m:r>
                <m:ctrlPr>
                  <w:rPr>
                    <w:rFonts w:ascii="Cambria Math" w:hAnsi="Cambria Math" w:eastAsia="宋体" w:cs="Times New Roman"/>
                    <w:color w:val="000000" w:themeColor="text1"/>
                    <w:szCs w:val="21"/>
                    <w14:textFill>
                      <w14:solidFill>
                        <w14:schemeClr w14:val="tx1"/>
                      </w14:solidFill>
                    </w14:textFill>
                  </w:rPr>
                </m:ctrlPr>
              </m:e>
              <m:sup>
                <m:r>
                  <m:rPr/>
                  <w:rPr>
                    <w:rFonts w:ascii="Cambria Math" w:hAnsi="Cambria Math" w:eastAsia="宋体" w:cs="Times New Roman"/>
                    <w:color w:val="000000" w:themeColor="text1"/>
                    <w:szCs w:val="21"/>
                    <w14:textFill>
                      <w14:solidFill>
                        <w14:schemeClr w14:val="tx1"/>
                      </w14:solidFill>
                    </w14:textFill>
                  </w:rPr>
                  <m:t>2</m:t>
                </m:r>
                <m:ctrlPr>
                  <w:rPr>
                    <w:rFonts w:ascii="Cambria Math" w:hAnsi="Cambria Math" w:eastAsia="宋体" w:cs="Times New Roman"/>
                    <w:color w:val="000000" w:themeColor="text1"/>
                    <w:szCs w:val="21"/>
                    <w14:textFill>
                      <w14:solidFill>
                        <w14:schemeClr w14:val="tx1"/>
                      </w14:solidFill>
                    </w14:textFill>
                  </w:rPr>
                </m:ctrlPr>
              </m:sup>
            </m:sSup>
            <m:ctrlPr>
              <w:rPr>
                <w:rFonts w:ascii="Cambria Math" w:hAnsi="Cambria Math" w:eastAsia="宋体" w:cs="Times New Roman"/>
                <w:color w:val="000000" w:themeColor="text1"/>
                <w:szCs w:val="21"/>
                <w14:textFill>
                  <w14:solidFill>
                    <w14:schemeClr w14:val="tx1"/>
                  </w14:solidFill>
                </w14:textFill>
              </w:rPr>
            </m:ctrlPr>
          </m:num>
          <m:den>
            <m:sSup>
              <m:sSupPr>
                <m:ctrlPr>
                  <w:rPr>
                    <w:rFonts w:ascii="Cambria Math" w:hAnsi="Cambria Math" w:eastAsia="宋体" w:cs="Times New Roman"/>
                    <w:color w:val="000000" w:themeColor="text1"/>
                    <w:szCs w:val="21"/>
                    <w14:textFill>
                      <w14:solidFill>
                        <w14:schemeClr w14:val="tx1"/>
                      </w14:solidFill>
                    </w14:textFill>
                  </w:rPr>
                </m:ctrlPr>
              </m:sSupPr>
              <m:e>
                <m:r>
                  <m:rPr/>
                  <w:rPr>
                    <w:rFonts w:ascii="Cambria Math" w:hAnsi="Cambria Math" w:eastAsia="宋体" w:cs="Times New Roman"/>
                    <w:color w:val="000000" w:themeColor="text1"/>
                    <w:szCs w:val="21"/>
                    <w14:textFill>
                      <w14:solidFill>
                        <w14:schemeClr w14:val="tx1"/>
                      </w14:solidFill>
                    </w14:textFill>
                  </w:rPr>
                  <m:t>c</m:t>
                </m:r>
                <m:ctrlPr>
                  <w:rPr>
                    <w:rFonts w:ascii="Cambria Math" w:hAnsi="Cambria Math" w:eastAsia="宋体" w:cs="Times New Roman"/>
                    <w:color w:val="000000" w:themeColor="text1"/>
                    <w:szCs w:val="21"/>
                    <w14:textFill>
                      <w14:solidFill>
                        <w14:schemeClr w14:val="tx1"/>
                      </w14:solidFill>
                    </w14:textFill>
                  </w:rPr>
                </m:ctrlPr>
              </m:e>
              <m:sup>
                <m:r>
                  <m:rPr/>
                  <w:rPr>
                    <w:rFonts w:ascii="Cambria Math" w:hAnsi="Cambria Math" w:eastAsia="宋体" w:cs="Times New Roman"/>
                    <w:color w:val="000000" w:themeColor="text1"/>
                    <w:szCs w:val="21"/>
                    <w14:textFill>
                      <w14:solidFill>
                        <w14:schemeClr w14:val="tx1"/>
                      </w14:solidFill>
                    </w14:textFill>
                  </w:rPr>
                  <m:t>2</m:t>
                </m:r>
                <m:ctrlPr>
                  <w:rPr>
                    <w:rFonts w:ascii="Cambria Math" w:hAnsi="Cambria Math" w:eastAsia="宋体" w:cs="Times New Roman"/>
                    <w:color w:val="000000" w:themeColor="text1"/>
                    <w:szCs w:val="21"/>
                    <w14:textFill>
                      <w14:solidFill>
                        <w14:schemeClr w14:val="tx1"/>
                      </w14:solidFill>
                    </w14:textFill>
                  </w:rPr>
                </m:ctrlPr>
              </m:sup>
            </m:sSup>
            <m:ctrlPr>
              <w:rPr>
                <w:rFonts w:ascii="Cambria Math" w:hAnsi="Cambria Math" w:eastAsia="宋体" w:cs="Times New Roman"/>
                <w:color w:val="000000" w:themeColor="text1"/>
                <w:szCs w:val="21"/>
                <w14:textFill>
                  <w14:solidFill>
                    <w14:schemeClr w14:val="tx1"/>
                  </w14:solidFill>
                </w14:textFill>
              </w:rPr>
            </m:ctrlPr>
          </m:den>
        </m:f>
        <m:r>
          <m:rPr/>
          <w:rPr>
            <w:rFonts w:ascii="Cambria Math" w:hAnsi="Cambria Math" w:eastAsia="宋体" w:cs="Times New Roman"/>
            <w:color w:val="000000" w:themeColor="text1"/>
            <w:szCs w:val="21"/>
            <w14:textFill>
              <w14:solidFill>
                <w14:schemeClr w14:val="tx1"/>
              </w14:solidFill>
            </w14:textFill>
          </w:rPr>
          <m:t>)</m:t>
        </m:r>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S29</w:t>
      </w:r>
      <w:r>
        <w:rPr>
          <w:rFonts w:hint="default" w:ascii="Times New Roman" w:hAnsi="Times New Roman" w:eastAsia="宋体" w:cs="Times New Roman"/>
          <w:color w:val="000000" w:themeColor="text1"/>
          <w:szCs w:val="21"/>
          <w14:textFill>
            <w14:solidFill>
              <w14:schemeClr w14:val="tx1"/>
            </w14:solidFill>
          </w14:textFill>
        </w:rPr>
        <w:t>）</w:t>
      </w:r>
    </w:p>
    <w:p w14:paraId="34DBC498">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本研究选取高原风电场首选的商用机型</w:t>
      </w:r>
      <w:r>
        <w:rPr>
          <w:rFonts w:ascii="Times New Roman" w:hAnsi="Times New Roman" w:eastAsia="宋体" w:cs="Times New Roman"/>
          <w:color w:val="000000" w:themeColor="text1"/>
          <w:szCs w:val="21"/>
          <w14:textFill>
            <w14:solidFill>
              <w14:schemeClr w14:val="tx1"/>
            </w14:solidFill>
          </w14:textFill>
        </w:rPr>
        <w:t>GE 2.5-103</w:t>
      </w:r>
      <w:r>
        <w:rPr>
          <w:rFonts w:hint="default" w:ascii="Times New Roman" w:hAnsi="Times New Roman" w:eastAsia="宋体" w:cs="Times New Roman"/>
          <w:color w:val="000000" w:themeColor="text1"/>
          <w:szCs w:val="21"/>
          <w14:textFill>
            <w14:solidFill>
              <w14:schemeClr w14:val="tx1"/>
            </w14:solidFill>
          </w14:textFill>
        </w:rPr>
        <w:t>（额定装机功率</w:t>
      </w:r>
      <w:r>
        <w:rPr>
          <w:rFonts w:ascii="Times New Roman" w:hAnsi="Times New Roman" w:eastAsia="宋体" w:cs="Times New Roman"/>
          <w:i/>
          <w:iCs/>
          <w:color w:val="000000" w:themeColor="text1"/>
          <w:szCs w:val="21"/>
          <w14:textFill>
            <w14:solidFill>
              <w14:schemeClr w14:val="tx1"/>
            </w14:solidFill>
          </w14:textFill>
        </w:rPr>
        <w:t>P</w:t>
      </w:r>
      <w:r>
        <w:rPr>
          <w:rFonts w:ascii="Times New Roman" w:hAnsi="Times New Roman" w:eastAsia="宋体" w:cs="Times New Roman"/>
          <w:color w:val="000000" w:themeColor="text1"/>
          <w:szCs w:val="21"/>
          <w:vertAlign w:val="subscript"/>
          <w14:textFill>
            <w14:solidFill>
              <w14:schemeClr w14:val="tx1"/>
            </w14:solidFill>
          </w14:textFill>
        </w:rPr>
        <w:t>0</w:t>
      </w:r>
      <w:r>
        <w:rPr>
          <w:rFonts w:ascii="Times New Roman" w:hAnsi="Times New Roman" w:eastAsia="宋体" w:cs="Times New Roman"/>
          <w:color w:val="000000" w:themeColor="text1"/>
          <w:szCs w:val="21"/>
          <w14:textFill>
            <w14:solidFill>
              <w14:schemeClr w14:val="tx1"/>
            </w14:solidFill>
          </w14:textFill>
        </w:rPr>
        <w:t xml:space="preserve"> = 2500 kW</w:t>
      </w:r>
      <w:r>
        <w:rPr>
          <w:rFonts w:hint="default" w:ascii="Times New Roman" w:hAnsi="Times New Roman" w:eastAsia="宋体" w:cs="Times New Roman"/>
          <w:color w:val="000000" w:themeColor="text1"/>
          <w:szCs w:val="21"/>
          <w14:textFill>
            <w14:solidFill>
              <w14:schemeClr w14:val="tx1"/>
            </w14:solidFill>
          </w14:textFill>
        </w:rPr>
        <w:t>）作为基准机型，建立其连续分段运行功率函数</w:t>
      </w:r>
      <w:r>
        <w:rPr>
          <w:rFonts w:ascii="Times New Roman" w:hAnsi="Times New Roman" w:eastAsia="宋体" w:cs="Times New Roman"/>
          <w:i/>
          <w:iCs/>
          <w:color w:val="000000" w:themeColor="text1"/>
          <w:szCs w:val="21"/>
          <w14:textFill>
            <w14:solidFill>
              <w14:schemeClr w14:val="tx1"/>
            </w14:solidFill>
          </w14:textFill>
        </w:rPr>
        <w:t>P</w:t>
      </w:r>
      <w:r>
        <w:rPr>
          <w:rFonts w:ascii="Times New Roman" w:hAnsi="Times New Roman" w:eastAsia="宋体" w:cs="Times New Roman"/>
          <w:i/>
          <w:iCs/>
          <w:color w:val="000000" w:themeColor="text1"/>
          <w:szCs w:val="21"/>
          <w:vertAlign w:val="subscript"/>
          <w14:textFill>
            <w14:solidFill>
              <w14:schemeClr w14:val="tx1"/>
            </w14:solidFill>
          </w14:textFill>
        </w:rPr>
        <w:t>curve</w:t>
      </w:r>
      <w:r>
        <w:rPr>
          <w:rFonts w:ascii="Times New Roman" w:hAnsi="Times New Roman" w:eastAsia="宋体" w:cs="Times New Roman"/>
          <w:color w:val="000000" w:themeColor="text1"/>
          <w:szCs w:val="21"/>
          <w14:textFill>
            <w14:solidFill>
              <w14:schemeClr w14:val="tx1"/>
            </w14:solidFill>
          </w14:textFill>
        </w:rPr>
        <w:t xml:space="preserve"> (</w:t>
      </w:r>
      <w:r>
        <w:rPr>
          <w:rFonts w:ascii="Times New Roman" w:hAnsi="Times New Roman" w:eastAsia="宋体" w:cs="Times New Roman"/>
          <w:i/>
          <w:iCs/>
          <w:color w:val="000000" w:themeColor="text1"/>
          <w:szCs w:val="21"/>
          <w14:textFill>
            <w14:solidFill>
              <w14:schemeClr w14:val="tx1"/>
            </w14:solidFill>
          </w14:textFill>
        </w:rPr>
        <w:t>v</w:t>
      </w:r>
      <w:r>
        <w:rPr>
          <w:rFonts w:ascii="Times New Roman" w:hAnsi="Times New Roman" w:eastAsia="宋体" w:cs="Times New Roman"/>
          <w:color w:val="000000" w:themeColor="text1"/>
          <w:szCs w:val="21"/>
          <w14:textFill>
            <w14:solidFill>
              <w14:schemeClr w14:val="tx1"/>
            </w14:solidFill>
          </w14:textFill>
        </w:rPr>
        <w:t xml:space="preserve">) </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{"citationID":"p4gED3eS","properties":{"unsorted":false,"formattedCitation":"\\super [18]\\nosupersub{}","plainCitation":"[18]","noteIndex":0},"citationItems":[{"id":"UgoaWSgH/J0jUtyni","uris":["http://zotero.org/users/12506905/items/M2TJSMIE"],"itemData":{"id":1972,"type":"webpage","language":"de","title":"Willkommen auf wind-turbine-models.com","URL":"https://www.wind-turbine-models.com/","author":[{"family":"Bauer","given":"Lucas"}],"accessed":{"date-parts":[["2026",6,26]]}}}],"schema":"https://github.com/citation-style-language/schema/raw/master/csl-citation.json"}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[18]</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w:t>
      </w:r>
    </w:p>
    <w:p w14:paraId="6E11D189">
      <w:pPr>
        <w:widowControl/>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P</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curve</m:t>
            </m:r>
            <m:ctrlPr>
              <w:rPr>
                <w:rFonts w:ascii="Cambria Math" w:hAnsi="Cambria Math" w:eastAsia="宋体" w:cs="Times New Roman"/>
                <w:color w:val="000000" w:themeColor="text1"/>
                <w:szCs w:val="21"/>
                <w14:textFill>
                  <w14:solidFill>
                    <w14:schemeClr w14:val="tx1"/>
                  </w14:solidFill>
                </w14:textFill>
              </w:rPr>
            </m:ctrlPr>
          </m:sub>
        </m:sSub>
        <m:d>
          <m:dPr>
            <m:ctrlPr>
              <w:rPr>
                <w:rFonts w:ascii="Cambria Math" w:hAnsi="Cambria Math" w:eastAsia="宋体" w:cs="Times New Roman"/>
                <w:i/>
                <w:color w:val="000000" w:themeColor="text1"/>
                <w:szCs w:val="21"/>
                <w14:textFill>
                  <w14:solidFill>
                    <w14:schemeClr w14:val="tx1"/>
                  </w14:solidFill>
                </w14:textFill>
              </w:rPr>
            </m:ctrlPr>
          </m:dPr>
          <m:e>
            <m:r>
              <m:rPr/>
              <w:rPr>
                <w:rFonts w:ascii="Cambria Math" w:hAnsi="Cambria Math" w:eastAsia="宋体" w:cs="Times New Roman"/>
                <w:color w:val="000000" w:themeColor="text1"/>
                <w:szCs w:val="21"/>
                <w14:textFill>
                  <w14:solidFill>
                    <w14:schemeClr w14:val="tx1"/>
                  </w14:solidFill>
                </w14:textFill>
              </w:rPr>
              <m:t>v</m:t>
            </m:r>
            <m:ctrlPr>
              <w:rPr>
                <w:rFonts w:ascii="Cambria Math" w:hAnsi="Cambria Math" w:eastAsia="宋体" w:cs="Times New Roman"/>
                <w:i/>
                <w:color w:val="000000" w:themeColor="text1"/>
                <w:szCs w:val="21"/>
                <w14:textFill>
                  <w14:solidFill>
                    <w14:schemeClr w14:val="tx1"/>
                  </w14:solidFill>
                </w14:textFill>
              </w:rPr>
            </m:ctrlPr>
          </m:e>
        </m:d>
        <m:r>
          <m:rPr/>
          <w:rPr>
            <w:rFonts w:ascii="Cambria Math" w:hAnsi="Cambria Math" w:eastAsia="宋体" w:cs="Times New Roman"/>
            <w:color w:val="000000" w:themeColor="text1"/>
            <w:szCs w:val="21"/>
            <w14:textFill>
              <w14:solidFill>
                <w14:schemeClr w14:val="tx1"/>
              </w14:solidFill>
            </w14:textFill>
          </w:rPr>
          <m:t>=</m:t>
        </m:r>
        <m:d>
          <m:dPr>
            <m:begChr m:val="{"/>
            <m:endChr m:val=""/>
            <m:ctrlPr>
              <w:rPr>
                <w:rFonts w:ascii="Cambria Math" w:hAnsi="Cambria Math" w:eastAsia="宋体" w:cs="Times New Roman"/>
                <w:i/>
                <w:color w:val="000000" w:themeColor="text1"/>
                <w:szCs w:val="21"/>
                <w14:textFill>
                  <w14:solidFill>
                    <w14:schemeClr w14:val="tx1"/>
                  </w14:solidFill>
                </w14:textFill>
              </w:rPr>
            </m:ctrlPr>
          </m:dPr>
          <m:e>
            <m:eqArr>
              <m:eqArrPr>
                <m:ctrlPr>
                  <w:rPr>
                    <w:rFonts w:ascii="Cambria Math" w:hAnsi="Cambria Math" w:eastAsia="宋体" w:cs="Times New Roman"/>
                    <w:i/>
                    <w:color w:val="000000" w:themeColor="text1"/>
                    <w:szCs w:val="21"/>
                    <w14:textFill>
                      <w14:solidFill>
                        <w14:schemeClr w14:val="tx1"/>
                      </w14:solidFill>
                    </w14:textFill>
                  </w:rPr>
                </m:ctrlPr>
              </m:eqArrPr>
              <m:e>
                <m:r>
                  <m:rPr/>
                  <w:rPr>
                    <w:rFonts w:ascii="Cambria Math" w:hAnsi="Cambria Math" w:eastAsia="宋体" w:cs="Times New Roman"/>
                    <w:color w:val="000000" w:themeColor="text1"/>
                    <w:szCs w:val="21"/>
                    <w14:textFill>
                      <w14:solidFill>
                        <w14:schemeClr w14:val="tx1"/>
                      </w14:solidFill>
                    </w14:textFill>
                  </w:rPr>
                  <m:t>0,                              v&lt;3.0 or v&gt;25.0</m:t>
                </m:r>
                <m:ctrlPr>
                  <w:rPr>
                    <w:rFonts w:ascii="Cambria Math" w:hAnsi="Cambria Math" w:eastAsia="宋体" w:cs="Times New Roman"/>
                    <w:i/>
                    <w:color w:val="000000" w:themeColor="text1"/>
                    <w:szCs w:val="21"/>
                    <w14:textFill>
                      <w14:solidFill>
                        <w14:schemeClr w14:val="tx1"/>
                      </w14:solidFill>
                    </w14:textFill>
                  </w:rPr>
                </m:ctrlPr>
              </m:e>
              <m:e>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f</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interp</m:t>
                    </m:r>
                    <m:ctrlPr>
                      <w:rPr>
                        <w:rFonts w:ascii="Cambria Math" w:hAnsi="Cambria Math" w:eastAsia="宋体" w:cs="Times New Roman"/>
                        <w:color w:val="000000" w:themeColor="text1"/>
                        <w:szCs w:val="21"/>
                        <w14:textFill>
                          <w14:solidFill>
                            <w14:schemeClr w14:val="tx1"/>
                          </w14:solidFill>
                        </w14:textFill>
                      </w:rPr>
                    </m:ctrlPr>
                  </m:sub>
                </m:sSub>
                <m:d>
                  <m:dPr>
                    <m:ctrlPr>
                      <w:rPr>
                        <w:rFonts w:ascii="Cambria Math" w:hAnsi="Cambria Math" w:eastAsia="宋体" w:cs="Times New Roman"/>
                        <w:i/>
                        <w:color w:val="000000" w:themeColor="text1"/>
                        <w:szCs w:val="21"/>
                        <w14:textFill>
                          <w14:solidFill>
                            <w14:schemeClr w14:val="tx1"/>
                          </w14:solidFill>
                        </w14:textFill>
                      </w:rPr>
                    </m:ctrlPr>
                  </m:dPr>
                  <m:e>
                    <m:r>
                      <m:rPr/>
                      <w:rPr>
                        <w:rFonts w:ascii="Cambria Math" w:hAnsi="Cambria Math" w:eastAsia="宋体" w:cs="Times New Roman"/>
                        <w:color w:val="000000" w:themeColor="text1"/>
                        <w:szCs w:val="21"/>
                        <w14:textFill>
                          <w14:solidFill>
                            <w14:schemeClr w14:val="tx1"/>
                          </w14:solidFill>
                        </w14:textFill>
                      </w:rPr>
                      <m:t>v</m:t>
                    </m:r>
                    <m:ctrlPr>
                      <w:rPr>
                        <w:rFonts w:ascii="Cambria Math" w:hAnsi="Cambria Math" w:eastAsia="宋体" w:cs="Times New Roman"/>
                        <w:i/>
                        <w:color w:val="000000" w:themeColor="text1"/>
                        <w:szCs w:val="21"/>
                        <w14:textFill>
                          <w14:solidFill>
                            <w14:schemeClr w14:val="tx1"/>
                          </w14:solidFill>
                        </w14:textFill>
                      </w:rPr>
                    </m:ctrlPr>
                  </m:e>
                </m:d>
                <m:r>
                  <m:rPr/>
                  <w:rPr>
                    <w:rFonts w:ascii="Cambria Math" w:hAnsi="Cambria Math" w:eastAsia="宋体" w:cs="Times New Roman"/>
                    <w:color w:val="000000" w:themeColor="text1"/>
                    <w:szCs w:val="21"/>
                    <w14:textFill>
                      <w14:solidFill>
                        <w14:schemeClr w14:val="tx1"/>
                      </w14:solidFill>
                    </w14:textFill>
                  </w:rPr>
                  <m:t>,                       3.0</m:t>
                </m:r>
                <m:r>
                  <m:rPr/>
                  <w:rPr>
                    <w:rFonts w:hint="default" w:ascii="Cambria Math" w:hAnsi="Cambria Math" w:eastAsia="宋体" w:cs="Times New Roman"/>
                    <w:color w:val="000000" w:themeColor="text1"/>
                    <w:szCs w:val="21"/>
                    <w14:textFill>
                      <w14:solidFill>
                        <w14:schemeClr w14:val="tx1"/>
                      </w14:solidFill>
                    </w14:textFill>
                  </w:rPr>
                  <m:t>≤</m:t>
                </m:r>
                <m:r>
                  <m:rPr/>
                  <w:rPr>
                    <w:rFonts w:ascii="Cambria Math" w:hAnsi="Cambria Math" w:eastAsia="宋体" w:cs="Times New Roman"/>
                    <w:color w:val="000000" w:themeColor="text1"/>
                    <w:szCs w:val="21"/>
                    <w14:textFill>
                      <w14:solidFill>
                        <w14:schemeClr w14:val="tx1"/>
                      </w14:solidFill>
                    </w14:textFill>
                  </w:rPr>
                  <m:t>v&lt;12.5</m:t>
                </m:r>
                <m:ctrlPr>
                  <w:rPr>
                    <w:rFonts w:ascii="Cambria Math" w:hAnsi="Cambria Math" w:eastAsia="宋体" w:cs="Times New Roman"/>
                    <w:i/>
                    <w:color w:val="000000" w:themeColor="text1"/>
                    <w:szCs w:val="21"/>
                    <w14:textFill>
                      <w14:solidFill>
                        <w14:schemeClr w14:val="tx1"/>
                      </w14:solidFill>
                    </w14:textFill>
                  </w:rPr>
                </m:ctrlPr>
              </m:e>
              <m:e>
                <m:sSub>
                  <m:sSubPr>
                    <m:ctrlPr>
                      <w:rPr>
                        <w:rFonts w:ascii="Cambria Math" w:hAnsi="Cambria Math" w:eastAsia="宋体" w:cs="Times New Roman"/>
                        <w:i/>
                        <w:iCs/>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P</m:t>
                    </m:r>
                    <m:ctrlPr>
                      <w:rPr>
                        <w:rFonts w:ascii="Cambria Math" w:hAnsi="Cambria Math" w:eastAsia="宋体" w:cs="Times New Roman"/>
                        <w:i/>
                        <w:iCs/>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0</m:t>
                    </m:r>
                    <m:ctrlPr>
                      <w:rPr>
                        <w:rFonts w:ascii="Cambria Math" w:hAnsi="Cambria Math" w:eastAsia="宋体" w:cs="Times New Roman"/>
                        <w:i/>
                        <w:iCs/>
                        <w:color w:val="000000" w:themeColor="text1"/>
                        <w:szCs w:val="21"/>
                        <w14:textFill>
                          <w14:solidFill>
                            <w14:schemeClr w14:val="tx1"/>
                          </w14:solidFill>
                        </w14:textFill>
                      </w:rPr>
                    </m:ctrlPr>
                  </m:sub>
                </m:sSub>
                <m:r>
                  <m:rPr>
                    <m:sty m:val="p"/>
                  </m:rPr>
                  <w:rPr>
                    <w:rFonts w:ascii="Cambria Math" w:hAnsi="Cambria Math" w:eastAsia="宋体" w:cs="Times New Roman"/>
                    <w:color w:val="000000" w:themeColor="text1"/>
                    <w:szCs w:val="21"/>
                    <w:vertAlign w:val="subscript"/>
                    <w14:textFill>
                      <w14:solidFill>
                        <w14:schemeClr w14:val="tx1"/>
                      </w14:solidFill>
                    </w14:textFill>
                  </w:rPr>
                  <m:t xml:space="preserve">,                                  </m:t>
                </m:r>
                <m:r>
                  <m:rPr/>
                  <w:rPr>
                    <w:rFonts w:ascii="Cambria Math" w:hAnsi="Cambria Math" w:eastAsia="宋体" w:cs="Times New Roman"/>
                    <w:color w:val="000000" w:themeColor="text1"/>
                    <w:szCs w:val="21"/>
                    <w14:textFill>
                      <w14:solidFill>
                        <w14:schemeClr w14:val="tx1"/>
                      </w14:solidFill>
                    </w14:textFill>
                  </w:rPr>
                  <m:t>12.5</m:t>
                </m:r>
                <m:r>
                  <m:rPr/>
                  <w:rPr>
                    <w:rFonts w:hint="default" w:ascii="Cambria Math" w:hAnsi="Cambria Math" w:eastAsia="宋体" w:cs="Times New Roman"/>
                    <w:color w:val="000000" w:themeColor="text1"/>
                    <w:szCs w:val="21"/>
                    <w14:textFill>
                      <w14:solidFill>
                        <w14:schemeClr w14:val="tx1"/>
                      </w14:solidFill>
                    </w14:textFill>
                  </w:rPr>
                  <m:t>≤</m:t>
                </m:r>
                <m:r>
                  <m:rPr/>
                  <w:rPr>
                    <w:rFonts w:ascii="Cambria Math" w:hAnsi="Cambria Math" w:eastAsia="宋体" w:cs="Times New Roman"/>
                    <w:color w:val="000000" w:themeColor="text1"/>
                    <w:szCs w:val="21"/>
                    <w14:textFill>
                      <w14:solidFill>
                        <w14:schemeClr w14:val="tx1"/>
                      </w14:solidFill>
                    </w14:textFill>
                  </w:rPr>
                  <m:t>v</m:t>
                </m:r>
                <m:r>
                  <m:rPr/>
                  <w:rPr>
                    <w:rFonts w:hint="default" w:ascii="Cambria Math" w:hAnsi="Cambria Math" w:eastAsia="宋体" w:cs="Times New Roman"/>
                    <w:color w:val="000000" w:themeColor="text1"/>
                    <w:szCs w:val="21"/>
                    <w14:textFill>
                      <w14:solidFill>
                        <w14:schemeClr w14:val="tx1"/>
                      </w14:solidFill>
                    </w14:textFill>
                  </w:rPr>
                  <m:t>≤</m:t>
                </m:r>
                <m:r>
                  <m:rPr/>
                  <w:rPr>
                    <w:rFonts w:ascii="Cambria Math" w:hAnsi="Cambria Math" w:eastAsia="宋体" w:cs="Times New Roman"/>
                    <w:color w:val="000000" w:themeColor="text1"/>
                    <w:szCs w:val="21"/>
                    <w14:textFill>
                      <w14:solidFill>
                        <w14:schemeClr w14:val="tx1"/>
                      </w14:solidFill>
                    </w14:textFill>
                  </w:rPr>
                  <m:t>25.0</m:t>
                </m:r>
                <m:ctrlPr>
                  <w:rPr>
                    <w:rFonts w:ascii="Cambria Math" w:hAnsi="Cambria Math" w:eastAsia="宋体" w:cs="Times New Roman"/>
                    <w:i/>
                    <w:color w:val="000000" w:themeColor="text1"/>
                    <w:szCs w:val="21"/>
                    <w14:textFill>
                      <w14:solidFill>
                        <w14:schemeClr w14:val="tx1"/>
                      </w14:solidFill>
                    </w14:textFill>
                  </w:rPr>
                </m:ctrlPr>
              </m:e>
            </m:eqArr>
            <m:ctrlPr>
              <w:rPr>
                <w:rFonts w:ascii="Cambria Math" w:hAnsi="Cambria Math" w:eastAsia="宋体" w:cs="Times New Roman"/>
                <w:i/>
                <w:color w:val="000000" w:themeColor="text1"/>
                <w:szCs w:val="21"/>
                <w14:textFill>
                  <w14:solidFill>
                    <w14:schemeClr w14:val="tx1"/>
                  </w14:solidFill>
                </w14:textFill>
              </w:rPr>
            </m:ctrlPr>
          </m:e>
        </m:d>
        <m:m>
          <m:mPr>
            <m:mcs>
              <m:mc>
                <m:mcPr>
                  <m:count m:val="2"/>
                  <m:mcJc m:val="center"/>
                </m:mcPr>
              </m:mc>
            </m:mcs>
            <m:plcHide m:val="1"/>
            <m:ctrlPr>
              <w:rPr>
                <w:rFonts w:ascii="Cambria Math" w:hAnsi="Cambria Math" w:eastAsia="宋体" w:cs="Times New Roman"/>
                <w:color w:val="000000" w:themeColor="text1"/>
                <w:szCs w:val="21"/>
                <w14:textFill>
                  <w14:solidFill>
                    <w14:schemeClr w14:val="tx1"/>
                  </w14:solidFill>
                </w14:textFill>
              </w:rPr>
            </m:ctrlPr>
          </m:mPr>
          <m:mr>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color w:val="000000" w:themeColor="text1"/>
                  <w:szCs w:val="21"/>
                  <w14:textFill>
                    <w14:solidFill>
                      <w14:schemeClr w14:val="tx1"/>
                    </w14:solidFill>
                  </w14:textFill>
                </w:rPr>
              </m:ctrlPr>
            </m:e>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color w:val="000000" w:themeColor="text1"/>
                  <w:szCs w:val="21"/>
                  <w14:textFill>
                    <w14:solidFill>
                      <w14:schemeClr w14:val="tx1"/>
                    </w14:solidFill>
                  </w14:textFill>
                </w:rPr>
              </m:ctrlPr>
            </m:e>
          </m:mr>
          <m:mr>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color w:val="000000" w:themeColor="text1"/>
                  <w:szCs w:val="21"/>
                  <w14:textFill>
                    <w14:solidFill>
                      <w14:schemeClr w14:val="tx1"/>
                    </w14:solidFill>
                  </w14:textFill>
                </w:rPr>
              </m:ctrlPr>
            </m:e>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color w:val="000000" w:themeColor="text1"/>
                  <w:szCs w:val="21"/>
                  <w14:textFill>
                    <w14:solidFill>
                      <w14:schemeClr w14:val="tx1"/>
                    </w14:solidFill>
                  </w14:textFill>
                </w:rPr>
              </m:ctrlPr>
            </m:e>
          </m:mr>
          <m:mr>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color w:val="000000" w:themeColor="text1"/>
                  <w:szCs w:val="21"/>
                  <w14:textFill>
                    <w14:solidFill>
                      <w14:schemeClr w14:val="tx1"/>
                    </w14:solidFill>
                  </w14:textFill>
                </w:rPr>
              </m:ctrlPr>
            </m:e>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color w:val="000000" w:themeColor="text1"/>
                  <w:szCs w:val="21"/>
                  <w14:textFill>
                    <w14:solidFill>
                      <w14:schemeClr w14:val="tx1"/>
                    </w14:solidFill>
                  </w14:textFill>
                </w:rPr>
              </m:ctrlPr>
            </m:e>
          </m:mr>
          <m:mr>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color w:val="000000" w:themeColor="text1"/>
                  <w:szCs w:val="21"/>
                  <w14:textFill>
                    <w14:solidFill>
                      <w14:schemeClr w14:val="tx1"/>
                    </w14:solidFill>
                  </w14:textFill>
                </w:rPr>
              </m:ctrlPr>
            </m:e>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color w:val="000000" w:themeColor="text1"/>
                  <w:szCs w:val="21"/>
                  <w14:textFill>
                    <w14:solidFill>
                      <w14:schemeClr w14:val="tx1"/>
                    </w14:solidFill>
                  </w14:textFill>
                </w:rPr>
              </m:ctrlPr>
            </m:e>
          </m:mr>
        </m:m>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S30</w:t>
      </w:r>
      <w:r>
        <w:rPr>
          <w:rFonts w:hint="default" w:ascii="Times New Roman" w:hAnsi="Times New Roman" w:eastAsia="宋体" w:cs="Times New Roman"/>
          <w:color w:val="000000" w:themeColor="text1"/>
          <w:szCs w:val="21"/>
          <w14:textFill>
            <w14:solidFill>
              <w14:schemeClr w14:val="tx1"/>
            </w14:solidFill>
          </w14:textFill>
        </w:rPr>
        <w:t>）</w:t>
      </w:r>
    </w:p>
    <w:p w14:paraId="3CA05833">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其中，</w:t>
      </w:r>
      <w:r>
        <w:rPr>
          <w:rFonts w:ascii="Times New Roman" w:hAnsi="Times New Roman" w:eastAsia="宋体" w:cs="Times New Roman"/>
          <w:color w:val="000000" w:themeColor="text1"/>
          <w:szCs w:val="21"/>
          <w14:textFill>
            <w14:solidFill>
              <w14:schemeClr w14:val="tx1"/>
            </w14:solidFill>
          </w14:textFill>
        </w:rPr>
        <w:t>3.0 m·s</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为切入风速，</w:t>
      </w:r>
      <w:r>
        <w:rPr>
          <w:rFonts w:ascii="Times New Roman" w:hAnsi="Times New Roman" w:eastAsia="宋体" w:cs="Times New Roman"/>
          <w:color w:val="000000" w:themeColor="text1"/>
          <w:szCs w:val="21"/>
          <w14:textFill>
            <w14:solidFill>
              <w14:schemeClr w14:val="tx1"/>
            </w14:solidFill>
          </w14:textFill>
        </w:rPr>
        <w:t>12.5 m</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为额定满载风速，</w:t>
      </w:r>
      <w:r>
        <w:rPr>
          <w:rFonts w:ascii="Times New Roman" w:hAnsi="Times New Roman" w:eastAsia="宋体" w:cs="Times New Roman"/>
          <w:color w:val="000000" w:themeColor="text1"/>
          <w:szCs w:val="21"/>
          <w14:textFill>
            <w14:solidFill>
              <w14:schemeClr w14:val="tx1"/>
            </w14:solidFill>
          </w14:textFill>
        </w:rPr>
        <w:t>25 m·s</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为保护切出停机风速；在</w:t>
      </w:r>
      <w:r>
        <w:rPr>
          <w:rFonts w:ascii="Times New Roman" w:hAnsi="Times New Roman" w:eastAsia="宋体" w:cs="Times New Roman"/>
          <w:color w:val="000000" w:themeColor="text1"/>
          <w:szCs w:val="21"/>
          <w14:textFill>
            <w14:solidFill>
              <w14:schemeClr w14:val="tx1"/>
            </w14:solidFill>
          </w14:textFill>
        </w:rPr>
        <w:t>3.0~12.5 m·s</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的非线性上升区间内，输出功率由机型出厂实测功率曲线经数值线性插值</w:t>
      </w:r>
      <w:r>
        <w:rPr>
          <w:rFonts w:ascii="Times New Roman" w:hAnsi="Times New Roman" w:eastAsia="宋体" w:cs="Times New Roman"/>
          <w:i/>
          <w:iCs/>
          <w:color w:val="000000" w:themeColor="text1"/>
          <w:szCs w:val="21"/>
          <w14:textFill>
            <w14:solidFill>
              <w14:schemeClr w14:val="tx1"/>
            </w14:solidFill>
          </w14:textFill>
        </w:rPr>
        <w:t>f</w:t>
      </w:r>
      <w:r>
        <w:rPr>
          <w:rFonts w:ascii="Times New Roman" w:hAnsi="Times New Roman" w:eastAsia="宋体" w:cs="Times New Roman"/>
          <w:i/>
          <w:iCs/>
          <w:color w:val="000000" w:themeColor="text1"/>
          <w:szCs w:val="21"/>
          <w:vertAlign w:val="subscript"/>
          <w14:textFill>
            <w14:solidFill>
              <w14:schemeClr w14:val="tx1"/>
            </w14:solidFill>
          </w14:textFill>
        </w:rPr>
        <w:t>interp</w:t>
      </w:r>
      <w:r>
        <w:rPr>
          <w:rFonts w:ascii="Times New Roman" w:hAnsi="Times New Roman" w:eastAsia="宋体" w:cs="Times New Roman"/>
          <w:color w:val="000000" w:themeColor="text1"/>
          <w:szCs w:val="21"/>
          <w14:textFill>
            <w14:solidFill>
              <w14:schemeClr w14:val="tx1"/>
            </w14:solidFill>
          </w14:textFill>
        </w:rPr>
        <w:t xml:space="preserve"> (</w:t>
      </w:r>
      <w:r>
        <w:rPr>
          <w:rFonts w:ascii="Times New Roman" w:hAnsi="Times New Roman" w:eastAsia="宋体" w:cs="Times New Roman"/>
          <w:i/>
          <w:iCs/>
          <w:color w:val="000000" w:themeColor="text1"/>
          <w:szCs w:val="21"/>
          <w14:textFill>
            <w14:solidFill>
              <w14:schemeClr w14:val="tx1"/>
            </w14:solidFill>
          </w14:textFill>
        </w:rPr>
        <w:t>v</w:t>
      </w:r>
      <w:r>
        <w:rPr>
          <w:rFonts w:ascii="Times New Roman" w:hAnsi="Times New Roman" w:eastAsia="宋体" w:cs="Times New Roman"/>
          <w:color w:val="000000" w:themeColor="text1"/>
          <w:szCs w:val="21"/>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动态映射获取。</w:t>
      </w:r>
    </w:p>
    <w:p w14:paraId="6E6477DD">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单台风机在日均风速波动下的期望输出功率，由风机分段功率曲线与当日等效风速的概率密度函数在</w:t>
      </w:r>
      <w:r>
        <w:rPr>
          <w:rFonts w:ascii="Times New Roman" w:hAnsi="Times New Roman" w:eastAsia="宋体" w:cs="Times New Roman"/>
          <w:color w:val="000000" w:themeColor="text1"/>
          <w:szCs w:val="21"/>
          <w14:textFill>
            <w14:solidFill>
              <w14:schemeClr w14:val="tx1"/>
            </w14:solidFill>
          </w14:textFill>
        </w:rPr>
        <w:t>0~25 m·s</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范围内经步长</w:t>
      </w:r>
      <w:r>
        <w:rPr>
          <w:rFonts w:ascii="Times New Roman" w:hAnsi="Times New Roman" w:eastAsia="宋体" w:cs="Times New Roman"/>
          <w:color w:val="000000" w:themeColor="text1"/>
          <w:szCs w:val="21"/>
          <w14:textFill>
            <w14:solidFill>
              <w14:schemeClr w14:val="tx1"/>
            </w14:solidFill>
          </w14:textFill>
        </w:rPr>
        <w:t>0.1 m·s</w:t>
      </w:r>
      <w:r>
        <w:rPr>
          <w:rFonts w:ascii="Times New Roman" w:hAnsi="Times New Roman" w:eastAsia="宋体" w:cs="Times New Roman"/>
          <w:color w:val="000000" w:themeColor="text1"/>
          <w:szCs w:val="21"/>
          <w:vertAlign w:val="superscript"/>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的定积分求得，进而得到该网格当日的陆上风电容量系数（</w:t>
      </w:r>
      <w:r>
        <w:rPr>
          <w:rFonts w:ascii="Times New Roman" w:hAnsi="Times New Roman" w:eastAsia="宋体" w:cs="Times New Roman"/>
          <w:i/>
          <w:iCs/>
          <w:color w:val="000000" w:themeColor="text1"/>
          <w:szCs w:val="21"/>
          <w14:textFill>
            <w14:solidFill>
              <w14:schemeClr w14:val="tx1"/>
            </w14:solidFill>
          </w14:textFill>
        </w:rPr>
        <w:t>CF</w:t>
      </w:r>
      <w:r>
        <w:rPr>
          <w:rFonts w:ascii="Times New Roman" w:hAnsi="Times New Roman" w:eastAsia="宋体" w:cs="Times New Roman"/>
          <w:i/>
          <w:iCs/>
          <w:color w:val="000000" w:themeColor="text1"/>
          <w:szCs w:val="21"/>
          <w:vertAlign w:val="subscript"/>
          <w14:textFill>
            <w14:solidFill>
              <w14:schemeClr w14:val="tx1"/>
            </w14:solidFill>
          </w14:textFill>
        </w:rPr>
        <w:t>onshore</w:t>
      </w:r>
      <w:r>
        <w:rPr>
          <w:rFonts w:hint="default" w:ascii="Times New Roman" w:hAnsi="Times New Roman" w:eastAsia="宋体" w:cs="Times New Roman"/>
          <w:color w:val="000000" w:themeColor="text1"/>
          <w:szCs w:val="21"/>
          <w14:textFill>
            <w14:solidFill>
              <w14:schemeClr w14:val="tx1"/>
            </w14:solidFill>
          </w14:textFill>
        </w:rPr>
        <w:t>，无量纲）</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{"citationID":"qMCXa20j","properties":{"unsorted":false,"formattedCitation":"\\super [10,15]\\nosupersub{}","plainCitation":"[10,15]","noteIndex":0},"citationItems":[{"id":"UgoaWSgH/82SSEIHg","uris":["http://zotero.org/users/12506905/items/TPDJ5MGI"],"itemData":{"id":10,"type":"article-journal","abstract":"Economic productivity depends on reliable access to electricity, but the extreme shortage events of variable wind-solar systems may be strongly affected by climate change. Here, hourly reanalysis climatological data are leveraged to examine historical trends in defined extreme shortage events worldwide. We find uptrends in extreme shortage events regardless of their frequency, duration, and intensity since 1980. For instance, duration of extreme low-reliability events worldwide has increased by 4.1 hours (0.392 hours per year on average) between 1980–2000 and 2001–2022. However, such ascending trends are unevenly distributed worldwide, with a greater variability in low- and middle-latitude developing countries. This uptrend in extreme shortage events is driven by extremely low wind speed and solar radiation, particularly compound wind and solar drought, which however are strongly disproportionated. Only average 12.5% change in compound extremely low wind speed and solar radiation events may give rise to over 30% variability in extreme shortage events, despite a mere average 1.0% change in average wind speed and solar radiation. Our findings underline that wind-solar systems will probably suffer from weakened power security if such uptrends persist in a warmer future.","container-title":"Nature Communications","DOI":"10.1038/s41467-024-48966-y","ISSN":"2041-1723","issue":"1","journalAbbreviation":"Nat Commun","language":"en","license":"2024 The Author(s)","page":"5225","publisher":"Nature Publishing Group","source":"www.nature.com","title":"Climate change impacts on the extreme power shortage events of wind-solar supply systems worldwide during 1980–2022","volume":"15","author":[{"family":"Zheng","given":"Dongsheng"},{"family":"Tong","given":"Dan"},{"family":"Davis","given":"Steven J."},{"family":"Qin","given":"Yue"},{"family":"Liu","given":"Yang"},{"family":"Xu","given":"Ruochong"},{"family":"Yang","given":"Jin"},{"family":"Yan","given":"Xizhe"},{"family":"Geng","given":"Guannan"},{"family":"Che","given":"Huizheng"},{"family":"Zhang","given":"Qiang"}],"issued":{"date-parts":[["2024",6,18]]}}},{"id":"UgoaWSgH/z9nEBjIy","uris":["http://zotero.org/users/12506905/items/J7UQYN5T"],"itemData":{"id":1974,"type":"article-journal","abstract":"Wind energy is a virtually carbon-free and pollution-free electricity source, with global wind resources greatly exceeding electricity demand. Accordingly, the installed capacity of wind turbines grew at an annualized rate of &gt;20% from 2000 to 2019 and is projected to increase by a further 50% by the end of 2023. In this Review, we describe the factors that dictate the wind resource magnitude and variability and illustrate the tools and techniques that are being used to make projections of wind resources and wind turbine operating conditions. Natural variability due to the action of internal climate modes appears to dominate over global-warming-induced non-stationarity over most areas with large wind energy installations or potential. However, there is evidence for increased wind energy resources by the end of the current century in northern Europe and the US Southern Great Plains. New technology trends are changing the sensitivity of wind energy to global climate non-stationarity and, thus, present new challenges and opportunities for innovative research. The evolution of climate modelling to increasingly address mesoscale processes is providing improved projections of both wind resources and wind turbine operating conditions, and will contribute to continued reductions in the levelized cost of energy from wind power generation.","container-title":"Nature Reviews Earth &amp; Environment","DOI":"10.1038/s43017-020-0101-7","ISSN":"2662-138X","issue":"12","journalAbbreviation":"Nat Rev Earth Environ","language":"en","license":"2020 Springer Nature Limited","page":"627-643","publisher":"Nature Publishing Group","source":"www.nature.com","title":"Climate change impacts on wind power generation","volume":"1","author":[{"family":"Pryor","given":"Sara C."},{"family":"Barthelmie","given":"Rebecca J."},{"family":"Bukovsky","given":"Melissa S."},{"family":"Leung","given":"L. Ruby"},{"family":"Sakaguchi","given":"Koichi"}],"issued":{"date-parts":[["2020",12]]}}}],"schema":"https://github.com/citation-style-language/schema/raw/master/csl-citation.json"}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[10,15]</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w:t>
      </w:r>
    </w:p>
    <w:p w14:paraId="1F57433C">
      <w:pPr>
        <w:widowControl/>
        <w:wordWrap/>
        <w:adjustRightInd w:val="0"/>
        <w:spacing w:after="120" w:line="300" w:lineRule="auto"/>
        <w:jc w:val="right"/>
        <w:rPr>
          <w:rFonts w:ascii="Times New Roman" w:hAnsi="Times New Roman" w:eastAsia="宋体" w:cs="Times New Roman"/>
          <w:color w:val="000000" w:themeColor="text1"/>
          <w:szCs w:val="21"/>
          <w14:textFill>
            <w14:solidFill>
              <w14:schemeClr w14:val="tx1"/>
            </w14:solidFill>
          </w14:textFill>
        </w:rPr>
      </w:pPr>
      <m:oMath>
        <m:sSub>
          <m:sSubPr>
            <m:ctrlPr>
              <w:rPr>
                <w:rFonts w:ascii="Cambria Math" w:hAnsi="Cambria Math" w:eastAsia="宋体" w:cs="Times New Roman"/>
                <w:i/>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CF</m:t>
            </m:r>
            <m:ctrlPr>
              <w:rPr>
                <w:rFonts w:ascii="Cambria Math" w:hAnsi="Cambria Math" w:eastAsia="宋体" w:cs="Times New Roman"/>
                <w:i/>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vertAlign w:val="subscript"/>
                <w14:textFill>
                  <w14:solidFill>
                    <w14:schemeClr w14:val="tx1"/>
                  </w14:solidFill>
                </w14:textFill>
              </w:rPr>
              <m:t>ons</m:t>
            </m:r>
            <m:r>
              <m:rPr/>
              <w:rPr>
                <w:rFonts w:ascii="Cambria Math" w:hAnsi="Cambria Math" w:eastAsia="MS Gothic" w:cs="Times New Roman"/>
                <w:color w:val="000000" w:themeColor="text1"/>
                <w:szCs w:val="21"/>
                <w:vertAlign w:val="subscript"/>
                <w14:textFill>
                  <w14:solidFill>
                    <w14:schemeClr w14:val="tx1"/>
                  </w14:solidFill>
                </w14:textFill>
              </w:rPr>
              <m:t>h</m:t>
            </m:r>
            <m:r>
              <m:rPr/>
              <w:rPr>
                <w:rFonts w:ascii="Cambria Math" w:hAnsi="Cambria Math" w:eastAsia="宋体" w:cs="Times New Roman"/>
                <w:color w:val="000000" w:themeColor="text1"/>
                <w:szCs w:val="21"/>
                <w:vertAlign w:val="subscript"/>
                <w14:textFill>
                  <w14:solidFill>
                    <w14:schemeClr w14:val="tx1"/>
                  </w14:solidFill>
                </w14:textFill>
              </w:rPr>
              <m:t>ore</m:t>
            </m:r>
            <m:ctrlPr>
              <w:rPr>
                <w:rFonts w:ascii="Cambria Math" w:hAnsi="Cambria Math" w:eastAsia="宋体" w:cs="Times New Roman"/>
                <w:i/>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m:t>
        </m:r>
        <m:f>
          <m:fPr>
            <m:ctrlPr>
              <w:rPr>
                <w:rFonts w:ascii="Cambria Math" w:hAnsi="Cambria Math" w:eastAsia="宋体" w:cs="Times New Roman"/>
                <w:color w:val="000000" w:themeColor="text1"/>
                <w:szCs w:val="21"/>
                <w14:textFill>
                  <w14:solidFill>
                    <w14:schemeClr w14:val="tx1"/>
                  </w14:solidFill>
                </w14:textFill>
              </w:rPr>
            </m:ctrlPr>
          </m:fPr>
          <m:num>
            <m:r>
              <m:rPr/>
              <w:rPr>
                <w:rFonts w:ascii="Cambria Math" w:hAnsi="Cambria Math" w:eastAsia="宋体" w:cs="Times New Roman"/>
                <w:color w:val="000000" w:themeColor="text1"/>
                <w:szCs w:val="21"/>
                <w14:textFill>
                  <w14:solidFill>
                    <w14:schemeClr w14:val="tx1"/>
                  </w14:solidFill>
                </w14:textFill>
              </w:rPr>
              <m:t>1</m:t>
            </m:r>
            <m:ctrlPr>
              <w:rPr>
                <w:rFonts w:ascii="Cambria Math" w:hAnsi="Cambria Math" w:eastAsia="宋体" w:cs="Times New Roman"/>
                <w:color w:val="000000" w:themeColor="text1"/>
                <w:szCs w:val="21"/>
                <w14:textFill>
                  <w14:solidFill>
                    <w14:schemeClr w14:val="tx1"/>
                  </w14:solidFill>
                </w14:textFill>
              </w:rPr>
            </m:ctrlPr>
          </m:num>
          <m:den>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P</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0</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den>
        </m:f>
        <m:nary>
          <m:naryPr>
            <m:grow m:val="1"/>
            <m:limLoc m:val="subSup"/>
            <m:ctrlPr>
              <w:rPr>
                <w:rFonts w:ascii="Cambria Math" w:hAnsi="Cambria Math" w:eastAsia="宋体" w:cs="Times New Roman"/>
                <w:color w:val="000000" w:themeColor="text1"/>
                <w:szCs w:val="21"/>
                <w14:textFill>
                  <w14:solidFill>
                    <w14:schemeClr w14:val="tx1"/>
                  </w14:solidFill>
                </w14:textFill>
              </w:rPr>
            </m:ctrlPr>
          </m:naryPr>
          <m:sub>
            <m:r>
              <m:rPr/>
              <w:rPr>
                <w:rFonts w:ascii="Cambria Math" w:hAnsi="Cambria Math" w:eastAsia="宋体" w:cs="Times New Roman"/>
                <w:color w:val="000000" w:themeColor="text1"/>
                <w:szCs w:val="21"/>
                <w14:textFill>
                  <w14:solidFill>
                    <w14:schemeClr w14:val="tx1"/>
                  </w14:solidFill>
                </w14:textFill>
              </w:rPr>
              <m:t>0</m:t>
            </m:r>
            <m:ctrlPr>
              <w:rPr>
                <w:rFonts w:ascii="Cambria Math" w:hAnsi="Cambria Math" w:eastAsia="宋体" w:cs="Times New Roman"/>
                <w:color w:val="000000" w:themeColor="text1"/>
                <w:szCs w:val="21"/>
                <w14:textFill>
                  <w14:solidFill>
                    <w14:schemeClr w14:val="tx1"/>
                  </w14:solidFill>
                </w14:textFill>
              </w:rPr>
            </m:ctrlPr>
          </m:sub>
          <m:sup>
            <m:r>
              <m:rPr/>
              <w:rPr>
                <w:rFonts w:ascii="Cambria Math" w:hAnsi="Cambria Math" w:eastAsia="宋体" w:cs="Times New Roman"/>
                <w:color w:val="000000" w:themeColor="text1"/>
                <w:szCs w:val="21"/>
                <w14:textFill>
                  <w14:solidFill>
                    <w14:schemeClr w14:val="tx1"/>
                  </w14:solidFill>
                </w14:textFill>
              </w:rPr>
              <m:t>25</m:t>
            </m:r>
            <m:ctrlPr>
              <w:rPr>
                <w:rFonts w:ascii="Cambria Math" w:hAnsi="Cambria Math" w:eastAsia="宋体" w:cs="Times New Roman"/>
                <w:color w:val="000000" w:themeColor="text1"/>
                <w:szCs w:val="21"/>
                <w14:textFill>
                  <w14:solidFill>
                    <w14:schemeClr w14:val="tx1"/>
                  </w14:solidFill>
                </w14:textFill>
              </w:rPr>
            </m:ctrlPr>
          </m:sup>
          <m:e>
            <m:r>
              <m:rPr/>
              <w:rPr>
                <w:rFonts w:ascii="Cambria Math" w:hAnsi="Cambria Math" w:eastAsia="宋体" w:cs="Times New Roman"/>
                <w:color w:val="000000" w:themeColor="text1"/>
                <w:szCs w:val="21"/>
                <w14:textFill>
                  <w14:solidFill>
                    <w14:schemeClr w14:val="tx1"/>
                  </w14:solidFill>
                </w14:textFill>
              </w:rPr>
              <m:t xml:space="preserve"> </m:t>
            </m:r>
            <m:ctrlPr>
              <w:rPr>
                <w:rFonts w:ascii="Cambria Math" w:hAnsi="Cambria Math" w:eastAsia="宋体" w:cs="Times New Roman"/>
                <w:color w:val="000000" w:themeColor="text1"/>
                <w:szCs w:val="21"/>
                <w14:textFill>
                  <w14:solidFill>
                    <w14:schemeClr w14:val="tx1"/>
                  </w14:solidFill>
                </w14:textFill>
              </w:rPr>
            </m:ctrlPr>
          </m:e>
        </m:nary>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P</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curve</m:t>
            </m:r>
            <m:ctrlPr>
              <w:rPr>
                <w:rFonts w:ascii="Cambria Math" w:hAnsi="Cambria Math" w:eastAsia="宋体" w:cs="Times New Roman"/>
                <w:color w:val="000000" w:themeColor="text1"/>
                <w:szCs w:val="21"/>
                <w14:textFill>
                  <w14:solidFill>
                    <w14:schemeClr w14:val="tx1"/>
                  </w14:solidFill>
                </w14:textFill>
              </w:rPr>
            </m:ctrlPr>
          </m:sub>
        </m:sSub>
        <m:r>
          <m:rPr/>
          <w:rPr>
            <w:rFonts w:ascii="Cambria Math" w:hAnsi="Cambria Math" w:eastAsia="宋体" w:cs="Times New Roman"/>
            <w:color w:val="000000" w:themeColor="text1"/>
            <w:szCs w:val="21"/>
            <w14:textFill>
              <w14:solidFill>
                <w14:schemeClr w14:val="tx1"/>
              </w14:solidFill>
            </w14:textFill>
          </w:rPr>
          <m:t>(v)⋅f(v)dv</m:t>
        </m:r>
      </m:oMath>
      <w:r>
        <w:rPr>
          <w:rFonts w:ascii="Times New Roman" w:hAnsi="Times New Roman" w:eastAsia="宋体" w:cs="Times New Roman"/>
          <w:color w:val="000000" w:themeColor="text1"/>
          <w:szCs w:val="21"/>
          <w14:textFill>
            <w14:solidFill>
              <w14:schemeClr w14:val="tx1"/>
            </w14:solidFill>
          </w14:textFill>
        </w:rPr>
        <w:t xml:space="preserve">              </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S31</w:t>
      </w:r>
      <w:r>
        <w:rPr>
          <w:rFonts w:hint="default" w:ascii="Times New Roman" w:hAnsi="Times New Roman" w:eastAsia="宋体" w:cs="Times New Roman"/>
          <w:color w:val="000000" w:themeColor="text1"/>
          <w:szCs w:val="21"/>
          <w14:textFill>
            <w14:solidFill>
              <w14:schemeClr w14:val="tx1"/>
            </w14:solidFill>
          </w14:textFill>
        </w:rPr>
        <w:t>）</w:t>
      </w:r>
    </w:p>
    <w:p w14:paraId="71BB28A4">
      <w:pPr>
        <w:widowControl/>
        <w:adjustRightInd w:val="0"/>
        <w:spacing w:after="120" w:line="300" w:lineRule="auto"/>
        <w:outlineLvl w:val="2"/>
        <w:rPr>
          <w:rFonts w:ascii="Times New Roman" w:hAnsi="Times New Roman" w:eastAsia="宋体" w:cs="Times New Roman"/>
          <w:b/>
          <w:bCs/>
          <w:color w:val="000000" w:themeColor="text1"/>
          <w:szCs w:val="21"/>
          <w14:textFill>
            <w14:solidFill>
              <w14:schemeClr w14:val="tx1"/>
            </w14:solidFill>
          </w14:textFill>
        </w:rPr>
      </w:pPr>
      <w:r>
        <w:rPr>
          <w:rFonts w:ascii="Times New Roman" w:hAnsi="Times New Roman" w:eastAsia="宋体" w:cs="Times New Roman"/>
          <w:b/>
          <w:bCs/>
          <w:color w:val="000000" w:themeColor="text1"/>
          <w:szCs w:val="21"/>
          <w14:textFill>
            <w14:solidFill>
              <w14:schemeClr w14:val="tx1"/>
            </w14:solidFill>
          </w14:textFill>
        </w:rPr>
        <w:t>4</w:t>
      </w:r>
      <w:r>
        <w:rPr>
          <w:rFonts w:hint="default" w:ascii="Times New Roman" w:hAnsi="Times New Roman" w:eastAsia="宋体" w:cs="Times New Roman"/>
          <w:b/>
          <w:bCs/>
          <w:color w:val="000000" w:themeColor="text1"/>
          <w:szCs w:val="21"/>
          <w14:textFill>
            <w14:solidFill>
              <w14:schemeClr w14:val="tx1"/>
            </w14:solidFill>
          </w14:textFill>
        </w:rPr>
        <w:t>）空间约束与单位面积发电潜力</w:t>
      </w:r>
    </w:p>
    <w:p w14:paraId="3412FF3C">
      <w:pPr>
        <w:widowControl/>
        <w:adjustRightInd w:val="0"/>
        <w:spacing w:after="12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在大规模风电场阵列部署中，上风向机组的尾流效应对下风向机组产生严重影响</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{"citationID":"Hj24Ox10","properties":{"unsorted":false,"formattedCitation":"\\super [19]\\nosupersub{}","plainCitation":"[19]","noteIndex":0},"citationItems":[{"id":"UgoaWSgH/ked0q2yU","uris":["http://zotero.org/users/12506905/items/TEI8YZJZ"],"itemData":{"id":1976,"type":"article-journal","abstract":"Similar to other renewable energy sources, wind energy is characterized by a low power density. Hence, for wind energy to make considerable contributions to the world&amp;apos;s overall energy supply, large wind farms (on- and offshore) consisting of arrays of ever larger wind turbines are being envisioned and built. From a fluid mechanics perspective, wind farms encompass turbulent flow phenomena occurring at many spatial and temporal scales. Of particular interest to understanding mean power extraction and fluctuations in wind farms are the scales ranging from 1 to 10 m that comprise the wakes behind individual wind turbines, to motions reaching 100 m to kilometers in scale, inherently associated with the atmospheric boundary layer. In this review, we summarize current understanding of these flow phenomena (particularly mean and second-order statistics) through field studies, wind tunnel experiments, large-eddy simulations, and analytical modeling, emphasizing the most relevant features for wind farm design and operation.","container-title":"Annual Review of Fluid Mechanics","DOI":"10.1146/annurev-fluid-010816-060206","ISSN":"0066-4189, 1545-4479","issue":"Volume 49, 2017","language":"en","page":"311-339","publisher":"Annual Reviews","source":"www.annualreviews.org","title":"Flow Structure and Turbulence in Wind Farms","volume":"49","author":[{"family":"Stevens","given":"Richard J. A. M."},{"family":"Meneveau","given":"Charles"}],"issued":{"date-parts":[["2017",1,3]]}}}],"schema":"https://github.com/citation-style-language/schema/raw/master/csl-citation.json"}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[19]</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。为表征这一损耗，本研究设定单台风机的扰动边界为</w:t>
      </w:r>
      <w:r>
        <w:rPr>
          <w:rFonts w:ascii="Times New Roman" w:hAnsi="Times New Roman" w:eastAsia="宋体" w:cs="Times New Roman"/>
          <w:color w:val="000000" w:themeColor="text1"/>
          <w:szCs w:val="21"/>
          <w14:textFill>
            <w14:solidFill>
              <w14:schemeClr w14:val="tx1"/>
            </w14:solidFill>
          </w14:textFill>
        </w:rPr>
        <w:t xml:space="preserve"> (8</w:t>
      </w:r>
      <w:r>
        <w:rPr>
          <w:rFonts w:ascii="Times New Roman" w:hAnsi="Times New Roman" w:eastAsia="宋体" w:cs="Times New Roman"/>
          <w:i/>
          <w:iCs/>
          <w:color w:val="000000" w:themeColor="text1"/>
          <w:szCs w:val="21"/>
          <w14:textFill>
            <w14:solidFill>
              <w14:schemeClr w14:val="tx1"/>
            </w14:solidFill>
          </w14:textFill>
        </w:rPr>
        <w:t>D</w:t>
      </w:r>
      <w:r>
        <w:rPr>
          <w:rFonts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vertAlign w:val="superscript"/>
          <w14:textFill>
            <w14:solidFill>
              <w14:schemeClr w14:val="tx1"/>
            </w14:solidFill>
          </w14:textFill>
        </w:rPr>
        <w:t>2</w:t>
      </w:r>
      <w:r>
        <w:rPr>
          <w:rFonts w:hint="default" w:ascii="Times New Roman" w:hAnsi="Times New Roman" w:eastAsia="宋体" w:cs="Times New Roman"/>
          <w:color w:val="000000" w:themeColor="text1"/>
          <w:szCs w:val="21"/>
          <w14:textFill>
            <w14:solidFill>
              <w14:schemeClr w14:val="tx1"/>
            </w14:solidFill>
          </w14:textFill>
        </w:rPr>
        <w:t>，其中叶轮直径</w:t>
      </w:r>
      <w:r>
        <w:rPr>
          <w:rFonts w:ascii="Times New Roman" w:hAnsi="Times New Roman" w:eastAsia="宋体" w:cs="Times New Roman"/>
          <w:i/>
          <w:iCs/>
          <w:color w:val="000000" w:themeColor="text1"/>
          <w:szCs w:val="21"/>
          <w14:textFill>
            <w14:solidFill>
              <w14:schemeClr w14:val="tx1"/>
            </w14:solidFill>
          </w14:textFill>
        </w:rPr>
        <w:t>D</w:t>
      </w:r>
      <w:r>
        <w:rPr>
          <w:rFonts w:hint="default" w:ascii="Times New Roman" w:hAnsi="Times New Roman" w:eastAsia="宋体" w:cs="Times New Roman"/>
          <w:color w:val="000000" w:themeColor="text1"/>
          <w:szCs w:val="21"/>
          <w14:textFill>
            <w14:solidFill>
              <w14:schemeClr w14:val="tx1"/>
            </w14:solidFill>
          </w14:textFill>
        </w:rPr>
        <w:t>为</w:t>
      </w:r>
      <w:r>
        <w:rPr>
          <w:rFonts w:ascii="Times New Roman" w:hAnsi="Times New Roman" w:eastAsia="宋体" w:cs="Times New Roman"/>
          <w:color w:val="000000" w:themeColor="text1"/>
          <w:szCs w:val="21"/>
          <w14:textFill>
            <w14:solidFill>
              <w14:schemeClr w14:val="tx1"/>
            </w14:solidFill>
          </w14:textFill>
        </w:rPr>
        <w:t>103 m</w:t>
      </w:r>
      <w:r>
        <w:rPr>
          <w:rFonts w:hint="default" w:ascii="Times New Roman" w:hAnsi="Times New Roman" w:eastAsia="宋体" w:cs="Times New Roman"/>
          <w:color w:val="000000" w:themeColor="text1"/>
          <w:szCs w:val="21"/>
          <w14:textFill>
            <w14:solidFill>
              <w14:schemeClr w14:val="tx1"/>
            </w14:solidFill>
          </w14:textFill>
        </w:rPr>
        <w:t>，即单位面积土地分摊的有效装机容量</w:t>
      </w:r>
      <w:r>
        <w:rPr>
          <w:rFonts w:ascii="Times New Roman" w:hAnsi="Times New Roman" w:eastAsia="宋体" w:cs="Times New Roman"/>
          <w:i/>
          <w:iCs/>
          <w:color w:val="000000" w:themeColor="text1"/>
          <w:szCs w:val="21"/>
          <w14:textFill>
            <w14:solidFill>
              <w14:schemeClr w14:val="tx1"/>
            </w14:solidFill>
          </w14:textFill>
        </w:rPr>
        <w:t>P</w:t>
      </w:r>
      <w:r>
        <w:rPr>
          <w:rFonts w:ascii="Times New Roman" w:hAnsi="Times New Roman" w:eastAsia="宋体" w:cs="Times New Roman"/>
          <w:i/>
          <w:iCs/>
          <w:color w:val="000000" w:themeColor="text1"/>
          <w:szCs w:val="21"/>
          <w:vertAlign w:val="subscript"/>
          <w14:textFill>
            <w14:solidFill>
              <w14:schemeClr w14:val="tx1"/>
            </w14:solidFill>
          </w14:textFill>
        </w:rPr>
        <w:t>actual_capacity</w:t>
      </w:r>
      <w:r>
        <w:rPr>
          <w:rFonts w:ascii="Times New Roman" w:hAnsi="Times New Roman" w:eastAsia="宋体" w:cs="Times New Roman"/>
          <w:color w:val="000000" w:themeColor="text1"/>
          <w:szCs w:val="21"/>
          <w14:textFill>
            <w14:solidFill>
              <w14:schemeClr w14:val="tx1"/>
            </w14:solidFill>
          </w14:textFill>
        </w:rPr>
        <w:t xml:space="preserve"> = </w:t>
      </w:r>
      <m:oMath>
        <m:f>
          <m:fPr>
            <m:ctrlPr>
              <w:rPr>
                <w:rFonts w:ascii="Cambria Math" w:hAnsi="Cambria Math" w:eastAsia="宋体" w:cs="Times New Roman"/>
                <w:color w:val="000000" w:themeColor="text1"/>
                <w:szCs w:val="21"/>
                <w14:textFill>
                  <w14:solidFill>
                    <w14:schemeClr w14:val="tx1"/>
                  </w14:solidFill>
                </w14:textFill>
              </w:rPr>
            </m:ctrlPr>
          </m:fPr>
          <m:num>
            <m:sSub>
              <m:sSubPr>
                <m:ctrlPr>
                  <w:rPr>
                    <w:rFonts w:ascii="Cambria Math" w:hAnsi="Cambria Math" w:eastAsia="宋体" w:cs="Times New Roman"/>
                    <w:color w:val="000000" w:themeColor="text1"/>
                    <w:szCs w:val="21"/>
                    <w14:textFill>
                      <w14:solidFill>
                        <w14:schemeClr w14:val="tx1"/>
                      </w14:solidFill>
                    </w14:textFill>
                  </w:rPr>
                </m:ctrlPr>
              </m:sSubPr>
              <m:e>
                <m:r>
                  <m:rPr/>
                  <w:rPr>
                    <w:rFonts w:ascii="Cambria Math" w:hAnsi="Cambria Math" w:eastAsia="宋体" w:cs="Times New Roman"/>
                    <w:color w:val="000000" w:themeColor="text1"/>
                    <w:szCs w:val="21"/>
                    <w14:textFill>
                      <w14:solidFill>
                        <w14:schemeClr w14:val="tx1"/>
                      </w14:solidFill>
                    </w14:textFill>
                  </w:rPr>
                  <m:t>P</m:t>
                </m:r>
                <m:ctrlPr>
                  <w:rPr>
                    <w:rFonts w:ascii="Cambria Math" w:hAnsi="Cambria Math" w:eastAsia="宋体" w:cs="Times New Roman"/>
                    <w:color w:val="000000" w:themeColor="text1"/>
                    <w:szCs w:val="21"/>
                    <w14:textFill>
                      <w14:solidFill>
                        <w14:schemeClr w14:val="tx1"/>
                      </w14:solidFill>
                    </w14:textFill>
                  </w:rPr>
                </m:ctrlPr>
              </m:e>
              <m:sub>
                <m:r>
                  <m:rPr/>
                  <w:rPr>
                    <w:rFonts w:ascii="Cambria Math" w:hAnsi="Cambria Math" w:eastAsia="宋体" w:cs="Times New Roman"/>
                    <w:color w:val="000000" w:themeColor="text1"/>
                    <w:szCs w:val="21"/>
                    <w14:textFill>
                      <w14:solidFill>
                        <w14:schemeClr w14:val="tx1"/>
                      </w14:solidFill>
                    </w14:textFill>
                  </w:rPr>
                  <m:t>0</m:t>
                </m:r>
                <m:ctrlPr>
                  <w:rPr>
                    <w:rFonts w:ascii="Cambria Math" w:hAnsi="Cambria Math" w:eastAsia="宋体" w:cs="Times New Roman"/>
                    <w:color w:val="000000" w:themeColor="text1"/>
                    <w:szCs w:val="21"/>
                    <w14:textFill>
                      <w14:solidFill>
                        <w14:schemeClr w14:val="tx1"/>
                      </w14:solidFill>
                    </w14:textFill>
                  </w:rPr>
                </m:ctrlPr>
              </m:sub>
            </m:sSub>
            <m:ctrlPr>
              <w:rPr>
                <w:rFonts w:ascii="Cambria Math" w:hAnsi="Cambria Math" w:eastAsia="宋体" w:cs="Times New Roman"/>
                <w:color w:val="000000" w:themeColor="text1"/>
                <w:szCs w:val="21"/>
                <w14:textFill>
                  <w14:solidFill>
                    <w14:schemeClr w14:val="tx1"/>
                  </w14:solidFill>
                </w14:textFill>
              </w:rPr>
            </m:ctrlPr>
          </m:num>
          <m:den>
            <m:r>
              <m:rPr/>
              <w:rPr>
                <w:rFonts w:ascii="Cambria Math" w:hAnsi="Cambria Math" w:eastAsia="宋体" w:cs="Times New Roman"/>
                <w:color w:val="000000" w:themeColor="text1"/>
                <w:szCs w:val="21"/>
                <w14:textFill>
                  <w14:solidFill>
                    <w14:schemeClr w14:val="tx1"/>
                  </w14:solidFill>
                </w14:textFill>
              </w:rPr>
              <m:t>(8D</m:t>
            </m:r>
            <m:sSup>
              <m:sSupPr>
                <m:ctrlPr>
                  <w:rPr>
                    <w:rFonts w:ascii="Cambria Math" w:hAnsi="Cambria Math" w:eastAsia="宋体" w:cs="Times New Roman"/>
                    <w:color w:val="000000" w:themeColor="text1"/>
                    <w:szCs w:val="21"/>
                    <w14:textFill>
                      <w14:solidFill>
                        <w14:schemeClr w14:val="tx1"/>
                      </w14:solidFill>
                    </w14:textFill>
                  </w:rPr>
                </m:ctrlPr>
              </m:sSupPr>
              <m:e>
                <m:r>
                  <m:rPr/>
                  <w:rPr>
                    <w:rFonts w:ascii="Cambria Math" w:hAnsi="Cambria Math" w:eastAsia="宋体" w:cs="Times New Roman"/>
                    <w:color w:val="000000" w:themeColor="text1"/>
                    <w:szCs w:val="21"/>
                    <w14:textFill>
                      <w14:solidFill>
                        <w14:schemeClr w14:val="tx1"/>
                      </w14:solidFill>
                    </w14:textFill>
                  </w:rPr>
                  <m:t>)</m:t>
                </m:r>
                <m:ctrlPr>
                  <w:rPr>
                    <w:rFonts w:ascii="Cambria Math" w:hAnsi="Cambria Math" w:eastAsia="宋体" w:cs="Times New Roman"/>
                    <w:color w:val="000000" w:themeColor="text1"/>
                    <w:szCs w:val="21"/>
                    <w14:textFill>
                      <w14:solidFill>
                        <w14:schemeClr w14:val="tx1"/>
                      </w14:solidFill>
                    </w14:textFill>
                  </w:rPr>
                </m:ctrlPr>
              </m:e>
              <m:sup>
                <m:r>
                  <m:rPr/>
                  <w:rPr>
                    <w:rFonts w:ascii="Cambria Math" w:hAnsi="Cambria Math" w:eastAsia="宋体" w:cs="Times New Roman"/>
                    <w:color w:val="000000" w:themeColor="text1"/>
                    <w:szCs w:val="21"/>
                    <w14:textFill>
                      <w14:solidFill>
                        <w14:schemeClr w14:val="tx1"/>
                      </w14:solidFill>
                    </w14:textFill>
                  </w:rPr>
                  <m:t>2</m:t>
                </m:r>
                <m:ctrlPr>
                  <w:rPr>
                    <w:rFonts w:ascii="Cambria Math" w:hAnsi="Cambria Math" w:eastAsia="宋体" w:cs="Times New Roman"/>
                    <w:color w:val="000000" w:themeColor="text1"/>
                    <w:szCs w:val="21"/>
                    <w14:textFill>
                      <w14:solidFill>
                        <w14:schemeClr w14:val="tx1"/>
                      </w14:solidFill>
                    </w14:textFill>
                  </w:rPr>
                </m:ctrlPr>
              </m:sup>
            </m:sSup>
            <m:ctrlPr>
              <w:rPr>
                <w:rFonts w:ascii="Cambria Math" w:hAnsi="Cambria Math" w:eastAsia="宋体" w:cs="Times New Roman"/>
                <w:color w:val="000000" w:themeColor="text1"/>
                <w:szCs w:val="21"/>
                <w14:textFill>
                  <w14:solidFill>
                    <w14:schemeClr w14:val="tx1"/>
                  </w14:solidFill>
                </w14:textFill>
              </w:rPr>
            </m:ctrlPr>
          </m:den>
        </m:f>
      </m:oMath>
      <w:r>
        <w:rPr>
          <w:rFonts w:hint="default" w:ascii="Times New Roman" w:hAnsi="Times New Roman" w:eastAsia="宋体" w:cs="Times New Roman"/>
          <w:color w:val="000000" w:themeColor="text1"/>
          <w:szCs w:val="21"/>
          <w14:textFill>
            <w14:solidFill>
              <w14:schemeClr w14:val="tx1"/>
            </w14:solidFill>
          </w14:textFill>
        </w:rPr>
        <w:t>（约</w:t>
      </w:r>
      <w:r>
        <w:rPr>
          <w:rFonts w:ascii="Times New Roman" w:hAnsi="Times New Roman" w:eastAsia="宋体" w:cs="Times New Roman"/>
          <w:color w:val="000000" w:themeColor="text1"/>
          <w:szCs w:val="21"/>
          <w14:textFill>
            <w14:solidFill>
              <w14:schemeClr w14:val="tx1"/>
            </w14:solidFill>
          </w14:textFill>
        </w:rPr>
        <w:t>3.68 MW·km</w:t>
      </w:r>
      <w:r>
        <w:rPr>
          <w:rFonts w:ascii="Times New Roman" w:hAnsi="Times New Roman" w:eastAsia="宋体" w:cs="Times New Roman"/>
          <w:color w:val="000000" w:themeColor="text1"/>
          <w:szCs w:val="21"/>
          <w:vertAlign w:val="superscript"/>
          <w14:textFill>
            <w14:solidFill>
              <w14:schemeClr w14:val="tx1"/>
            </w14:solidFill>
          </w14:textFill>
        </w:rPr>
        <w:t>-2</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{"citationID":"vVFMeXUz","properties":{"unsorted":false,"formattedCitation":"\\super [20]\\nosupersub{}","plainCitation":"[20]","noteIndex":0},"citationItems":[{"id":"UgoaWSgH/SZ8Q9KNu","uris":["http://zotero.org/users/12506905/items/Z9LZWBSX"],"itemData":{"id":3,"type":"article-journal","abstract":"China’s goal to achieve carbon (C) neutrality by 2060 requires scaling up photovoltaic (PV) and wind power from 1 to 10–15 PWh year−1 (refs. 1–5). Following the historical rates of renewable installation1, a recent high-resolution energy-system model6 and forecasts based on China’s 14th Five-year Energy Development (CFED)7, however, only indicate that the capacity will reach 5–9.5 PWh year−1 by 2060. Here we show that, by individually optimizing the deployment of 3,844 new utility-scale PV and wind power plants coordinated with ultra-high-voltage (UHV) transmission and energy storage and accounting for power-load flexibility and learning dynamics, the capacity of PV and wind power can be increased from 9 PWh year−1 (corresponding to the CFED path) to 15 PWh year−1, accompanied by a reduction in the average abatement cost from US$97 to US$6 per tonne of carbon dioxide (tCO2). To achieve this, annualized investment in PV and wind power should ramp up from US$77 billion in 2020 (current level) to US$127 billion in the 2020s and further to US$426 billion year−1 in the 2050s. The large-scale deployment of PV and wind power increases income for residents in the poorest regions as co-benefits. Our results highlight the importance of upgrading power systems by building energy storage, expanding transmission capacity and adjusting power load at the demand side to reduce the economic cost of deploying PV and wind power to achieve carbon neutrality in China.","container-title":"Nature","DOI":"10.1038/s41586-023-06180-8","ISSN":"1476-4687","issue":"7971","language":"en","license":"2023 The Author(s)","page":"761-767","publisher":"Nature Publishing Group","source":"www.nature.com","title":"Accelerating the energy transition towards photovoltaic and wind in China","volume":"619","author":[{"family":"Wang","given":"Yijing"},{"family":"Wang","given":"Rong"},{"family":"Tanaka","given":"Katsumasa"},{"family":"Ciais","given":"Philippe"},{"family":"Penuelas","given":"Josep"},{"family":"Balkanski","given":"Yves"},{"family":"Sardans","given":"Jordi"},{"family":"Hauglustaine","given":"Didier"},{"family":"Liu","given":"Wang"},{"family":"Xing","given":"Xiaofan"},{"family":"Li","given":"Jiarong"},{"family":"Xu","given":"Siqing"},{"family":"Xiong","given":"Yuankang"},{"family":"Yang","given":"Ruipu"},{"family":"Cao","given":"Junji"},{"family":"Chen","given":"Jianmin"},{"family":"Wang","given":"Lin"},{"family":"Tang","given":"Xu"},{"family":"Zhang","given":"Renhe"}],"issued":{"date-parts":[["2023",7]]}}}],"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[20]</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，该值处于</w:t>
      </w:r>
      <w:r>
        <w:rPr>
          <w:rFonts w:ascii="Times New Roman" w:hAnsi="Times New Roman" w:eastAsia="宋体" w:cs="Times New Roman"/>
          <w:color w:val="000000" w:themeColor="text1"/>
          <w:szCs w:val="21"/>
          <w14:textFill>
            <w14:solidFill>
              <w14:schemeClr w14:val="tx1"/>
            </w14:solidFill>
          </w14:textFill>
        </w:rPr>
        <w:t>Enevoldsen</w:t>
      </w:r>
      <w:r>
        <w:rPr>
          <w:rFonts w:hint="default" w:ascii="Times New Roman" w:hAnsi="Times New Roman" w:eastAsia="宋体" w:cs="Times New Roman"/>
          <w:color w:val="000000" w:themeColor="text1"/>
          <w:szCs w:val="21"/>
          <w14:textFill>
            <w14:solidFill>
              <w14:schemeClr w14:val="tx1"/>
            </w14:solidFill>
          </w14:textFill>
        </w:rPr>
        <w:t>和</w:t>
      </w:r>
      <w:r>
        <w:rPr>
          <w:rFonts w:ascii="Times New Roman" w:hAnsi="Times New Roman" w:eastAsia="宋体" w:cs="Times New Roman"/>
          <w:color w:val="000000" w:themeColor="text1"/>
          <w:szCs w:val="21"/>
          <w14:textFill>
            <w14:solidFill>
              <w14:schemeClr w14:val="tx1"/>
            </w14:solidFill>
          </w14:textFill>
        </w:rPr>
        <w:t>Jacobson</w:t>
      </w:r>
      <w:r>
        <w:rPr>
          <w:rFonts w:hint="default" w:ascii="Times New Roman" w:hAnsi="Times New Roman" w:eastAsia="宋体" w:cs="Times New Roman"/>
          <w:color w:val="000000" w:themeColor="text1"/>
          <w:szCs w:val="21"/>
          <w14:textFill>
            <w14:solidFill>
              <w14:schemeClr w14:val="tx1"/>
            </w14:solidFill>
          </w14:textFill>
        </w:rPr>
        <w:t>基于全球实测风电场数据得出的陆上实际装机密度区间（</w:t>
      </w:r>
      <w:r>
        <w:rPr>
          <w:rFonts w:ascii="Times New Roman" w:hAnsi="Times New Roman" w:eastAsia="宋体" w:cs="Times New Roman"/>
          <w:color w:val="000000" w:themeColor="text1"/>
          <w:szCs w:val="21"/>
          <w14:textFill>
            <w14:solidFill>
              <w14:schemeClr w14:val="tx1"/>
            </w14:solidFill>
          </w14:textFill>
        </w:rPr>
        <w:t>2.0~4.0 M W·km</w:t>
      </w:r>
      <w:r>
        <w:rPr>
          <w:rFonts w:ascii="Times New Roman" w:hAnsi="Times New Roman" w:eastAsia="宋体" w:cs="Times New Roman"/>
          <w:color w:val="000000" w:themeColor="text1"/>
          <w:szCs w:val="21"/>
          <w:vertAlign w:val="superscript"/>
          <w14:textFill>
            <w14:solidFill>
              <w14:schemeClr w14:val="tx1"/>
            </w14:solidFill>
          </w14:textFill>
        </w:rPr>
        <w:t>-2</w:t>
      </w:r>
      <w:r>
        <w:rPr>
          <w:rFonts w:hint="default" w:ascii="Times New Roman" w:hAnsi="Times New Roman" w:eastAsia="宋体" w:cs="Times New Roman"/>
          <w:color w:val="000000" w:themeColor="text1"/>
          <w:szCs w:val="21"/>
          <w14:textFill>
            <w14:solidFill>
              <w14:schemeClr w14:val="tx1"/>
            </w14:solidFill>
          </w14:textFill>
        </w:rPr>
        <w:t>）之内</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{"citationID":"kkFUAM49","properties":{"unsorted":false,"formattedCitation":"\\super [21]\\nosupersub{}","plainCitation":"[21]","noteIndex":0},"citationItems":[{"id":"UgoaWSgH/PAw9iyRB","uris":["http://zotero.org/users/12506905/items/87LAGQBA"],"itemData":{"id":1978,"type":"article-journal","abstract":"Differing estimates have emerged about how much land or water area is used by existing wind farms and how much power can be obtained from that area. Whereas, no single unique method exists to define wind farm spacing area, the spacing area (thus installed and output power densities) of a wind farm can be determined in a way to meet specific logical criteria, This study proposes a new, intuitive, data based, automatized method of estimating spacing areas occupied by existing onshore and offshore wind farms worldwide. The method eliminates the erroneous counting of space outside of wind farm boundaries, space between clusters of turbines, and overlapping space that results when assuming a large fixed area around each turbine. At least one of three types of extra space has incorrectly been included in all calculations of wind farm areas to date. Unlike most previous methods, this method also ensures that the addition of a wind turbine to a farm increases the overall required spacing area of the farm. The study then uses data from over 1600 operating wind turbines in 16 onshore and 7 offshore wind farms in 13 countries across 5 continents during the period 2016–2018 to quantify installed and output power densities of these farms. Finally, it compares results with estimates from other studies. Results indicate that the mean (range) installed and output power densities of onshore wind farms in Europe are 19.8 (6.2–46.9) MW/km2 and 6.64 (2.3–8.2) W/m2, respectively; of onshore wind farms outside of Europe are similarly 20.5 (16.5–48) MW/km2 and 6.84 (4.81–11.2) W/m2, respectively; and of offshore wind farms in Europe are 7.2 (3.3–20.2) MW/km2 and 2.94 (1.15–6.32) W/m2, respectively. The mean capacity factors in each case are thus 33.5%, 33.4%, and 40.8%, respectively. These results indicate substantially higher installed and output power densities than previously reported, based simply on different definitions of land area, with no impact on capacity factor. Thus, existing wind turbines may extract more wind power over less land or water than previously thought.","container-title":"Energy for Sustainable Development","DOI":"10.1016/j.esd.2020.11.004","ISSN":"0973-0826","journalAbbreviation":"Energy for Sustainable Development","page":"40-51","source":"ScienceDirect","title":"Data investigation of installed and output power densities of onshore and offshore wind turbines worldwide","volume":"60","author":[{"family":"Enevoldsen","given":"Peter"},{"family":"Jacobson","given":"Mark Z."}],"issued":{"date-parts":[["2021",2,1]]}}}],"schema":"https://github.com/citation-style-language/schema/raw/master/csl-citation.json"}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[21]</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。综合考虑大尺度空间模拟中机组运维及管线损耗的宏观参数化需求</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{"citationID":"t0D3fqFr","properties":{"unsorted":false,"formattedCitation":"\\super [22]\\nosupersub{}","plainCitation":"[22]","noteIndex":0},"citationItems":[{"id":"UgoaWSgH/Q1SW0uRm","uris":["http://zotero.org/users/12506905/items/8IQVQCWG"],"itemData":{"id":1981,"type":"article-journal","abstract":"Several influential energy systems models (ESMs) indicate that renewable energy must supply a large share of the world's electricity to limit global temperature increases to 1.5 °C. To better represent the costs and other implications of such a transition, it is important that ESMs can realistically characterise the technical and economic potential of renewable energy resources. This paper presents a Geospatial Information System methodology for estimating the global offshore wind energy potential, i.e. the terawatt hour per year (TWh/yr) production potential of wind farms, assuming capacity could be built across the viable offshore area of each country. A bottom-up approach characterises the capacity factors of offshore wind farms by estimating the available wind power from high resolution global wind speed data sets. Temporal phenomena are retained by binning hourly wind speeds into 32 time slices per year considering the wind resource across several decades. For 157 countries with a viable offshore wind potential, electricity generation potential is produced in tranches according to the distance to grid connection, water depth and average annual capacity factor. These data can be used as inputs to ESMs and to assess the economically viable offshore wind energy potential, on a global or per-country basis.","container-title":"Energy","DOI":"10.1016/j.energy.2018.08.153","ISSN":"0360-5442","journalAbbreviation":"Energy","page":"766-781","source":"ScienceDirect","title":"Temporally explicit and spatially resolved global offshore wind energy potentials","volume":"163","author":[{"family":"Bosch","given":"Jonathan"},{"family":"Staffell","given":"Iain"},{"family":"Hawkes","given":"Adam D."}],"issued":{"date-parts":[["2018",11,15]]}}}],"schema":"https://github.com/citation-style-language/schema/raw/master/csl-citation.json"}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[22]</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，本研究设定风电能量转换效率</w:t>
      </w:r>
      <w:r>
        <w:rPr>
          <w:rFonts w:ascii="Times New Roman" w:hAnsi="Times New Roman" w:eastAsia="宋体" w:cs="Times New Roman"/>
          <w:i/>
          <w:iCs/>
          <w:color w:val="000000" w:themeColor="text1"/>
          <w:szCs w:val="21"/>
          <w14:textFill>
            <w14:solidFill>
              <w14:schemeClr w14:val="tx1"/>
            </w14:solidFill>
          </w14:textFill>
        </w:rPr>
        <w:t>U</w:t>
      </w:r>
      <w:r>
        <w:rPr>
          <w:rFonts w:ascii="Times New Roman" w:hAnsi="Times New Roman" w:eastAsia="宋体" w:cs="Times New Roman"/>
          <w:i/>
          <w:iCs/>
          <w:color w:val="000000" w:themeColor="text1"/>
          <w:szCs w:val="21"/>
          <w:vertAlign w:val="subscript"/>
          <w14:textFill>
            <w14:solidFill>
              <w14:schemeClr w14:val="tx1"/>
            </w14:solidFill>
          </w14:textFill>
        </w:rPr>
        <w:t>TI</w:t>
      </w:r>
      <w:r>
        <w:rPr>
          <w:rFonts w:ascii="Times New Roman" w:hAnsi="Times New Roman" w:eastAsia="宋体" w:cs="Times New Roman"/>
          <w:color w:val="000000" w:themeColor="text1"/>
          <w:szCs w:val="21"/>
          <w14:textFill>
            <w14:solidFill>
              <w14:schemeClr w14:val="tx1"/>
            </w14:solidFill>
          </w14:textFill>
        </w:rPr>
        <w:t xml:space="preserve"> = 0.95 </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{"citationID":"mUcyiqeA","properties":{"unsorted":false,"formattedCitation":"\\super [23]\\nosupersub{}","plainCitation":"[23]","noteIndex":0},"citationItems":[{"id":"UgoaWSgH/oGIHFows","uris":["http://zotero.org/users/12506905/items/MLLNWGZR"],"itemData":{"id":1984,"type":"article-journal","abstract":"Estimates of wind power potential are relevant for decision-making in energy policy and business. Such estimates are affected by several uncertain assumptions, most significantly related to wind turbine technology and land use. Here, we calculate the technical and economic onshore wind power potentials with the aim to evaluate the impact of such assumptions using the case-study area of Finland as an example. We show that the assumptions regarding turbine technology and land use policy are highly significant for the potential estimate. Modern turbines with lower specific ratings and greater hub heights improve the wind power potential considerably, even though it was assumed that the larger rotors decrease the installation density and increase the turbine investment costs. New technology also decreases the impact of strict land use policies. Uncertainty in estimating the cost of wind power technology limits the accuracy of assessing economic wind power potential.","container-title":"Nature Energy","DOI":"10.1038/s41560-018-0137-9","ISSN":"2058-7546","issue":"6","journalAbbreviation":"Nat Energy","language":"en","license":"2018 The Author(s)","page":"494-500","publisher":"Nature Publishing Group","source":"www.nature.com","title":"Effects of turbine technology and land use on wind power resource potential","volume":"3","author":[{"family":"Rinne","given":"Erkka"},{"family":"Holttinen","given":"Hannele"},{"family":"Kiviluoma","given":"Juha"},{"family":"Rissanen","given":"Simo"}],"issued":{"date-parts":[["2018",6]]}}}],"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[23]</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，风机阵列效率因子</w:t>
      </w:r>
      <w:r>
        <w:rPr>
          <w:rFonts w:ascii="Times New Roman" w:hAnsi="Times New Roman" w:eastAsia="宋体" w:cs="Times New Roman"/>
          <w:i/>
          <w:iCs/>
          <w:color w:val="000000" w:themeColor="text1"/>
          <w:szCs w:val="21"/>
          <w14:textFill>
            <w14:solidFill>
              <w14:schemeClr w14:val="tx1"/>
            </w14:solidFill>
          </w14:textFill>
        </w:rPr>
        <w:t>A</w:t>
      </w:r>
      <w:r>
        <w:rPr>
          <w:rFonts w:ascii="Times New Roman" w:hAnsi="Times New Roman" w:eastAsia="宋体" w:cs="Times New Roman"/>
          <w:i/>
          <w:iCs/>
          <w:color w:val="000000" w:themeColor="text1"/>
          <w:szCs w:val="21"/>
          <w:vertAlign w:val="subscript"/>
          <w14:textFill>
            <w14:solidFill>
              <w14:schemeClr w14:val="tx1"/>
            </w14:solidFill>
          </w14:textFill>
        </w:rPr>
        <w:t>RR</w:t>
      </w:r>
      <w:r>
        <w:rPr>
          <w:rFonts w:ascii="Times New Roman" w:hAnsi="Times New Roman" w:eastAsia="宋体" w:cs="Times New Roman"/>
          <w:color w:val="000000" w:themeColor="text1"/>
          <w:szCs w:val="21"/>
          <w14:textFill>
            <w14:solidFill>
              <w14:schemeClr w14:val="tx1"/>
            </w14:solidFill>
          </w14:textFill>
        </w:rPr>
        <w:t xml:space="preserve"> = 0.90 </w:t>
      </w:r>
      <w:r>
        <w:rPr>
          <w:rFonts w:ascii="Times New Roman" w:hAnsi="Times New Roman" w:eastAsia="宋体" w:cs="Times New Roman"/>
          <w:color w:val="000000" w:themeColor="text1"/>
          <w:szCs w:val="21"/>
          <w14:textFill>
            <w14:solidFill>
              <w14:schemeClr w14:val="tx1"/>
            </w14:solidFill>
          </w14:textFill>
        </w:rPr>
        <w:fldChar w:fldCharType="begin"/>
      </w:r>
      <w:r>
        <w:rPr>
          <w:rFonts w:ascii="Times New Roman" w:hAnsi="Times New Roman" w:eastAsia="宋体" w:cs="Times New Roman"/>
          <w:color w:val="000000" w:themeColor="text1"/>
          <w:szCs w:val="21"/>
          <w14:textFill>
            <w14:solidFill>
              <w14:schemeClr w14:val="tx1"/>
            </w14:solidFill>
          </w14:textFill>
        </w:rPr>
        <w:instrText xml:space="preserve"> ADDIN ZOTERO_ITEM CSL_CITATION {"citationID":"cLhq8k1N","properties":{"unsorted":false,"formattedCitation":"\\super [23]\\nosupersub{}","plainCitation":"[23]","noteIndex":0},"citationItems":[{"id":"UgoaWSgH/oGIHFows","uris":["http://zotero.org/users/12506905/items/MLLNWGZR"],"itemData":{"id":1984,"type":"article-journal","abstract":"Estimates of wind power potential are relevant for decision-making in energy policy and business. Such estimates are affected by several uncertain assumptions, most significantly related to wind turbine technology and land use. Here, we calculate the technical and economic onshore wind power potentials with the aim to evaluate the impact of such assumptions using the case-study area of Finland as an example. We show that the assumptions regarding turbine technology and land use policy are highly significant for the potential estimate. Modern turbines with lower specific ratings and greater hub heights improve the wind power potential considerably, even though it was assumed that the larger rotors decrease the installation density and increase the turbine investment costs. New technology also decreases the impact of strict land use policies. Uncertainty in estimating the cost of wind power technology limits the accuracy of assessing economic wind power potential.","container-title":"Nature Energy","DOI":"10.1038/s41560-018-0137-9","ISSN":"2058-7546","issue":"6","journalAbbreviation":"Nat Energy","language":"en","license":"2018 The Author(s)","page":"494-500","publisher":"Nature Publishing Group","source":"www.nature.com","title":"Effects of turbine technology and land use on wind power resource potential","volume":"3","author":[{"family":"Rinne","given":"Erkka"},{"family":"Holttinen","given":"Hannele"},{"family":"Kiviluoma","given":"Juha"},{"family":"Rissanen","given":"Simo"}],"issued":{"date-parts":[["2018",6]]}}}],"schema":"https://github.com/citation-style-language/schema/raw/master/csl-citation.json"} </w:instrText>
      </w:r>
      <w:r>
        <w:rPr>
          <w:rFonts w:ascii="Times New Roman" w:hAnsi="Times New Roman" w:eastAsia="宋体" w:cs="Times New Roman"/>
          <w:color w:val="000000" w:themeColor="text1"/>
          <w:szCs w:val="21"/>
          <w14:textFill>
            <w14:solidFill>
              <w14:schemeClr w14:val="tx1"/>
            </w14:solidFill>
          </w14:textFill>
        </w:rPr>
        <w:fldChar w:fldCharType="separate"/>
      </w:r>
      <w:r>
        <w:rPr>
          <w:rFonts w:ascii="Times New Roman" w:hAnsi="Times New Roman" w:cs="Times New Roman"/>
          <w:szCs w:val="24"/>
          <w:vertAlign w:val="superscript"/>
        </w:rPr>
        <w:t>[23]</w:t>
      </w:r>
      <w:r>
        <w:rPr>
          <w:rFonts w:ascii="Times New Roman" w:hAnsi="Times New Roman" w:eastAsia="宋体" w:cs="Times New Roman"/>
          <w:color w:val="000000" w:themeColor="text1"/>
          <w:szCs w:val="21"/>
          <w14:textFill>
            <w14:solidFill>
              <w14:schemeClr w14:val="tx1"/>
            </w14:solidFill>
          </w14:textFill>
        </w:rPr>
        <w:fldChar w:fldCharType="end"/>
      </w:r>
      <w:r>
        <w:rPr>
          <w:rFonts w:hint="default" w:ascii="Times New Roman" w:hAnsi="Times New Roman" w:eastAsia="宋体" w:cs="Times New Roman"/>
          <w:color w:val="000000" w:themeColor="text1"/>
          <w:szCs w:val="21"/>
          <w14:textFill>
            <w14:solidFill>
              <w14:schemeClr w14:val="tx1"/>
            </w14:solidFill>
          </w14:textFill>
        </w:rPr>
        <w:t>，最终将单机期望电量转换为单位面积土地上的逐日风能发电潜力</w:t>
      </w:r>
      <w:r>
        <w:rPr>
          <w:rFonts w:ascii="Times New Roman" w:hAnsi="Times New Roman" w:eastAsia="宋体" w:cs="Times New Roman"/>
          <w:i/>
          <w:iCs/>
          <w:color w:val="000000" w:themeColor="text1"/>
          <w:szCs w:val="21"/>
          <w14:textFill>
            <w14:solidFill>
              <w14:schemeClr w14:val="tx1"/>
            </w14:solidFill>
          </w14:textFill>
        </w:rPr>
        <w:t>P</w:t>
      </w:r>
      <w:r>
        <w:rPr>
          <w:rFonts w:ascii="Times New Roman" w:hAnsi="Times New Roman" w:eastAsia="宋体" w:cs="Times New Roman"/>
          <w:i/>
          <w:iCs/>
          <w:color w:val="000000" w:themeColor="text1"/>
          <w:szCs w:val="21"/>
          <w:vertAlign w:val="subscript"/>
          <w14:textFill>
            <w14:solidFill>
              <w14:schemeClr w14:val="tx1"/>
            </w14:solidFill>
          </w14:textFill>
        </w:rPr>
        <w:t>wind</w:t>
      </w:r>
      <w:r>
        <w:rPr>
          <w:rFonts w:hint="default" w:ascii="Times New Roman" w:hAnsi="Times New Roman" w:eastAsia="宋体" w:cs="Times New Roman"/>
          <w:color w:val="000000" w:themeColor="text1"/>
          <w:szCs w:val="21"/>
          <w14:textFill>
            <w14:solidFill>
              <w14:schemeClr w14:val="tx1"/>
            </w14:solidFill>
          </w14:textFill>
        </w:rPr>
        <w:t>（单位：</w:t>
      </w:r>
      <w:r>
        <w:rPr>
          <w:rFonts w:ascii="Times New Roman" w:hAnsi="Times New Roman" w:eastAsia="宋体" w:cs="Times New Roman"/>
          <w:color w:val="000000" w:themeColor="text1"/>
          <w:szCs w:val="21"/>
          <w14:textFill>
            <w14:solidFill>
              <w14:schemeClr w14:val="tx1"/>
            </w14:solidFill>
          </w14:textFill>
        </w:rPr>
        <w:t>kWh</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m</w:t>
      </w:r>
      <w:r>
        <w:rPr>
          <w:rFonts w:ascii="Times New Roman" w:hAnsi="Times New Roman" w:eastAsia="宋体" w:cs="Times New Roman"/>
          <w:color w:val="000000" w:themeColor="text1"/>
          <w:szCs w:val="21"/>
          <w:vertAlign w:val="superscript"/>
          <w14:textFill>
            <w14:solidFill>
              <w14:schemeClr w14:val="tx1"/>
            </w14:solidFill>
          </w14:textFill>
        </w:rPr>
        <w:t>-2</w:t>
      </w:r>
      <w:r>
        <w:rPr>
          <w:rFonts w:hint="default" w:ascii="Times New Roman" w:hAnsi="Times New Roman" w:eastAsia="宋体" w:cs="Times New Roman"/>
          <w:color w:val="000000" w:themeColor="text1"/>
          <w:szCs w:val="21"/>
          <w14:textFill>
            <w14:solidFill>
              <w14:schemeClr w14:val="tx1"/>
            </w14:solidFill>
          </w14:textFill>
        </w:rPr>
        <w:t>），详见数据与方法部分（公式</w:t>
      </w:r>
      <w:r>
        <w:rPr>
          <w:rFonts w:ascii="Times New Roman" w:hAnsi="Times New Roman" w:eastAsia="宋体" w:cs="Times New Roman"/>
          <w:color w:val="000000" w:themeColor="text1"/>
          <w:szCs w:val="21"/>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w:t>
      </w:r>
    </w:p>
    <w:p w14:paraId="57D66AC0">
      <w:pPr>
        <w:widowControl/>
        <w:adjustRightInd w:val="0"/>
        <w:spacing w:after="120" w:line="300" w:lineRule="auto"/>
        <w:outlineLvl w:val="1"/>
        <w:rPr>
          <w:rFonts w:ascii="Times New Roman" w:hAnsi="Times New Roman" w:eastAsia="黑体" w:cs="Times New Roman"/>
          <w:b/>
          <w:bCs/>
          <w:color w:val="000000" w:themeColor="text1"/>
          <w:szCs w:val="21"/>
          <w14:textFill>
            <w14:solidFill>
              <w14:schemeClr w14:val="tx1"/>
            </w14:solidFill>
          </w14:textFill>
        </w:rPr>
      </w:pPr>
      <w:r>
        <w:rPr>
          <w:rFonts w:ascii="Times New Roman" w:hAnsi="Times New Roman" w:eastAsia="黑体" w:cs="Times New Roman"/>
          <w:b/>
          <w:bCs/>
          <w:color w:val="000000" w:themeColor="text1"/>
          <w:szCs w:val="21"/>
          <w14:textFill>
            <w14:solidFill>
              <w14:schemeClr w14:val="tx1"/>
            </w14:solidFill>
          </w14:textFill>
        </w:rPr>
        <w:t xml:space="preserve">1.3 </w:t>
      </w:r>
      <w:r>
        <w:rPr>
          <w:rFonts w:hint="default" w:ascii="Times New Roman" w:hAnsi="Times New Roman" w:eastAsia="黑体" w:cs="Times New Roman"/>
          <w:b/>
          <w:bCs/>
          <w:color w:val="000000" w:themeColor="text1"/>
          <w:szCs w:val="21"/>
          <w14:textFill>
            <w14:solidFill>
              <w14:schemeClr w14:val="tx1"/>
            </w14:solidFill>
          </w14:textFill>
        </w:rPr>
        <w:t>风险区划分标准</w:t>
      </w:r>
    </w:p>
    <w:p w14:paraId="57CA2C4D">
      <w:pPr>
        <w:widowControl/>
        <w:adjustRightInd w:val="0"/>
        <w:spacing w:after="120" w:line="300" w:lineRule="auto"/>
        <w:rPr>
          <w:rFonts w:ascii="Times New Roman" w:hAnsi="Times New Roman" w:eastAsia="宋体" w:cs="Times New Roman"/>
          <w:b/>
          <w:bCs/>
          <w:color w:val="000000" w:themeColor="text1"/>
          <w:szCs w:val="21"/>
          <w14:textFill>
            <w14:solidFill>
              <w14:schemeClr w14:val="tx1"/>
            </w14:solidFill>
          </w14:textFill>
        </w:rPr>
      </w:pPr>
      <w:r>
        <w:rPr>
          <w:rFonts w:ascii="Times New Roman" w:hAnsi="Times New Roman" w:eastAsia="宋体" w:cs="Times New Roman"/>
          <w:b/>
          <w:bCs/>
          <w:color w:val="000000" w:themeColor="text1"/>
          <w:szCs w:val="21"/>
          <w14:textFill>
            <w14:solidFill>
              <w14:schemeClr w14:val="tx1"/>
            </w14:solidFill>
          </w14:textFill>
        </w:rPr>
        <w:t>1</w:t>
      </w:r>
      <w:r>
        <w:rPr>
          <w:rFonts w:hint="default" w:ascii="Times New Roman" w:hAnsi="Times New Roman" w:eastAsia="宋体" w:cs="Times New Roman"/>
          <w:b/>
          <w:bCs/>
          <w:color w:val="000000" w:themeColor="text1"/>
          <w:szCs w:val="21"/>
          <w14:textFill>
            <w14:solidFill>
              <w14:schemeClr w14:val="tx1"/>
            </w14:solidFill>
          </w14:textFill>
        </w:rPr>
        <w:t>）指标体系构建</w:t>
      </w:r>
    </w:p>
    <w:p w14:paraId="02127D0A">
      <w:pPr>
        <w:pStyle w:val="57"/>
        <w:adjustRightInd w:val="0"/>
        <w:spacing w:line="300" w:lineRule="auto"/>
        <w:ind w:left="0" w:right="0" w:firstLine="420" w:firstLineChars="200"/>
        <w:jc w:val="both"/>
        <w:rPr>
          <w:kern w:val="0"/>
          <w:sz w:val="21"/>
          <w:szCs w:val="21"/>
        </w:rPr>
      </w:pPr>
      <w:r>
        <w:rPr>
          <w:rFonts w:hint="default"/>
          <w:color w:val="000000" w:themeColor="text1"/>
          <w:sz w:val="21"/>
          <w:szCs w:val="21"/>
          <w14:textFill>
            <w14:solidFill>
              <w14:schemeClr w14:val="tx1"/>
            </w14:solidFill>
          </w14:textFill>
        </w:rPr>
        <w:t>本研究借鉴多能源系统不确定性与气候风险评估的理论框架</w:t>
      </w:r>
      <w:r>
        <w:rPr>
          <w:rFonts w:hint="default"/>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 xml:space="preserve"> ADDIN ZOTERO_ITEM CSL_CITATION {"citationID":"KOZLzQiH","properties":{"unsorted":false,"formattedCitation":"\\super [24]\\nosupersub{}","plainCitation":"[24]","noteIndex":0},"citationItems":[{"id":761,"uris":["http://zotero.org/users/18711966/items/PJ72I9ZE"],"itemData":{"id":761,"type":"article-journal","abstract":"Estimation errors have constantly been a technology bother for wind power management, often time with deviations of actual power curve (APC) from the turbine power curve (TPC). Power output dispersion for an operational 800 kW turbine was analyzed using three averaging tine steps of 1-min, 5-min, and 15-min. The error between the APC and TPC in kWh was about 25% on average, irrespective of the time of the day, although higher magnitudes of error were observed during low wind speeds and poor wind conditions. The 15-min averaged time series proved more suitable for grid management and energy load scheduling, but the error margin was still a major concern. An effective power curve (EPC) based on the polynomial parametric wind turbine power curve modeling technique was calibrated using turbine and site-specific performance data. The EPC reduced estimation error to about 3% in the aforementioned time series during very good wind conditions. By integrating statistical wind speed forecasting methods and site-specific EPCs, wind power forecasting and management can be significantly improved without compromising grid stability.","container-title":"Energies","DOI":"10.3390/en11081992","ISSN":"1996-1073","issue":"8","journalAbbreviation":"Energies","language":"en","license":"http://creativecommons.org/licenses/by/3.0/","page":"1992","publisher":"Multidisciplinary Digital Publishing Institute","source":"www.mdpi.com","title":"Assessment and performance evaluation of a wind turbine power output","volume":"11","author":[{"family":"Abolude","given":"Akintayo Temiloluwa"},{"family":"Zhou","given":"Wen"}],"issued":{"date-parts":[["2018",8]]}}}],"schema":"https://github.com/citation-style-language/schema/raw/master/csl-citation.json"} </w:instrText>
      </w:r>
      <w:r>
        <w:rPr>
          <w:rFonts w:hint="default"/>
          <w:color w:val="000000" w:themeColor="text1"/>
          <w:szCs w:val="21"/>
          <w14:textFill>
            <w14:solidFill>
              <w14:schemeClr w14:val="tx1"/>
            </w14:solidFill>
          </w14:textFill>
        </w:rPr>
        <w:fldChar w:fldCharType="separate"/>
      </w:r>
      <w:r>
        <w:rPr>
          <w:szCs w:val="24"/>
          <w:vertAlign w:val="superscript"/>
        </w:rPr>
        <w:t>[24]</w:t>
      </w:r>
      <w:r>
        <w:rPr>
          <w:rFonts w:hint="default"/>
          <w:color w:val="000000" w:themeColor="text1"/>
          <w:szCs w:val="21"/>
          <w14:textFill>
            <w14:solidFill>
              <w14:schemeClr w14:val="tx1"/>
            </w14:solidFill>
          </w14:textFill>
        </w:rPr>
        <w:fldChar w:fldCharType="end"/>
      </w:r>
      <w:r>
        <w:rPr>
          <w:rFonts w:hint="default"/>
          <w:color w:val="000000" w:themeColor="text1"/>
          <w:sz w:val="21"/>
          <w:szCs w:val="21"/>
          <w14:textFill>
            <w14:solidFill>
              <w14:schemeClr w14:val="tx1"/>
            </w14:solidFill>
          </w14:textFill>
        </w:rPr>
        <w:t>，综合选取六个关键指标，均以相对变化百分比（</w:t>
      </w:r>
      <w:r>
        <w:rPr>
          <w:color w:val="000000" w:themeColor="text1"/>
          <w:sz w:val="21"/>
          <w:szCs w:val="21"/>
          <w14:textFill>
            <w14:solidFill>
              <w14:schemeClr w14:val="tx1"/>
            </w14:solidFill>
          </w14:textFill>
        </w:rPr>
        <w:t>RC</w:t>
      </w:r>
      <w:r>
        <w:rPr>
          <w:rFonts w:hint="default"/>
          <w:color w:val="000000" w:themeColor="text1"/>
          <w:sz w:val="21"/>
          <w:szCs w:val="21"/>
          <w14:textFill>
            <w14:solidFill>
              <w14:schemeClr w14:val="tx1"/>
            </w14:solidFill>
          </w14:textFill>
        </w:rPr>
        <w:t>）表示，</w:t>
      </w:r>
      <w:r>
        <w:rPr>
          <w:rFonts w:hint="default"/>
          <w:kern w:val="0"/>
          <w:sz w:val="21"/>
          <w:szCs w:val="21"/>
        </w:rPr>
        <w:t>计算公式为：</w:t>
      </w:r>
    </w:p>
    <w:p w14:paraId="1A538DCD">
      <w:pPr>
        <w:pStyle w:val="57"/>
        <w:adjustRightInd w:val="0"/>
        <w:spacing w:line="300" w:lineRule="auto"/>
        <w:ind w:left="0" w:right="0"/>
        <w:jc w:val="right"/>
        <w:rPr>
          <w:kern w:val="0"/>
          <w:sz w:val="21"/>
          <w:szCs w:val="21"/>
        </w:rPr>
      </w:pPr>
      <m:oMath>
        <m:r>
          <m:rPr/>
          <w:rPr>
            <w:rFonts w:ascii="Cambria Math" w:hAnsi="Cambria Math"/>
            <w:sz w:val="21"/>
          </w:rPr>
          <m:t>RC=</m:t>
        </m:r>
        <m:f>
          <m:fPr>
            <m:ctrlPr>
              <w:rPr>
                <w:rFonts w:ascii="Cambria Math" w:hAnsi="Cambria Math"/>
                <w:sz w:val="21"/>
              </w:rPr>
            </m:ctrlPr>
          </m:fPr>
          <m:num>
            <m:sSub>
              <m:sSubPr>
                <m:ctrlPr>
                  <w:rPr>
                    <w:rFonts w:ascii="Cambria Math" w:hAnsi="Cambria Math"/>
                    <w:sz w:val="21"/>
                  </w:rPr>
                </m:ctrlPr>
              </m:sSubPr>
              <m:e>
                <m:r>
                  <m:rPr/>
                  <w:rPr>
                    <w:rFonts w:ascii="Cambria Math" w:hAnsi="Cambria Math"/>
                    <w:sz w:val="21"/>
                  </w:rPr>
                  <m:t>X</m:t>
                </m:r>
                <m:ctrlPr>
                  <w:rPr>
                    <w:rFonts w:ascii="Cambria Math" w:hAnsi="Cambria Math"/>
                    <w:sz w:val="21"/>
                  </w:rPr>
                </m:ctrlPr>
              </m:e>
              <m:sub>
                <m:r>
                  <m:rPr/>
                  <w:rPr>
                    <w:rFonts w:ascii="Cambria Math" w:hAnsi="Cambria Math"/>
                    <w:sz w:val="21"/>
                  </w:rPr>
                  <m:t>future</m:t>
                </m:r>
                <m:ctrlPr>
                  <w:rPr>
                    <w:rFonts w:ascii="Cambria Math" w:hAnsi="Cambria Math"/>
                    <w:sz w:val="21"/>
                  </w:rPr>
                </m:ctrlPr>
              </m:sub>
            </m:sSub>
            <m:r>
              <m:rPr/>
              <w:rPr>
                <w:rFonts w:ascii="Cambria Math" w:hAnsi="Cambria Math"/>
                <w:sz w:val="21"/>
              </w:rPr>
              <m:t>−</m:t>
            </m:r>
            <m:sSub>
              <m:sSubPr>
                <m:ctrlPr>
                  <w:rPr>
                    <w:rFonts w:ascii="Cambria Math" w:hAnsi="Cambria Math"/>
                    <w:sz w:val="21"/>
                  </w:rPr>
                </m:ctrlPr>
              </m:sSubPr>
              <m:e>
                <m:r>
                  <m:rPr/>
                  <w:rPr>
                    <w:rFonts w:ascii="Cambria Math" w:hAnsi="Cambria Math"/>
                    <w:sz w:val="21"/>
                  </w:rPr>
                  <m:t>X</m:t>
                </m:r>
                <m:ctrlPr>
                  <w:rPr>
                    <w:rFonts w:ascii="Cambria Math" w:hAnsi="Cambria Math"/>
                    <w:sz w:val="21"/>
                  </w:rPr>
                </m:ctrlPr>
              </m:e>
              <m:sub>
                <m:r>
                  <m:rPr/>
                  <w:rPr>
                    <w:rFonts w:ascii="Cambria Math" w:hAnsi="Cambria Math"/>
                    <w:sz w:val="21"/>
                  </w:rPr>
                  <m:t>history</m:t>
                </m:r>
                <m:ctrlPr>
                  <w:rPr>
                    <w:rFonts w:ascii="Cambria Math" w:hAnsi="Cambria Math"/>
                    <w:sz w:val="21"/>
                  </w:rPr>
                </m:ctrlPr>
              </m:sub>
            </m:sSub>
            <m:ctrlPr>
              <w:rPr>
                <w:rFonts w:ascii="Cambria Math" w:hAnsi="Cambria Math"/>
                <w:sz w:val="21"/>
              </w:rPr>
            </m:ctrlPr>
          </m:num>
          <m:den>
            <m:sSub>
              <m:sSubPr>
                <m:ctrlPr>
                  <w:rPr>
                    <w:rFonts w:ascii="Cambria Math" w:hAnsi="Cambria Math"/>
                    <w:sz w:val="21"/>
                  </w:rPr>
                </m:ctrlPr>
              </m:sSubPr>
              <m:e>
                <m:r>
                  <m:rPr/>
                  <w:rPr>
                    <w:rFonts w:ascii="Cambria Math" w:hAnsi="Cambria Math"/>
                    <w:sz w:val="21"/>
                  </w:rPr>
                  <m:t>X</m:t>
                </m:r>
                <m:ctrlPr>
                  <w:rPr>
                    <w:rFonts w:ascii="Cambria Math" w:hAnsi="Cambria Math"/>
                    <w:sz w:val="21"/>
                  </w:rPr>
                </m:ctrlPr>
              </m:e>
              <m:sub>
                <m:r>
                  <m:rPr/>
                  <w:rPr>
                    <w:rFonts w:ascii="Cambria Math" w:hAnsi="Cambria Math"/>
                    <w:sz w:val="21"/>
                  </w:rPr>
                  <m:t>history</m:t>
                </m:r>
                <m:ctrlPr>
                  <w:rPr>
                    <w:rFonts w:ascii="Cambria Math" w:hAnsi="Cambria Math"/>
                    <w:sz w:val="21"/>
                  </w:rPr>
                </m:ctrlPr>
              </m:sub>
            </m:sSub>
            <m:ctrlPr>
              <w:rPr>
                <w:rFonts w:ascii="Cambria Math" w:hAnsi="Cambria Math"/>
                <w:sz w:val="21"/>
              </w:rPr>
            </m:ctrlPr>
          </m:den>
        </m:f>
        <m:r>
          <m:rPr/>
          <w:rPr>
            <w:rFonts w:ascii="Cambria Math" w:hAnsi="Cambria Math"/>
            <w:sz w:val="21"/>
          </w:rPr>
          <m:t>×100%</m:t>
        </m:r>
      </m:oMath>
      <w:r>
        <w:rPr>
          <w:kern w:val="0"/>
          <w:sz w:val="21"/>
          <w:szCs w:val="21"/>
        </w:rPr>
        <w:t xml:space="preserve">                   </w:t>
      </w:r>
      <w:r>
        <w:rPr>
          <w:rFonts w:hint="default"/>
          <w:kern w:val="0"/>
          <w:sz w:val="21"/>
          <w:szCs w:val="21"/>
        </w:rPr>
        <w:t>（公式</w:t>
      </w:r>
      <w:r>
        <w:rPr>
          <w:kern w:val="0"/>
          <w:sz w:val="21"/>
          <w:szCs w:val="21"/>
        </w:rPr>
        <w:t>4</w:t>
      </w:r>
      <w:r>
        <w:rPr>
          <w:rFonts w:hint="default"/>
          <w:kern w:val="0"/>
          <w:sz w:val="21"/>
          <w:szCs w:val="21"/>
        </w:rPr>
        <w:t>）</w:t>
      </w:r>
    </w:p>
    <w:p w14:paraId="1273A88D">
      <w:pPr>
        <w:pStyle w:val="57"/>
        <w:adjustRightInd w:val="0"/>
        <w:spacing w:line="300" w:lineRule="auto"/>
        <w:ind w:left="0" w:right="0" w:firstLine="420" w:firstLineChars="200"/>
        <w:jc w:val="both"/>
        <w:rPr>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1</w:t>
      </w:r>
      <w:r>
        <w:rPr>
          <w:rFonts w:hint="default"/>
          <w:color w:val="000000" w:themeColor="text1"/>
          <w:sz w:val="21"/>
          <w:szCs w:val="21"/>
          <w14:textFill>
            <w14:solidFill>
              <w14:schemeClr w14:val="tx1"/>
            </w14:solidFill>
          </w14:textFill>
        </w:rPr>
        <w:t>）发电潜力的年际相对变化（</w:t>
      </w:r>
      <w:r>
        <w:rPr>
          <w:color w:val="000000" w:themeColor="text1"/>
          <w:sz w:val="21"/>
          <w:szCs w:val="21"/>
          <w14:textFill>
            <w14:solidFill>
              <w14:schemeClr w14:val="tx1"/>
            </w14:solidFill>
          </w14:textFill>
        </w:rPr>
        <w:t>%</w:t>
      </w:r>
      <w:r>
        <w:rPr>
          <w:rFonts w:hint="default"/>
          <w:color w:val="000000" w:themeColor="text1"/>
          <w:sz w:val="21"/>
          <w:szCs w:val="21"/>
          <w14:textFill>
            <w14:solidFill>
              <w14:schemeClr w14:val="tx1"/>
            </w14:solidFill>
          </w14:textFill>
        </w:rPr>
        <w:t>），即未来时期多年均值相对于历史时期的变化幅度。评估时取绝对值，因为无论大幅下降还是大幅上升，均意味着与当前规划预期的巨大偏差，表征气候变暖对风光资源长期平均供给能力的影响。</w:t>
      </w:r>
    </w:p>
    <w:p w14:paraId="7A15E0BE">
      <w:pPr>
        <w:pStyle w:val="57"/>
        <w:adjustRightInd w:val="0"/>
        <w:spacing w:line="300" w:lineRule="auto"/>
        <w:ind w:left="0" w:right="0" w:firstLine="420" w:firstLineChars="200"/>
        <w:jc w:val="both"/>
        <w:rPr>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2</w:t>
      </w:r>
      <w:r>
        <w:rPr>
          <w:rFonts w:hint="default"/>
          <w:color w:val="000000" w:themeColor="text1"/>
          <w:sz w:val="21"/>
          <w:szCs w:val="21"/>
          <w14:textFill>
            <w14:solidFill>
              <w14:schemeClr w14:val="tx1"/>
            </w14:solidFill>
          </w14:textFill>
        </w:rPr>
        <w:t>）年内波动性（</w:t>
      </w:r>
      <w:r>
        <w:rPr>
          <w:color w:val="000000" w:themeColor="text1"/>
          <w:sz w:val="21"/>
          <w:szCs w:val="21"/>
          <w14:textFill>
            <w14:solidFill>
              <w14:schemeClr w14:val="tx1"/>
            </w14:solidFill>
          </w14:textFill>
        </w:rPr>
        <w:t>CV</w:t>
      </w:r>
      <w:r>
        <w:rPr>
          <w:rFonts w:hint="default"/>
          <w:color w:val="000000" w:themeColor="text1"/>
          <w:sz w:val="21"/>
          <w:szCs w:val="21"/>
          <w14:textFill>
            <w14:solidFill>
              <w14:schemeClr w14:val="tx1"/>
            </w14:solidFill>
          </w14:textFill>
        </w:rPr>
        <w:t>）的相对变化（</w:t>
      </w:r>
      <w:r>
        <w:rPr>
          <w:color w:val="000000" w:themeColor="text1"/>
          <w:sz w:val="21"/>
          <w:szCs w:val="21"/>
          <w14:textFill>
            <w14:solidFill>
              <w14:schemeClr w14:val="tx1"/>
            </w14:solidFill>
          </w14:textFill>
        </w:rPr>
        <w:t>%</w:t>
      </w:r>
      <w:r>
        <w:rPr>
          <w:rFonts w:hint="default"/>
          <w:color w:val="000000" w:themeColor="text1"/>
          <w:sz w:val="21"/>
          <w:szCs w:val="21"/>
          <w14:textFill>
            <w14:solidFill>
              <w14:schemeClr w14:val="tx1"/>
            </w14:solidFill>
          </w14:textFill>
        </w:rPr>
        <w:t>），取原值。正值表示出力波动加剧、风险增加，负值表示波动减弱、风险降低，表征发电出力在季节尺度上的稳定性变化。</w:t>
      </w:r>
    </w:p>
    <w:p w14:paraId="345BC9B7">
      <w:pPr>
        <w:pStyle w:val="57"/>
        <w:adjustRightInd w:val="0"/>
        <w:spacing w:line="300" w:lineRule="auto"/>
        <w:ind w:left="0" w:right="0" w:firstLine="420" w:firstLineChars="200"/>
        <w:jc w:val="both"/>
        <w:rPr>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3</w:t>
      </w:r>
      <w:r>
        <w:rPr>
          <w:rFonts w:hint="default"/>
          <w:color w:val="000000" w:themeColor="text1"/>
          <w:sz w:val="21"/>
          <w:szCs w:val="21"/>
          <w14:textFill>
            <w14:solidFill>
              <w14:schemeClr w14:val="tx1"/>
            </w14:solidFill>
          </w14:textFill>
        </w:rPr>
        <w:t>）极端低发电潜力日频率的相对变化（</w:t>
      </w:r>
      <w:r>
        <w:rPr>
          <w:color w:val="000000" w:themeColor="text1"/>
          <w:sz w:val="21"/>
          <w:szCs w:val="21"/>
          <w14:textFill>
            <w14:solidFill>
              <w14:schemeClr w14:val="tx1"/>
            </w14:solidFill>
          </w14:textFill>
        </w:rPr>
        <w:t>%</w:t>
      </w:r>
      <w:r>
        <w:rPr>
          <w:rFonts w:hint="default"/>
          <w:color w:val="000000" w:themeColor="text1"/>
          <w:sz w:val="21"/>
          <w:szCs w:val="21"/>
          <w14:textFill>
            <w14:solidFill>
              <w14:schemeClr w14:val="tx1"/>
            </w14:solidFill>
          </w14:textFill>
        </w:rPr>
        <w:t>），取原值。正值表示极端短缺事件增多、供应中断风险增加，负值表示减少、风险降低，表征日尺度极端短缺事件的发生风险。</w:t>
      </w:r>
    </w:p>
    <w:p w14:paraId="40565283">
      <w:pPr>
        <w:pStyle w:val="57"/>
        <w:adjustRightInd w:val="0"/>
        <w:spacing w:line="300" w:lineRule="auto"/>
        <w:ind w:left="0" w:right="0" w:firstLine="420" w:firstLineChars="200"/>
        <w:jc w:val="both"/>
        <w:rPr>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4</w:t>
      </w:r>
      <w:r>
        <w:rPr>
          <w:rFonts w:hint="default"/>
          <w:color w:val="000000" w:themeColor="text1"/>
          <w:sz w:val="21"/>
          <w:szCs w:val="21"/>
          <w14:textFill>
            <w14:solidFill>
              <w14:schemeClr w14:val="tx1"/>
            </w14:solidFill>
          </w14:textFill>
        </w:rPr>
        <w:t>）极端高发电潜力日频率的相对变化（</w:t>
      </w:r>
      <w:r>
        <w:rPr>
          <w:color w:val="000000" w:themeColor="text1"/>
          <w:sz w:val="21"/>
          <w:szCs w:val="21"/>
          <w14:textFill>
            <w14:solidFill>
              <w14:schemeClr w14:val="tx1"/>
            </w14:solidFill>
          </w14:textFill>
        </w:rPr>
        <w:t>%</w:t>
      </w:r>
      <w:r>
        <w:rPr>
          <w:rFonts w:hint="default"/>
          <w:color w:val="000000" w:themeColor="text1"/>
          <w:sz w:val="21"/>
          <w:szCs w:val="21"/>
          <w14:textFill>
            <w14:solidFill>
              <w14:schemeClr w14:val="tx1"/>
            </w14:solidFill>
          </w14:textFill>
        </w:rPr>
        <w:t>），取原值。正值表示极端盈余事件增多、弃电风险及系统调节压力增大，负值表示减少、风险降低，表征日尺度极端过剩事件的发生风险。</w:t>
      </w:r>
    </w:p>
    <w:p w14:paraId="4AA84E0C">
      <w:pPr>
        <w:pStyle w:val="57"/>
        <w:adjustRightInd w:val="0"/>
        <w:spacing w:line="300" w:lineRule="auto"/>
        <w:ind w:left="0" w:right="0" w:firstLine="420" w:firstLineChars="200"/>
        <w:jc w:val="both"/>
        <w:rPr>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5</w:t>
      </w:r>
      <w:r>
        <w:rPr>
          <w:rFonts w:hint="default"/>
          <w:color w:val="000000" w:themeColor="text1"/>
          <w:sz w:val="21"/>
          <w:szCs w:val="21"/>
          <w14:textFill>
            <w14:solidFill>
              <w14:schemeClr w14:val="tx1"/>
            </w14:solidFill>
          </w14:textFill>
        </w:rPr>
        <w:t>）急升事件频率的相对变化（</w:t>
      </w:r>
      <w:r>
        <w:rPr>
          <w:color w:val="000000" w:themeColor="text1"/>
          <w:sz w:val="21"/>
          <w:szCs w:val="21"/>
          <w14:textFill>
            <w14:solidFill>
              <w14:schemeClr w14:val="tx1"/>
            </w14:solidFill>
          </w14:textFill>
        </w:rPr>
        <w:t>%</w:t>
      </w:r>
      <w:r>
        <w:rPr>
          <w:rFonts w:hint="default"/>
          <w:color w:val="000000" w:themeColor="text1"/>
          <w:sz w:val="21"/>
          <w:szCs w:val="21"/>
          <w14:textFill>
            <w14:solidFill>
              <w14:schemeClr w14:val="tx1"/>
            </w14:solidFill>
          </w14:textFill>
        </w:rPr>
        <w:t>），取原值。正值表示发电功率向上突变加剧、对电网瞬时消纳能力的要求提高，负值表示减弱，表征日际尺度的向上突变风险。</w:t>
      </w:r>
    </w:p>
    <w:p w14:paraId="35C6EFC3">
      <w:pPr>
        <w:pStyle w:val="57"/>
        <w:adjustRightInd w:val="0"/>
        <w:spacing w:line="300" w:lineRule="auto"/>
        <w:ind w:left="0" w:right="0" w:firstLine="420" w:firstLineChars="200"/>
        <w:jc w:val="both"/>
        <w:rPr>
          <w:color w:val="000000" w:themeColor="text1"/>
          <w:sz w:val="21"/>
          <w:szCs w:val="21"/>
          <w14:textFill>
            <w14:solidFill>
              <w14:schemeClr w14:val="tx1"/>
            </w14:solidFill>
          </w14:textFill>
        </w:rPr>
      </w:pPr>
      <w:r>
        <w:rPr>
          <w:rFonts w:hint="default"/>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6</w:t>
      </w:r>
      <w:r>
        <w:rPr>
          <w:rFonts w:hint="default"/>
          <w:color w:val="000000" w:themeColor="text1"/>
          <w:sz w:val="21"/>
          <w:szCs w:val="21"/>
          <w14:textFill>
            <w14:solidFill>
              <w14:schemeClr w14:val="tx1"/>
            </w14:solidFill>
          </w14:textFill>
        </w:rPr>
        <w:t>）骤降事件频率的相对变化（</w:t>
      </w:r>
      <w:r>
        <w:rPr>
          <w:color w:val="000000" w:themeColor="text1"/>
          <w:sz w:val="21"/>
          <w:szCs w:val="21"/>
          <w14:textFill>
            <w14:solidFill>
              <w14:schemeClr w14:val="tx1"/>
            </w14:solidFill>
          </w14:textFill>
        </w:rPr>
        <w:t>%</w:t>
      </w:r>
      <w:r>
        <w:rPr>
          <w:rFonts w:hint="default"/>
          <w:color w:val="000000" w:themeColor="text1"/>
          <w:sz w:val="21"/>
          <w:szCs w:val="21"/>
          <w14:textFill>
            <w14:solidFill>
              <w14:schemeClr w14:val="tx1"/>
            </w14:solidFill>
          </w14:textFill>
        </w:rPr>
        <w:t>），取原值。正值表示发电功率向下突变加剧、需要快速补位的能力提高，负值表示减弱，表征日际尺度的向下突变风险。</w:t>
      </w:r>
    </w:p>
    <w:p w14:paraId="2BE8D7AB">
      <w:pPr>
        <w:adjustRightInd w:val="0"/>
        <w:snapToGrid w:val="0"/>
        <w:spacing w:after="156" w:afterLines="50" w:line="300" w:lineRule="auto"/>
        <w:rPr>
          <w:rFonts w:ascii="Times New Roman" w:hAnsi="Times New Roman" w:eastAsia="宋体" w:cs="Times New Roman"/>
          <w:b/>
          <w:color w:val="000000" w:themeColor="text1"/>
          <w:szCs w:val="21"/>
          <w14:textFill>
            <w14:solidFill>
              <w14:schemeClr w14:val="tx1"/>
            </w14:solidFill>
          </w14:textFill>
        </w:rPr>
      </w:pPr>
      <w:r>
        <w:rPr>
          <w:rFonts w:ascii="Times New Roman" w:hAnsi="Times New Roman" w:eastAsia="宋体" w:cs="Times New Roman"/>
          <w:b/>
          <w:color w:val="000000" w:themeColor="text1"/>
          <w:szCs w:val="21"/>
          <w14:textFill>
            <w14:solidFill>
              <w14:schemeClr w14:val="tx1"/>
            </w14:solidFill>
          </w14:textFill>
        </w:rPr>
        <w:t>2</w:t>
      </w:r>
      <w:r>
        <w:rPr>
          <w:rFonts w:hint="default" w:ascii="Times New Roman" w:hAnsi="Times New Roman" w:eastAsia="宋体" w:cs="Times New Roman"/>
          <w:b/>
          <w:color w:val="000000" w:themeColor="text1"/>
          <w:szCs w:val="21"/>
          <w14:textFill>
            <w14:solidFill>
              <w14:schemeClr w14:val="tx1"/>
            </w14:solidFill>
          </w14:textFill>
        </w:rPr>
        <w:t>）阈值设定方法</w:t>
      </w:r>
    </w:p>
    <w:p w14:paraId="1EA68E12">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本研究各指标的高风险阈值基于多情景模拟结果的整体统计分布特征统一确定，通过构建跨情景混合样本实现阈值的统一标准，避免分情景独立阈值带来的结果同质化问题，具体步骤如下：</w:t>
      </w:r>
    </w:p>
    <w:p w14:paraId="76A4FEEF">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第一步：以研究区内所有有效像元为基础单元，分别在</w:t>
      </w:r>
      <w:r>
        <w:rPr>
          <w:rFonts w:ascii="Times New Roman" w:hAnsi="Times New Roman" w:eastAsia="宋体" w:cs="Times New Roman"/>
          <w:color w:val="000000" w:themeColor="text1"/>
          <w:szCs w:val="21"/>
          <w14:textFill>
            <w14:solidFill>
              <w14:schemeClr w14:val="tx1"/>
            </w14:solidFill>
          </w14:textFill>
        </w:rPr>
        <w:t>SSP1</w:t>
      </w:r>
      <w:r>
        <w:rPr>
          <w:rFonts w:ascii="Times New Roman" w:hAnsi="Times New Roman" w:eastAsia="宋体" w:cs="Times New Roman"/>
          <w:color w:val="000000" w:themeColor="text1"/>
          <w:szCs w:val="21"/>
          <w14:textFill>
            <w14:solidFill>
              <w14:schemeClr w14:val="tx1"/>
            </w14:solidFill>
          </w14:textFill>
        </w:rPr>
        <w:noBreakHyphen/>
      </w:r>
      <w:r>
        <w:rPr>
          <w:rFonts w:ascii="Times New Roman" w:hAnsi="Times New Roman" w:eastAsia="宋体" w:cs="Times New Roman"/>
          <w:color w:val="000000" w:themeColor="text1"/>
          <w:szCs w:val="21"/>
          <w14:textFill>
            <w14:solidFill>
              <w14:schemeClr w14:val="tx1"/>
            </w14:solidFill>
          </w14:textFill>
        </w:rPr>
        <w:t>2.6</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SSP2</w:t>
      </w:r>
      <w:r>
        <w:rPr>
          <w:rFonts w:ascii="Times New Roman" w:hAnsi="Times New Roman" w:eastAsia="宋体" w:cs="Times New Roman"/>
          <w:color w:val="000000" w:themeColor="text1"/>
          <w:szCs w:val="21"/>
          <w14:textFill>
            <w14:solidFill>
              <w14:schemeClr w14:val="tx1"/>
            </w14:solidFill>
          </w14:textFill>
        </w:rPr>
        <w:noBreakHyphen/>
      </w:r>
      <w:r>
        <w:rPr>
          <w:rFonts w:ascii="Times New Roman" w:hAnsi="Times New Roman" w:eastAsia="宋体" w:cs="Times New Roman"/>
          <w:color w:val="000000" w:themeColor="text1"/>
          <w:szCs w:val="21"/>
          <w14:textFill>
            <w14:solidFill>
              <w14:schemeClr w14:val="tx1"/>
            </w14:solidFill>
          </w14:textFill>
        </w:rPr>
        <w:t>4.5</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Cs w:val="21"/>
          <w14:textFill>
            <w14:solidFill>
              <w14:schemeClr w14:val="tx1"/>
            </w14:solidFill>
          </w14:textFill>
        </w:rPr>
        <w:t>SSP5</w:t>
      </w:r>
      <w:r>
        <w:rPr>
          <w:rFonts w:ascii="Times New Roman" w:hAnsi="Times New Roman" w:eastAsia="宋体" w:cs="Times New Roman"/>
          <w:color w:val="000000" w:themeColor="text1"/>
          <w:szCs w:val="21"/>
          <w14:textFill>
            <w14:solidFill>
              <w14:schemeClr w14:val="tx1"/>
            </w14:solidFill>
          </w14:textFill>
        </w:rPr>
        <w:noBreakHyphen/>
      </w:r>
      <w:r>
        <w:rPr>
          <w:rFonts w:ascii="Times New Roman" w:hAnsi="Times New Roman" w:eastAsia="宋体" w:cs="Times New Roman"/>
          <w:color w:val="000000" w:themeColor="text1"/>
          <w:szCs w:val="21"/>
          <w14:textFill>
            <w14:solidFill>
              <w14:schemeClr w14:val="tx1"/>
            </w14:solidFill>
          </w14:textFill>
        </w:rPr>
        <w:t>8.5</w:t>
      </w:r>
      <w:r>
        <w:rPr>
          <w:rFonts w:hint="default" w:ascii="Times New Roman" w:hAnsi="Times New Roman" w:eastAsia="宋体" w:cs="Times New Roman"/>
          <w:color w:val="000000" w:themeColor="text1"/>
          <w:szCs w:val="21"/>
          <w14:textFill>
            <w14:solidFill>
              <w14:schemeClr w14:val="tx1"/>
            </w14:solidFill>
          </w14:textFill>
        </w:rPr>
        <w:t>三种排放情景下，逐一计算每个像元的六项</w:t>
      </w:r>
      <w:r>
        <w:rPr>
          <w:rFonts w:ascii="Times New Roman" w:hAnsi="Times New Roman" w:eastAsia="宋体" w:cs="Times New Roman"/>
          <w:color w:val="000000" w:themeColor="text1"/>
          <w:szCs w:val="21"/>
          <w14:textFill>
            <w14:solidFill>
              <w14:schemeClr w14:val="tx1"/>
            </w14:solidFill>
          </w14:textFill>
        </w:rPr>
        <w:t>RC</w:t>
      </w:r>
      <w:r>
        <w:rPr>
          <w:rFonts w:hint="default" w:ascii="Times New Roman" w:hAnsi="Times New Roman" w:eastAsia="宋体" w:cs="Times New Roman"/>
          <w:color w:val="000000" w:themeColor="text1"/>
          <w:szCs w:val="21"/>
          <w14:textFill>
            <w14:solidFill>
              <w14:schemeClr w14:val="tx1"/>
            </w14:solidFill>
          </w14:textFill>
        </w:rPr>
        <w:t>值。假设有效像元总数为</w:t>
      </w:r>
      <w:r>
        <w:rPr>
          <w:rFonts w:ascii="Times New Roman" w:hAnsi="Times New Roman" w:eastAsia="宋体" w:cs="Times New Roman"/>
          <w:color w:val="000000" w:themeColor="text1"/>
          <w:szCs w:val="21"/>
          <w14:textFill>
            <w14:solidFill>
              <w14:schemeClr w14:val="tx1"/>
            </w14:solidFill>
          </w14:textFill>
        </w:rPr>
        <w:t>N</w:t>
      </w:r>
      <w:r>
        <w:rPr>
          <w:rFonts w:hint="default" w:ascii="Times New Roman" w:hAnsi="Times New Roman" w:eastAsia="宋体" w:cs="Times New Roman"/>
          <w:color w:val="000000" w:themeColor="text1"/>
          <w:szCs w:val="21"/>
          <w14:textFill>
            <w14:solidFill>
              <w14:schemeClr w14:val="tx1"/>
            </w14:solidFill>
          </w14:textFill>
        </w:rPr>
        <w:t>，则单一指标可得到</w:t>
      </w:r>
      <w:r>
        <w:rPr>
          <w:rFonts w:ascii="Times New Roman" w:hAnsi="Times New Roman" w:eastAsia="宋体" w:cs="Times New Roman"/>
          <w:color w:val="000000" w:themeColor="text1"/>
          <w:szCs w:val="21"/>
          <w14:textFill>
            <w14:solidFill>
              <w14:schemeClr w14:val="tx1"/>
            </w14:solidFill>
          </w14:textFill>
        </w:rPr>
        <w:t>3N</w:t>
      </w:r>
      <w:r>
        <w:rPr>
          <w:rFonts w:hint="default" w:ascii="Times New Roman" w:hAnsi="Times New Roman" w:eastAsia="宋体" w:cs="Times New Roman"/>
          <w:color w:val="000000" w:themeColor="text1"/>
          <w:szCs w:val="21"/>
          <w14:textFill>
            <w14:solidFill>
              <w14:schemeClr w14:val="tx1"/>
            </w14:solidFill>
          </w14:textFill>
        </w:rPr>
        <w:t>个数值，将所有数值混合并升序排序，构成该指标的全局混合样本。</w:t>
      </w:r>
    </w:p>
    <w:p w14:paraId="32D51215">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第二步：确定各指标高风险阈值。由于六项指标均统一为数值越大、风险越高的方向，因此均取混合样本的第</w:t>
      </w:r>
      <w:r>
        <w:rPr>
          <w:rFonts w:ascii="Times New Roman" w:hAnsi="Times New Roman" w:eastAsia="宋体" w:cs="Times New Roman"/>
          <w:color w:val="000000" w:themeColor="text1"/>
          <w:szCs w:val="21"/>
          <w14:textFill>
            <w14:solidFill>
              <w14:schemeClr w14:val="tx1"/>
            </w14:solidFill>
          </w14:textFill>
        </w:rPr>
        <w:t>75</w:t>
      </w:r>
      <w:r>
        <w:rPr>
          <w:rFonts w:hint="default" w:ascii="Times New Roman" w:hAnsi="Times New Roman" w:eastAsia="宋体" w:cs="Times New Roman"/>
          <w:color w:val="000000" w:themeColor="text1"/>
          <w:szCs w:val="21"/>
          <w14:textFill>
            <w14:solidFill>
              <w14:schemeClr w14:val="tx1"/>
            </w14:solidFill>
          </w14:textFill>
        </w:rPr>
        <w:t>百分位数作为高风险阈值。该分位数对应全域所有情景中该指标风险最高的</w:t>
      </w:r>
      <w:r>
        <w:rPr>
          <w:rFonts w:ascii="Times New Roman" w:hAnsi="Times New Roman" w:eastAsia="宋体" w:cs="Times New Roman"/>
          <w:color w:val="000000" w:themeColor="text1"/>
          <w:szCs w:val="21"/>
          <w14:textFill>
            <w14:solidFill>
              <w14:schemeClr w14:val="tx1"/>
            </w14:solidFill>
          </w14:textFill>
        </w:rPr>
        <w:t>25%</w:t>
      </w:r>
      <w:r>
        <w:rPr>
          <w:rFonts w:hint="default" w:ascii="Times New Roman" w:hAnsi="Times New Roman" w:eastAsia="宋体" w:cs="Times New Roman"/>
          <w:color w:val="000000" w:themeColor="text1"/>
          <w:szCs w:val="21"/>
          <w14:textFill>
            <w14:solidFill>
              <w14:schemeClr w14:val="tx1"/>
            </w14:solidFill>
          </w14:textFill>
        </w:rPr>
        <w:t>像元，能够客观反映极端高风险区的空间分布特征。通过该分位数划分方式，可实现全域全情景样本的均衡分级，超出对应阈值的像元分别对应全域所有情景中供给退化最显著、波动风险最高、极端事件风险最高的</w:t>
      </w:r>
      <w:r>
        <w:rPr>
          <w:rFonts w:ascii="Times New Roman" w:hAnsi="Times New Roman" w:eastAsia="宋体" w:cs="Times New Roman"/>
          <w:color w:val="000000" w:themeColor="text1"/>
          <w:szCs w:val="21"/>
          <w14:textFill>
            <w14:solidFill>
              <w14:schemeClr w14:val="tx1"/>
            </w14:solidFill>
          </w14:textFill>
        </w:rPr>
        <w:t>25%</w:t>
      </w:r>
      <w:r>
        <w:rPr>
          <w:rFonts w:hint="default" w:ascii="Times New Roman" w:hAnsi="Times New Roman" w:eastAsia="宋体" w:cs="Times New Roman"/>
          <w:color w:val="000000" w:themeColor="text1"/>
          <w:szCs w:val="21"/>
          <w14:textFill>
            <w14:solidFill>
              <w14:schemeClr w14:val="tx1"/>
            </w14:solidFill>
          </w14:textFill>
        </w:rPr>
        <w:t>区域。</w:t>
      </w:r>
    </w:p>
    <w:p w14:paraId="332381D4">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第三步：统一阈值适用范围。采用混合样本统一阈值的优势在于：低排放情景下，超过阈值的像元比例较低；高排放情景下，超过阈值的像元比例较高。这种设计能够直观呈现排放强度与气候风险之间的剂量</w:t>
      </w:r>
      <w:r>
        <w:rPr>
          <w:rFonts w:ascii="Times New Roman" w:hAnsi="Times New Roman" w:eastAsia="宋体" w:cs="Times New Roman"/>
          <w:color w:val="000000" w:themeColor="text1"/>
          <w:szCs w:val="21"/>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响应关系。若各情景单独设定阈值，则每个情景固定有</w:t>
      </w:r>
      <w:r>
        <w:rPr>
          <w:rFonts w:ascii="Times New Roman" w:hAnsi="Times New Roman" w:eastAsia="宋体" w:cs="Times New Roman"/>
          <w:color w:val="000000" w:themeColor="text1"/>
          <w:szCs w:val="21"/>
          <w14:textFill>
            <w14:solidFill>
              <w14:schemeClr w14:val="tx1"/>
            </w14:solidFill>
          </w14:textFill>
        </w:rPr>
        <w:t>25%</w:t>
      </w:r>
      <w:r>
        <w:rPr>
          <w:rFonts w:hint="default" w:ascii="Times New Roman" w:hAnsi="Times New Roman" w:eastAsia="宋体" w:cs="Times New Roman"/>
          <w:color w:val="000000" w:themeColor="text1"/>
          <w:szCs w:val="21"/>
          <w14:textFill>
            <w14:solidFill>
              <w14:schemeClr w14:val="tx1"/>
            </w14:solidFill>
          </w14:textFill>
        </w:rPr>
        <w:t>的像元被划为高风险，无法体现排放加剧导致风险升级的核心规律。</w:t>
      </w:r>
    </w:p>
    <w:p w14:paraId="74385F74">
      <w:pPr>
        <w:adjustRightInd w:val="0"/>
        <w:snapToGrid w:val="0"/>
        <w:spacing w:after="156" w:afterLines="50" w:line="300" w:lineRule="auto"/>
        <w:rPr>
          <w:rFonts w:ascii="Times New Roman" w:hAnsi="Times New Roman" w:eastAsia="宋体" w:cs="Times New Roman"/>
          <w:b/>
          <w:color w:val="000000" w:themeColor="text1"/>
          <w:szCs w:val="21"/>
          <w14:textFill>
            <w14:solidFill>
              <w14:schemeClr w14:val="tx1"/>
            </w14:solidFill>
          </w14:textFill>
        </w:rPr>
      </w:pPr>
      <w:r>
        <w:rPr>
          <w:rFonts w:ascii="Times New Roman" w:hAnsi="Times New Roman" w:eastAsia="宋体" w:cs="Times New Roman"/>
          <w:b/>
          <w:color w:val="000000" w:themeColor="text1"/>
          <w:szCs w:val="21"/>
          <w14:textFill>
            <w14:solidFill>
              <w14:schemeClr w14:val="tx1"/>
            </w14:solidFill>
          </w14:textFill>
        </w:rPr>
        <w:t>3</w:t>
      </w:r>
      <w:r>
        <w:rPr>
          <w:rFonts w:hint="default" w:ascii="Times New Roman" w:hAnsi="Times New Roman" w:eastAsia="宋体" w:cs="Times New Roman"/>
          <w:b/>
          <w:color w:val="000000" w:themeColor="text1"/>
          <w:szCs w:val="21"/>
          <w14:textFill>
            <w14:solidFill>
              <w14:schemeClr w14:val="tx1"/>
            </w14:solidFill>
          </w14:textFill>
        </w:rPr>
        <w:t>）风险等级划分</w:t>
      </w:r>
    </w:p>
    <w:p w14:paraId="31B2E33F">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在评估模型中，将每个像元的六个指标值分别与对应的高风险阈值比较：</w:t>
      </w:r>
    </w:p>
    <w:p w14:paraId="36C4B656">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0</w:t>
      </w:r>
      <w:r>
        <w:rPr>
          <w:rFonts w:hint="default" w:ascii="Times New Roman" w:hAnsi="Times New Roman" w:eastAsia="宋体" w:cs="Times New Roman"/>
          <w:color w:val="000000" w:themeColor="text1"/>
          <w:szCs w:val="21"/>
          <w14:textFill>
            <w14:solidFill>
              <w14:schemeClr w14:val="tx1"/>
            </w14:solidFill>
          </w14:textFill>
        </w:rPr>
        <w:t>个指标超过阈值：低风险区</w:t>
      </w:r>
    </w:p>
    <w:p w14:paraId="3393E1E7">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1</w:t>
      </w:r>
      <w:r>
        <w:rPr>
          <w:rFonts w:hint="default" w:ascii="Times New Roman" w:hAnsi="Times New Roman" w:eastAsia="宋体" w:cs="Times New Roman"/>
          <w:color w:val="000000" w:themeColor="text1"/>
          <w:szCs w:val="21"/>
          <w14:textFill>
            <w14:solidFill>
              <w14:schemeClr w14:val="tx1"/>
            </w14:solidFill>
          </w14:textFill>
        </w:rPr>
        <w:t>个指标超过阈值：中风险区</w:t>
      </w:r>
    </w:p>
    <w:p w14:paraId="4B4E1A88">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2</w:t>
      </w:r>
      <w:r>
        <w:rPr>
          <w:rFonts w:hint="default" w:ascii="Times New Roman" w:hAnsi="Times New Roman" w:eastAsia="宋体" w:cs="Times New Roman"/>
          <w:color w:val="000000" w:themeColor="text1"/>
          <w:szCs w:val="21"/>
          <w14:textFill>
            <w14:solidFill>
              <w14:schemeClr w14:val="tx1"/>
            </w14:solidFill>
          </w14:textFill>
        </w:rPr>
        <w:t>个指标超过阈值：高风险区</w:t>
      </w:r>
    </w:p>
    <w:p w14:paraId="0E5CB56A">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3</w:t>
      </w:r>
      <w:r>
        <w:rPr>
          <w:rFonts w:hint="default" w:ascii="Times New Roman" w:hAnsi="Times New Roman" w:eastAsia="宋体" w:cs="Times New Roman"/>
          <w:color w:val="000000" w:themeColor="text1"/>
          <w:szCs w:val="21"/>
          <w14:textFill>
            <w14:solidFill>
              <w14:schemeClr w14:val="tx1"/>
            </w14:solidFill>
          </w14:textFill>
        </w:rPr>
        <w:t>个及以上指标均超过阈值：极高风险区</w:t>
      </w:r>
    </w:p>
    <w:p w14:paraId="15A86D77">
      <w:pPr>
        <w:adjustRightInd w:val="0"/>
        <w:snapToGrid w:val="0"/>
        <w:spacing w:after="156" w:afterLines="50" w:line="300" w:lineRule="auto"/>
        <w:rPr>
          <w:rFonts w:ascii="Times New Roman" w:hAnsi="Times New Roman" w:eastAsia="宋体" w:cs="Times New Roman"/>
          <w:b/>
          <w:color w:val="000000" w:themeColor="text1"/>
          <w:szCs w:val="21"/>
          <w14:textFill>
            <w14:solidFill>
              <w14:schemeClr w14:val="tx1"/>
            </w14:solidFill>
          </w14:textFill>
        </w:rPr>
      </w:pPr>
      <w:r>
        <w:rPr>
          <w:rFonts w:ascii="Times New Roman" w:hAnsi="Times New Roman" w:eastAsia="宋体" w:cs="Times New Roman"/>
          <w:b/>
          <w:color w:val="000000" w:themeColor="text1"/>
          <w:szCs w:val="21"/>
          <w14:textFill>
            <w14:solidFill>
              <w14:schemeClr w14:val="tx1"/>
            </w14:solidFill>
          </w14:textFill>
        </w:rPr>
        <w:t>4</w:t>
      </w:r>
      <w:r>
        <w:rPr>
          <w:rFonts w:hint="default" w:ascii="Times New Roman" w:hAnsi="Times New Roman" w:eastAsia="宋体" w:cs="Times New Roman"/>
          <w:b/>
          <w:color w:val="000000" w:themeColor="text1"/>
          <w:szCs w:val="21"/>
          <w14:textFill>
            <w14:solidFill>
              <w14:schemeClr w14:val="tx1"/>
            </w14:solidFill>
          </w14:textFill>
        </w:rPr>
        <w:t>）风光耦合发电的阈值确定</w:t>
      </w:r>
    </w:p>
    <w:p w14:paraId="797C2C6B">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对于风光耦合发电，本研究先假定某一像元一半布设风电，一半布设光电，因此该像元风光耦合发电潜力</w:t>
      </w:r>
      <w:r>
        <w:rPr>
          <w:rFonts w:ascii="Times New Roman" w:hAnsi="Times New Roman" w:eastAsia="宋体" w:cs="Times New Roman"/>
          <w:color w:val="000000" w:themeColor="text1"/>
          <w:szCs w:val="21"/>
          <w14:textFill>
            <w14:solidFill>
              <w14:schemeClr w14:val="tx1"/>
            </w14:solidFill>
          </w14:textFill>
        </w:rPr>
        <w:t>P</w:t>
      </w:r>
      <w:r>
        <w:rPr>
          <w:rFonts w:ascii="Times New Roman" w:hAnsi="Times New Roman" w:eastAsia="宋体" w:cs="Times New Roman"/>
          <w:color w:val="000000" w:themeColor="text1"/>
          <w:szCs w:val="21"/>
          <w:vertAlign w:val="subscript"/>
          <w14:textFill>
            <w14:solidFill>
              <w14:schemeClr w14:val="tx1"/>
            </w14:solidFill>
          </w14:textFill>
        </w:rPr>
        <w:t>combined</w:t>
      </w:r>
      <w:r>
        <w:rPr>
          <w:rFonts w:ascii="Times New Roman" w:hAnsi="Times New Roman" w:eastAsia="宋体" w:cs="Times New Roman"/>
          <w:color w:val="000000" w:themeColor="text1"/>
          <w:szCs w:val="21"/>
          <w14:textFill>
            <w14:solidFill>
              <w14:schemeClr w14:val="tx1"/>
            </w14:solidFill>
          </w14:textFill>
        </w:rPr>
        <w:t xml:space="preserve"> (t) = 1/2 × P</w:t>
      </w:r>
      <w:r>
        <w:rPr>
          <w:rFonts w:ascii="Times New Roman" w:hAnsi="Times New Roman" w:eastAsia="宋体" w:cs="Times New Roman"/>
          <w:color w:val="000000" w:themeColor="text1"/>
          <w:szCs w:val="21"/>
          <w:vertAlign w:val="subscript"/>
          <w14:textFill>
            <w14:solidFill>
              <w14:schemeClr w14:val="tx1"/>
            </w14:solidFill>
          </w14:textFill>
        </w:rPr>
        <w:t>wind</w:t>
      </w:r>
      <w:r>
        <w:rPr>
          <w:rFonts w:ascii="Times New Roman" w:hAnsi="Times New Roman" w:eastAsia="宋体" w:cs="Times New Roman"/>
          <w:color w:val="000000" w:themeColor="text1"/>
          <w:szCs w:val="21"/>
          <w14:textFill>
            <w14:solidFill>
              <w14:schemeClr w14:val="tx1"/>
            </w14:solidFill>
          </w14:textFill>
        </w:rPr>
        <w:t>(t) + 1/2 × P</w:t>
      </w:r>
      <w:r>
        <w:rPr>
          <w:rFonts w:ascii="Times New Roman" w:hAnsi="Times New Roman" w:eastAsia="宋体" w:cs="Times New Roman"/>
          <w:color w:val="000000" w:themeColor="text1"/>
          <w:szCs w:val="21"/>
          <w:vertAlign w:val="subscript"/>
          <w14:textFill>
            <w14:solidFill>
              <w14:schemeClr w14:val="tx1"/>
            </w14:solidFill>
          </w14:textFill>
        </w:rPr>
        <w:t>solar</w:t>
      </w:r>
      <w:r>
        <w:rPr>
          <w:rFonts w:ascii="Times New Roman" w:hAnsi="Times New Roman" w:eastAsia="宋体" w:cs="Times New Roman"/>
          <w:color w:val="000000" w:themeColor="text1"/>
          <w:szCs w:val="21"/>
          <w14:textFill>
            <w14:solidFill>
              <w14:schemeClr w14:val="tx1"/>
            </w14:solidFill>
          </w14:textFill>
        </w:rPr>
        <w:t>(t)</w:t>
      </w:r>
      <w:r>
        <w:rPr>
          <w:rFonts w:hint="default" w:ascii="Times New Roman" w:hAnsi="Times New Roman" w:eastAsia="宋体" w:cs="Times New Roman"/>
          <w:color w:val="000000" w:themeColor="text1"/>
          <w:szCs w:val="21"/>
          <w14:textFill>
            <w14:solidFill>
              <w14:schemeClr w14:val="tx1"/>
            </w14:solidFill>
          </w14:textFill>
        </w:rPr>
        <w:t>。然后基于该合成序列重新计算六个指标的</w:t>
      </w:r>
      <w:r>
        <w:rPr>
          <w:rFonts w:ascii="Times New Roman" w:hAnsi="Times New Roman" w:eastAsia="宋体" w:cs="Times New Roman"/>
          <w:color w:val="000000" w:themeColor="text1"/>
          <w:szCs w:val="21"/>
          <w14:textFill>
            <w14:solidFill>
              <w14:schemeClr w14:val="tx1"/>
            </w14:solidFill>
          </w14:textFill>
        </w:rPr>
        <w:t>RC</w:t>
      </w:r>
      <w:r>
        <w:rPr>
          <w:rFonts w:hint="default" w:ascii="Times New Roman" w:hAnsi="Times New Roman" w:eastAsia="宋体" w:cs="Times New Roman"/>
          <w:color w:val="000000" w:themeColor="text1"/>
          <w:szCs w:val="21"/>
          <w14:textFill>
            <w14:solidFill>
              <w14:schemeClr w14:val="tx1"/>
            </w14:solidFill>
          </w14:textFill>
        </w:rPr>
        <w:t>值，同样按上述混合样本第</w:t>
      </w:r>
      <w:r>
        <w:rPr>
          <w:rFonts w:ascii="Times New Roman" w:hAnsi="Times New Roman" w:eastAsia="宋体" w:cs="Times New Roman"/>
          <w:color w:val="000000" w:themeColor="text1"/>
          <w:szCs w:val="21"/>
          <w14:textFill>
            <w14:solidFill>
              <w14:schemeClr w14:val="tx1"/>
            </w14:solidFill>
          </w14:textFill>
        </w:rPr>
        <w:t>75</w:t>
      </w:r>
      <w:r>
        <w:rPr>
          <w:rFonts w:hint="default" w:ascii="Times New Roman" w:hAnsi="Times New Roman" w:eastAsia="宋体" w:cs="Times New Roman"/>
          <w:color w:val="000000" w:themeColor="text1"/>
          <w:szCs w:val="21"/>
          <w14:textFill>
            <w14:solidFill>
              <w14:schemeClr w14:val="tx1"/>
            </w14:solidFill>
          </w14:textFill>
        </w:rPr>
        <w:t>百分位数法独立确定阈值。</w:t>
      </w:r>
    </w:p>
    <w:p w14:paraId="2BC0FBEF">
      <w:pPr>
        <w:adjustRightInd w:val="0"/>
        <w:snapToGrid w:val="0"/>
        <w:spacing w:after="156" w:afterLines="50"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风光耦合阈值独立计算的逻辑在于：耦合后的合成出力在均值、波动性和极值上均不同于单一能源，其统计分布特征已发生根本改变，不能直接套用风电或光电的阈值。此外，虽然每种能源类型内部仍有约</w:t>
      </w:r>
      <w:r>
        <w:rPr>
          <w:rFonts w:ascii="Times New Roman" w:hAnsi="Times New Roman" w:eastAsia="宋体" w:cs="Times New Roman"/>
          <w:color w:val="000000" w:themeColor="text1"/>
          <w:szCs w:val="21"/>
          <w14:textFill>
            <w14:solidFill>
              <w14:schemeClr w14:val="tx1"/>
            </w14:solidFill>
          </w14:textFill>
        </w:rPr>
        <w:t>25%</w:t>
      </w:r>
      <w:r>
        <w:rPr>
          <w:rFonts w:hint="default" w:ascii="Times New Roman" w:hAnsi="Times New Roman" w:eastAsia="宋体" w:cs="Times New Roman"/>
          <w:color w:val="000000" w:themeColor="text1"/>
          <w:szCs w:val="21"/>
          <w14:textFill>
            <w14:solidFill>
              <w14:schemeClr w14:val="tx1"/>
            </w14:solidFill>
          </w14:textFill>
        </w:rPr>
        <w:t>的像元在各指标上被划为高风险，但风光耦合的核心效果在于降低多个指标同时超标的像元比例。由于风电和光电的气候敏感区在空间上存在错位，某一指标的高风险区在耦合后往往被另一能源的相对稳定性所弥补，从而使极高风险区的面积大幅收缩。</w:t>
      </w:r>
    </w:p>
    <w:p w14:paraId="258DCB6E">
      <w:pPr>
        <w:adjustRightInd w:val="0"/>
        <w:snapToGrid w:val="0"/>
        <w:spacing w:after="156" w:afterLines="50" w:line="300" w:lineRule="auto"/>
        <w:ind w:firstLine="420" w:firstLineChars="200"/>
        <w:rPr>
          <w:rFonts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Cs w:val="21"/>
          <w14:textFill>
            <w14:solidFill>
              <w14:schemeClr w14:val="tx1"/>
            </w14:solidFill>
          </w14:textFill>
        </w:rPr>
        <w:t>基于上述方法，各能源类型的具体阈值见补充材料表</w:t>
      </w:r>
      <w:r>
        <w:rPr>
          <w:rFonts w:ascii="Times New Roman" w:hAnsi="Times New Roman" w:eastAsia="宋体" w:cs="Times New Roman"/>
          <w:color w:val="000000" w:themeColor="text1"/>
          <w:szCs w:val="21"/>
          <w14:textFill>
            <w14:solidFill>
              <w14:schemeClr w14:val="tx1"/>
            </w14:solidFill>
          </w14:textFill>
        </w:rPr>
        <w:t>S4</w:t>
      </w:r>
      <w:r>
        <w:rPr>
          <w:rFonts w:hint="default" w:ascii="Times New Roman" w:hAnsi="Times New Roman" w:eastAsia="宋体" w:cs="Times New Roman"/>
          <w:color w:val="000000" w:themeColor="text1"/>
          <w:szCs w:val="21"/>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br w:type="page"/>
      </w:r>
    </w:p>
    <w:bookmarkEnd w:id="4"/>
    <w:p w14:paraId="4BC1F900">
      <w:pPr>
        <w:spacing w:line="300" w:lineRule="auto"/>
        <w:outlineLvl w:val="0"/>
        <w:rPr>
          <w:rFonts w:ascii="Times New Roman" w:hAnsi="Times New Roman" w:eastAsia="宋体" w:cs="Times New Roman"/>
          <w:sz w:val="28"/>
          <w:szCs w:val="28"/>
          <w14:ligatures w14:val="standardContextual"/>
        </w:rPr>
      </w:pPr>
      <w:r>
        <w:rPr>
          <w:rFonts w:ascii="Times New Roman" w:hAnsi="Times New Roman" w:eastAsia="宋体" w:cs="Times New Roman"/>
          <w:sz w:val="28"/>
          <w:szCs w:val="28"/>
          <w14:ligatures w14:val="standardContextual"/>
        </w:rPr>
        <w:t xml:space="preserve">2 </w:t>
      </w:r>
      <w:r>
        <w:rPr>
          <w:rFonts w:hint="default" w:ascii="Times New Roman" w:hAnsi="Times New Roman" w:eastAsia="宋体" w:cs="Times New Roman"/>
          <w:sz w:val="28"/>
          <w:szCs w:val="28"/>
          <w14:ligatures w14:val="standardContextual"/>
        </w:rPr>
        <w:t>补充表格</w:t>
      </w:r>
    </w:p>
    <w:p w14:paraId="6B7A5E1F">
      <w:pPr>
        <w:spacing w:line="300" w:lineRule="auto"/>
        <w:jc w:val="left"/>
        <w:outlineLvl w:val="0"/>
        <w:rPr>
          <w:rFonts w:ascii="Times New Roman" w:hAnsi="Times New Roman" w:eastAsia="黑体" w:cs="Times New Roman"/>
          <w:szCs w:val="21"/>
          <w14:ligatures w14:val="standardContextual"/>
        </w:rPr>
      </w:pPr>
      <w:r>
        <w:rPr>
          <w:rFonts w:hint="default" w:ascii="Times New Roman" w:hAnsi="Times New Roman" w:eastAsia="黑体" w:cs="Times New Roman"/>
          <w:szCs w:val="21"/>
          <w14:ligatures w14:val="standardContextual"/>
        </w:rPr>
        <w:t>表</w:t>
      </w:r>
      <w:r>
        <w:rPr>
          <w:rFonts w:ascii="Times New Roman" w:hAnsi="Times New Roman" w:eastAsia="黑体" w:cs="Times New Roman"/>
          <w:szCs w:val="21"/>
          <w14:ligatures w14:val="standardContextual"/>
        </w:rPr>
        <w:t xml:space="preserve"> S</w:t>
      </w:r>
      <w:r>
        <w:rPr>
          <w:rFonts w:ascii="Times New Roman" w:hAnsi="Times New Roman" w:eastAsia="黑体" w:cs="Times New Roman"/>
          <w:szCs w:val="21"/>
          <w14:ligatures w14:val="standardContextual"/>
        </w:rPr>
        <w:fldChar w:fldCharType="begin"/>
      </w:r>
      <w:r>
        <w:rPr>
          <w:rFonts w:hint="default" w:ascii="Times New Roman" w:hAnsi="Times New Roman" w:eastAsia="黑体" w:cs="Times New Roman"/>
          <w:szCs w:val="21"/>
          <w14:ligatures w14:val="standardContextual"/>
        </w:rPr>
        <w:instrText xml:space="preserve"> SEQ 表 \* ARABIC </w:instrText>
      </w:r>
      <w:r>
        <w:rPr>
          <w:rFonts w:ascii="Times New Roman" w:hAnsi="Times New Roman" w:eastAsia="黑体" w:cs="Times New Roman"/>
          <w:szCs w:val="21"/>
          <w14:ligatures w14:val="standardContextual"/>
        </w:rPr>
        <w:fldChar w:fldCharType="separate"/>
      </w:r>
      <w:r>
        <w:rPr>
          <w:rFonts w:ascii="Times New Roman" w:hAnsi="Times New Roman" w:eastAsia="黑体" w:cs="Times New Roman"/>
          <w:szCs w:val="21"/>
          <w14:ligatures w14:val="standardContextual"/>
        </w:rPr>
        <w:t>1</w:t>
      </w:r>
      <w:r>
        <w:rPr>
          <w:rFonts w:ascii="Times New Roman" w:hAnsi="Times New Roman" w:eastAsia="黑体" w:cs="Times New Roman"/>
          <w:szCs w:val="21"/>
          <w14:ligatures w14:val="standardContextual"/>
        </w:rPr>
        <w:fldChar w:fldCharType="end"/>
      </w:r>
      <w:r>
        <w:rPr>
          <w:rFonts w:hint="default" w:ascii="Times New Roman" w:hAnsi="Times New Roman" w:eastAsia="黑体" w:cs="Times New Roman"/>
          <w:szCs w:val="21"/>
          <w14:ligatures w14:val="standardContextual"/>
        </w:rPr>
        <w:t xml:space="preserve"> 本研究采用的气候驱动数据地球系统模型及其空间分辨率和时间覆盖范围</w:t>
      </w:r>
    </w:p>
    <w:p w14:paraId="5079C565">
      <w:pPr>
        <w:spacing w:line="300" w:lineRule="auto"/>
        <w:jc w:val="left"/>
        <w:rPr>
          <w:rFonts w:ascii="Times New Roman" w:hAnsi="Times New Roman" w:eastAsia="黑体" w:cs="Times New Roman"/>
          <w:sz w:val="18"/>
          <w:szCs w:val="18"/>
          <w14:ligatures w14:val="standardContextual"/>
        </w:rPr>
      </w:pPr>
      <w:r>
        <w:rPr>
          <w:rFonts w:ascii="Times New Roman" w:hAnsi="Times New Roman" w:eastAsia="黑体" w:cs="Times New Roman"/>
          <w:sz w:val="18"/>
          <w:szCs w:val="18"/>
          <w14:ligatures w14:val="standardContextual"/>
        </w:rPr>
        <w:t>Tab. S1 Earth system models for climate driving data in this study, along with their spatial resolution and temporal coverage.</w:t>
      </w:r>
    </w:p>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409"/>
        <w:gridCol w:w="1987"/>
        <w:gridCol w:w="1784"/>
      </w:tblGrid>
      <w:tr w14:paraId="76513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tcBorders>
              <w:top w:val="single" w:color="auto" w:sz="12" w:space="0"/>
              <w:bottom w:val="single" w:color="auto" w:sz="4" w:space="0"/>
            </w:tcBorders>
            <w:vAlign w:val="center"/>
          </w:tcPr>
          <w:p w14:paraId="6A969086">
            <w:pPr>
              <w:spacing w:line="300" w:lineRule="auto"/>
              <w:jc w:val="center"/>
              <w:rPr>
                <w:rFonts w:ascii="Times New Roman" w:hAnsi="Times New Roman" w:eastAsia="宋体" w:cs="Times New Roman"/>
                <w:bCs/>
                <w:kern w:val="0"/>
              </w:rPr>
            </w:pPr>
            <w:r>
              <w:rPr>
                <w:rFonts w:hint="default" w:ascii="Times New Roman" w:hAnsi="Times New Roman" w:eastAsia="宋体" w:cs="Times New Roman"/>
                <w:bCs/>
                <w:kern w:val="0"/>
              </w:rPr>
              <w:t>地球系统模型</w:t>
            </w:r>
          </w:p>
        </w:tc>
        <w:tc>
          <w:tcPr>
            <w:tcW w:w="1450" w:type="pct"/>
            <w:tcBorders>
              <w:top w:val="single" w:color="auto" w:sz="12" w:space="0"/>
              <w:bottom w:val="single" w:color="auto" w:sz="4" w:space="0"/>
            </w:tcBorders>
          </w:tcPr>
          <w:p w14:paraId="2D3366E8">
            <w:pPr>
              <w:spacing w:line="300" w:lineRule="auto"/>
              <w:jc w:val="center"/>
              <w:rPr>
                <w:rFonts w:ascii="Times New Roman" w:hAnsi="Times New Roman" w:eastAsia="宋体" w:cs="Times New Roman"/>
                <w:bCs/>
                <w:kern w:val="0"/>
              </w:rPr>
            </w:pPr>
            <w:r>
              <w:rPr>
                <w:rFonts w:hint="default" w:ascii="Times New Roman" w:hAnsi="Times New Roman" w:eastAsia="宋体" w:cs="Times New Roman"/>
                <w:bCs/>
                <w:kern w:val="0"/>
              </w:rPr>
              <w:t>机构</w:t>
            </w:r>
          </w:p>
        </w:tc>
        <w:tc>
          <w:tcPr>
            <w:tcW w:w="1196" w:type="pct"/>
            <w:tcBorders>
              <w:top w:val="single" w:color="auto" w:sz="12" w:space="0"/>
              <w:bottom w:val="single" w:color="auto" w:sz="4" w:space="0"/>
            </w:tcBorders>
            <w:vAlign w:val="center"/>
          </w:tcPr>
          <w:p w14:paraId="27FFA049">
            <w:pPr>
              <w:spacing w:line="300" w:lineRule="auto"/>
              <w:jc w:val="center"/>
              <w:rPr>
                <w:rFonts w:ascii="Times New Roman" w:hAnsi="Times New Roman" w:eastAsia="宋体" w:cs="Times New Roman"/>
                <w:bCs/>
                <w:kern w:val="0"/>
              </w:rPr>
            </w:pPr>
            <w:r>
              <w:rPr>
                <w:rFonts w:hint="default" w:ascii="Times New Roman" w:hAnsi="Times New Roman" w:eastAsia="宋体" w:cs="Times New Roman"/>
                <w:bCs/>
                <w:kern w:val="0"/>
              </w:rPr>
              <w:t>空间分辨率</w:t>
            </w:r>
          </w:p>
        </w:tc>
        <w:tc>
          <w:tcPr>
            <w:tcW w:w="1074" w:type="pct"/>
            <w:tcBorders>
              <w:top w:val="single" w:color="auto" w:sz="12" w:space="0"/>
              <w:bottom w:val="single" w:color="auto" w:sz="4" w:space="0"/>
            </w:tcBorders>
            <w:vAlign w:val="center"/>
          </w:tcPr>
          <w:p w14:paraId="14B4C75F">
            <w:pPr>
              <w:spacing w:line="300" w:lineRule="auto"/>
              <w:jc w:val="center"/>
              <w:rPr>
                <w:rFonts w:ascii="Times New Roman" w:hAnsi="Times New Roman" w:eastAsia="宋体" w:cs="Times New Roman"/>
                <w:bCs/>
                <w:kern w:val="0"/>
              </w:rPr>
            </w:pPr>
            <w:r>
              <w:rPr>
                <w:rFonts w:hint="default" w:ascii="Times New Roman" w:hAnsi="Times New Roman" w:eastAsia="宋体" w:cs="Times New Roman"/>
                <w:bCs/>
                <w:kern w:val="0"/>
              </w:rPr>
              <w:t>时间覆盖范围</w:t>
            </w:r>
          </w:p>
        </w:tc>
      </w:tr>
      <w:tr w14:paraId="4172C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tcBorders>
              <w:top w:val="single" w:color="auto" w:sz="4" w:space="0"/>
            </w:tcBorders>
            <w:vAlign w:val="center"/>
          </w:tcPr>
          <w:p w14:paraId="2517502C">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BCC-CSM2-MR</w:t>
            </w:r>
          </w:p>
        </w:tc>
        <w:tc>
          <w:tcPr>
            <w:tcW w:w="1450" w:type="pct"/>
            <w:tcBorders>
              <w:top w:val="single" w:color="auto" w:sz="4" w:space="0"/>
            </w:tcBorders>
          </w:tcPr>
          <w:p w14:paraId="0A6B60DC">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BCC</w:t>
            </w:r>
          </w:p>
        </w:tc>
        <w:tc>
          <w:tcPr>
            <w:tcW w:w="1196" w:type="pct"/>
            <w:tcBorders>
              <w:top w:val="single" w:color="auto" w:sz="4" w:space="0"/>
            </w:tcBorders>
            <w:vAlign w:val="center"/>
          </w:tcPr>
          <w:p w14:paraId="546F863A">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0.25°</w:t>
            </w:r>
          </w:p>
        </w:tc>
        <w:tc>
          <w:tcPr>
            <w:tcW w:w="1074" w:type="pct"/>
            <w:tcBorders>
              <w:top w:val="single" w:color="auto" w:sz="4" w:space="0"/>
            </w:tcBorders>
            <w:vAlign w:val="center"/>
          </w:tcPr>
          <w:p w14:paraId="557D42A6">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2015—2100</w:t>
            </w:r>
          </w:p>
        </w:tc>
      </w:tr>
      <w:tr w14:paraId="00E17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vAlign w:val="center"/>
          </w:tcPr>
          <w:p w14:paraId="6AC30699">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CESM2</w:t>
            </w:r>
          </w:p>
        </w:tc>
        <w:tc>
          <w:tcPr>
            <w:tcW w:w="1450" w:type="pct"/>
          </w:tcPr>
          <w:p w14:paraId="56E11A82">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NCAR</w:t>
            </w:r>
          </w:p>
        </w:tc>
        <w:tc>
          <w:tcPr>
            <w:tcW w:w="1196" w:type="pct"/>
            <w:vAlign w:val="center"/>
          </w:tcPr>
          <w:p w14:paraId="14C2E1E5">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0.25°</w:t>
            </w:r>
          </w:p>
        </w:tc>
        <w:tc>
          <w:tcPr>
            <w:tcW w:w="1074" w:type="pct"/>
            <w:vAlign w:val="center"/>
          </w:tcPr>
          <w:p w14:paraId="1360BA8D">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2015—2100</w:t>
            </w:r>
          </w:p>
        </w:tc>
      </w:tr>
      <w:tr w14:paraId="4AD9D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vAlign w:val="center"/>
          </w:tcPr>
          <w:p w14:paraId="653B8F85">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CanESM5</w:t>
            </w:r>
          </w:p>
        </w:tc>
        <w:tc>
          <w:tcPr>
            <w:tcW w:w="1450" w:type="pct"/>
          </w:tcPr>
          <w:p w14:paraId="38FDD8AE">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CCCma</w:t>
            </w:r>
          </w:p>
        </w:tc>
        <w:tc>
          <w:tcPr>
            <w:tcW w:w="1196" w:type="pct"/>
            <w:vAlign w:val="center"/>
          </w:tcPr>
          <w:p w14:paraId="7D6E57B6">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0.25°</w:t>
            </w:r>
          </w:p>
        </w:tc>
        <w:tc>
          <w:tcPr>
            <w:tcW w:w="1074" w:type="pct"/>
            <w:vAlign w:val="center"/>
          </w:tcPr>
          <w:p w14:paraId="0D27CC6B">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2015—2100</w:t>
            </w:r>
          </w:p>
        </w:tc>
      </w:tr>
      <w:tr w14:paraId="1FC73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vAlign w:val="center"/>
          </w:tcPr>
          <w:p w14:paraId="22EE98C4">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EC-Earth3</w:t>
            </w:r>
          </w:p>
        </w:tc>
        <w:tc>
          <w:tcPr>
            <w:tcW w:w="1450" w:type="pct"/>
          </w:tcPr>
          <w:p w14:paraId="366749A1">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EC-Earth-Consortium</w:t>
            </w:r>
          </w:p>
        </w:tc>
        <w:tc>
          <w:tcPr>
            <w:tcW w:w="1196" w:type="pct"/>
            <w:vAlign w:val="center"/>
          </w:tcPr>
          <w:p w14:paraId="338088B2">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0.25°</w:t>
            </w:r>
          </w:p>
        </w:tc>
        <w:tc>
          <w:tcPr>
            <w:tcW w:w="1074" w:type="pct"/>
            <w:vAlign w:val="center"/>
          </w:tcPr>
          <w:p w14:paraId="6508DB05">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2015—2100</w:t>
            </w:r>
          </w:p>
        </w:tc>
      </w:tr>
      <w:tr w14:paraId="7F6CF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vAlign w:val="center"/>
          </w:tcPr>
          <w:p w14:paraId="39A88196">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GFDL-ESM4</w:t>
            </w:r>
          </w:p>
        </w:tc>
        <w:tc>
          <w:tcPr>
            <w:tcW w:w="1450" w:type="pct"/>
          </w:tcPr>
          <w:p w14:paraId="10803767">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NOAA-GFDL</w:t>
            </w:r>
          </w:p>
        </w:tc>
        <w:tc>
          <w:tcPr>
            <w:tcW w:w="1196" w:type="pct"/>
            <w:vAlign w:val="center"/>
          </w:tcPr>
          <w:p w14:paraId="21DA3114">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0.25°</w:t>
            </w:r>
          </w:p>
        </w:tc>
        <w:tc>
          <w:tcPr>
            <w:tcW w:w="1074" w:type="pct"/>
            <w:vAlign w:val="center"/>
          </w:tcPr>
          <w:p w14:paraId="4A998AC1">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2015—2100</w:t>
            </w:r>
          </w:p>
        </w:tc>
      </w:tr>
      <w:tr w14:paraId="1F3B3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vAlign w:val="center"/>
          </w:tcPr>
          <w:p w14:paraId="12D9ECFC">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IPSL-CM6A-LR</w:t>
            </w:r>
          </w:p>
        </w:tc>
        <w:tc>
          <w:tcPr>
            <w:tcW w:w="1450" w:type="pct"/>
          </w:tcPr>
          <w:p w14:paraId="4D65381E">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IPSL</w:t>
            </w:r>
          </w:p>
        </w:tc>
        <w:tc>
          <w:tcPr>
            <w:tcW w:w="1196" w:type="pct"/>
            <w:vAlign w:val="center"/>
          </w:tcPr>
          <w:p w14:paraId="3F26B60F">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0.25°</w:t>
            </w:r>
          </w:p>
        </w:tc>
        <w:tc>
          <w:tcPr>
            <w:tcW w:w="1074" w:type="pct"/>
            <w:vAlign w:val="center"/>
          </w:tcPr>
          <w:p w14:paraId="4B232B26">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2015—2100</w:t>
            </w:r>
          </w:p>
        </w:tc>
      </w:tr>
      <w:tr w14:paraId="6D7FF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vAlign w:val="center"/>
          </w:tcPr>
          <w:p w14:paraId="3DF395B0">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MIROC-ES2L</w:t>
            </w:r>
          </w:p>
        </w:tc>
        <w:tc>
          <w:tcPr>
            <w:tcW w:w="1450" w:type="pct"/>
          </w:tcPr>
          <w:p w14:paraId="44C25F33">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MIROC</w:t>
            </w:r>
          </w:p>
        </w:tc>
        <w:tc>
          <w:tcPr>
            <w:tcW w:w="1196" w:type="pct"/>
            <w:vAlign w:val="center"/>
          </w:tcPr>
          <w:p w14:paraId="6FCAEE55">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0.25°</w:t>
            </w:r>
          </w:p>
        </w:tc>
        <w:tc>
          <w:tcPr>
            <w:tcW w:w="1074" w:type="pct"/>
            <w:vAlign w:val="center"/>
          </w:tcPr>
          <w:p w14:paraId="572625AB">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2015—2100</w:t>
            </w:r>
          </w:p>
        </w:tc>
      </w:tr>
      <w:tr w14:paraId="750E5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vAlign w:val="center"/>
          </w:tcPr>
          <w:p w14:paraId="60F81EEF">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MPI-ESM1-2-LR</w:t>
            </w:r>
          </w:p>
        </w:tc>
        <w:tc>
          <w:tcPr>
            <w:tcW w:w="1450" w:type="pct"/>
          </w:tcPr>
          <w:p w14:paraId="29C78EDE">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MPI-M</w:t>
            </w:r>
          </w:p>
        </w:tc>
        <w:tc>
          <w:tcPr>
            <w:tcW w:w="1196" w:type="pct"/>
            <w:vAlign w:val="center"/>
          </w:tcPr>
          <w:p w14:paraId="67C09E88">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0.25°</w:t>
            </w:r>
          </w:p>
        </w:tc>
        <w:tc>
          <w:tcPr>
            <w:tcW w:w="1074" w:type="pct"/>
            <w:vAlign w:val="center"/>
          </w:tcPr>
          <w:p w14:paraId="638EB6F9">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2015—2100</w:t>
            </w:r>
          </w:p>
        </w:tc>
      </w:tr>
      <w:tr w14:paraId="324CF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vAlign w:val="center"/>
          </w:tcPr>
          <w:p w14:paraId="42A19EA2">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NorESM2-LM</w:t>
            </w:r>
          </w:p>
        </w:tc>
        <w:tc>
          <w:tcPr>
            <w:tcW w:w="1450" w:type="pct"/>
          </w:tcPr>
          <w:p w14:paraId="4D4F74B5">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NCC</w:t>
            </w:r>
          </w:p>
        </w:tc>
        <w:tc>
          <w:tcPr>
            <w:tcW w:w="1196" w:type="pct"/>
            <w:vAlign w:val="center"/>
          </w:tcPr>
          <w:p w14:paraId="7C3D2502">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0.25°</w:t>
            </w:r>
          </w:p>
        </w:tc>
        <w:tc>
          <w:tcPr>
            <w:tcW w:w="1074" w:type="pct"/>
            <w:vAlign w:val="center"/>
          </w:tcPr>
          <w:p w14:paraId="50C1B516">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2015—2100</w:t>
            </w:r>
          </w:p>
        </w:tc>
      </w:tr>
      <w:tr w14:paraId="5A8BA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0" w:type="pct"/>
            <w:tcBorders>
              <w:bottom w:val="single" w:color="auto" w:sz="12" w:space="0"/>
            </w:tcBorders>
            <w:vAlign w:val="center"/>
          </w:tcPr>
          <w:p w14:paraId="4D4B7383">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UKESM1-0-LL</w:t>
            </w:r>
          </w:p>
        </w:tc>
        <w:tc>
          <w:tcPr>
            <w:tcW w:w="1450" w:type="pct"/>
            <w:tcBorders>
              <w:bottom w:val="single" w:color="auto" w:sz="12" w:space="0"/>
            </w:tcBorders>
          </w:tcPr>
          <w:p w14:paraId="629B5336">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NOHC</w:t>
            </w:r>
          </w:p>
        </w:tc>
        <w:tc>
          <w:tcPr>
            <w:tcW w:w="1196" w:type="pct"/>
            <w:tcBorders>
              <w:bottom w:val="single" w:color="auto" w:sz="12" w:space="0"/>
            </w:tcBorders>
            <w:vAlign w:val="center"/>
          </w:tcPr>
          <w:p w14:paraId="7BD42AA9">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0.25°</w:t>
            </w:r>
          </w:p>
        </w:tc>
        <w:tc>
          <w:tcPr>
            <w:tcW w:w="1074" w:type="pct"/>
            <w:tcBorders>
              <w:bottom w:val="single" w:color="auto" w:sz="12" w:space="0"/>
            </w:tcBorders>
            <w:vAlign w:val="center"/>
          </w:tcPr>
          <w:p w14:paraId="157592C1">
            <w:pPr>
              <w:spacing w:line="300" w:lineRule="auto"/>
              <w:jc w:val="center"/>
              <w:rPr>
                <w:rFonts w:ascii="Times New Roman" w:hAnsi="Times New Roman" w:eastAsia="宋体" w:cs="Times New Roman"/>
                <w:kern w:val="0"/>
              </w:rPr>
            </w:pPr>
            <w:r>
              <w:rPr>
                <w:rFonts w:ascii="Times New Roman" w:hAnsi="Times New Roman" w:eastAsia="宋体" w:cs="Times New Roman"/>
                <w:kern w:val="0"/>
              </w:rPr>
              <w:t>2015—2100</w:t>
            </w:r>
          </w:p>
        </w:tc>
      </w:tr>
    </w:tbl>
    <w:p w14:paraId="3A4F1F07">
      <w:pPr>
        <w:spacing w:after="120" w:line="360" w:lineRule="auto"/>
        <w:rPr>
          <w:rFonts w:ascii="Times New Roman" w:hAnsi="Times New Roman" w:eastAsia="宋体" w:cs="Times New Roman"/>
          <w:sz w:val="24"/>
          <w:szCs w:val="24"/>
        </w:rPr>
      </w:pPr>
    </w:p>
    <w:p w14:paraId="086631C7">
      <w:pPr>
        <w:widowControl/>
        <w:spacing w:after="160" w:line="278" w:lineRule="auto"/>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539057CA">
      <w:pPr>
        <w:spacing w:line="300" w:lineRule="auto"/>
        <w:outlineLvl w:val="1"/>
        <w:rPr>
          <w:rFonts w:ascii="Times New Roman" w:hAnsi="Times New Roman" w:eastAsia="黑体" w:cs="Times New Roman"/>
          <w:szCs w:val="21"/>
          <w14:ligatures w14:val="standardContextual"/>
        </w:rPr>
      </w:pPr>
      <w:r>
        <w:rPr>
          <w:rFonts w:hint="default" w:ascii="Times New Roman" w:hAnsi="Times New Roman" w:eastAsia="黑体" w:cs="Times New Roman"/>
          <w:szCs w:val="21"/>
          <w14:ligatures w14:val="standardContextual"/>
        </w:rPr>
        <w:t>表</w:t>
      </w:r>
      <w:r>
        <w:rPr>
          <w:rFonts w:ascii="Times New Roman" w:hAnsi="Times New Roman" w:eastAsia="黑体" w:cs="Times New Roman"/>
          <w:szCs w:val="21"/>
          <w14:ligatures w14:val="standardContextual"/>
        </w:rPr>
        <w:t xml:space="preserve"> S</w:t>
      </w:r>
      <w:r>
        <w:rPr>
          <w:rFonts w:ascii="Times New Roman" w:hAnsi="Times New Roman" w:eastAsia="黑体" w:cs="Times New Roman"/>
          <w:szCs w:val="21"/>
          <w14:ligatures w14:val="standardContextual"/>
        </w:rPr>
        <w:fldChar w:fldCharType="begin"/>
      </w:r>
      <w:r>
        <w:rPr>
          <w:rFonts w:hint="default" w:ascii="Times New Roman" w:hAnsi="Times New Roman" w:eastAsia="黑体" w:cs="Times New Roman"/>
          <w:szCs w:val="21"/>
          <w14:ligatures w14:val="standardContextual"/>
        </w:rPr>
        <w:instrText xml:space="preserve"> SEQ 表 \* ARABIC </w:instrText>
      </w:r>
      <w:r>
        <w:rPr>
          <w:rFonts w:ascii="Times New Roman" w:hAnsi="Times New Roman" w:eastAsia="黑体" w:cs="Times New Roman"/>
          <w:szCs w:val="21"/>
          <w14:ligatures w14:val="standardContextual"/>
        </w:rPr>
        <w:fldChar w:fldCharType="separate"/>
      </w:r>
      <w:r>
        <w:rPr>
          <w:rFonts w:ascii="Times New Roman" w:hAnsi="Times New Roman" w:eastAsia="黑体" w:cs="Times New Roman"/>
          <w:szCs w:val="21"/>
          <w14:ligatures w14:val="standardContextual"/>
        </w:rPr>
        <w:t>2</w:t>
      </w:r>
      <w:r>
        <w:rPr>
          <w:rFonts w:ascii="Times New Roman" w:hAnsi="Times New Roman" w:eastAsia="黑体" w:cs="Times New Roman"/>
          <w:szCs w:val="21"/>
          <w14:ligatures w14:val="standardContextual"/>
        </w:rPr>
        <w:fldChar w:fldCharType="end"/>
      </w:r>
      <w:bookmarkStart w:id="9" w:name="_Hlk220492469"/>
      <w:r>
        <w:rPr>
          <w:rFonts w:hint="default" w:ascii="Times New Roman" w:hAnsi="Times New Roman" w:eastAsia="黑体" w:cs="Times New Roman"/>
          <w:szCs w:val="21"/>
          <w14:ligatures w14:val="standardContextual"/>
        </w:rPr>
        <w:t>太阳能光伏发电土地利用效率</w:t>
      </w:r>
      <w:r>
        <w:rPr>
          <w:rFonts w:ascii="Times New Roman" w:hAnsi="Times New Roman" w:eastAsia="黑体" w:cs="Times New Roman"/>
          <w:szCs w:val="21"/>
          <w14:ligatures w14:val="standardContextual"/>
        </w:rPr>
        <w:fldChar w:fldCharType="begin"/>
      </w:r>
      <w:r>
        <w:rPr>
          <w:rFonts w:ascii="Times New Roman" w:hAnsi="Times New Roman" w:eastAsia="黑体" w:cs="Times New Roman"/>
          <w:szCs w:val="21"/>
          <w14:ligatures w14:val="standardContextual"/>
        </w:rPr>
        <w:instrText xml:space="preserve"> ADDIN ZOTERO_ITEM CSL_CITATION {"citationID":"VKLrHaMF","properties":{"unsorted":false,"formattedCitation":"\\super [1]\\nosupersub{}","plainCitation":"[1]","noteIndex":0},"citationItems":[{"id":424,"uris":["http://zotero.org/users/18711966/items/3QS975JM"],"itemData":{"id":424,"type":"article-journal","abstract":"Construction of carbon-intensive energy infrastructure is well underway under the Belt &amp; Road Initiative (BRI), challenging the global climate target. Regionally abundant solar power could provide an alternative for electricity generation. An integrative spatial model was developed to evaluate the technical potential of solar photovoltaic power. The influence of impacting factors was quantified systematically on an hourly basis. Results suggest that the electricity potential for the BRI region reaches 448.9 PWh annually, 41.3 times the regional demand for electricity in 2016. Tapping 3.7% of the potential through deploying 7.8 TW capacity could satisfy the regional electricity demand projected for 2030, requiring an investment of approximately 11.2 trillion 2017 USD and a commitment in land area of 88,426 km2, approximately 0.9% of China’s total. Countries endowed with 70.7% of the overall potential consume only 30.1% of regional electricity. The imbalance underscores the advantage of regional cooperation and investments in interconnected grids.","container-title":"Joule","DOI":"10.1016/j.joule.2019.06.006","ISSN":"2542-4351","issue":"8","journalAbbreviation":"Joule","language":"en","page":"1895-1912","source":"ScienceDirect","title":"The potential of photovoltaics to power the belt and road initiative","volume":"3","author":[{"family":"Chen","given":"Shi"},{"family":"Lu","given":"Xi"},{"family":"Miao","given":"Yufei"},{"family":"Deng","given":"Yu"},{"family":"Nielsen","given":"Chris P."},{"family":"Elbot","given":"Noah"},{"family":"Wang","given":"Yuanchen"},{"family":"Logan","given":"Kathryn G."},{"family":"McElroy","given":"Michael B."},{"family":"Hao","given":"Jiming"}],"issued":{"date-parts":[["2019",8,21]]}}}],"schema":"https://github.com/citation-style-language/schema/raw/master/csl-citation.json"} </w:instrText>
      </w:r>
      <w:r>
        <w:rPr>
          <w:rFonts w:ascii="Times New Roman" w:hAnsi="Times New Roman" w:eastAsia="黑体" w:cs="Times New Roman"/>
          <w:szCs w:val="21"/>
          <w14:ligatures w14:val="standardContextual"/>
        </w:rPr>
        <w:fldChar w:fldCharType="separate"/>
      </w:r>
      <w:r>
        <w:rPr>
          <w:rFonts w:ascii="Times New Roman" w:hAnsi="Times New Roman" w:cs="Times New Roman"/>
          <w:szCs w:val="24"/>
          <w:vertAlign w:val="superscript"/>
        </w:rPr>
        <w:t>[1]</w:t>
      </w:r>
      <w:r>
        <w:rPr>
          <w:rFonts w:ascii="Times New Roman" w:hAnsi="Times New Roman" w:eastAsia="黑体" w:cs="Times New Roman"/>
          <w:szCs w:val="21"/>
          <w14:ligatures w14:val="standardContextual"/>
        </w:rPr>
        <w:fldChar w:fldCharType="end"/>
      </w:r>
      <w:bookmarkEnd w:id="9"/>
    </w:p>
    <w:p w14:paraId="6384B892">
      <w:pPr>
        <w:spacing w:line="300" w:lineRule="auto"/>
        <w:rPr>
          <w:rFonts w:ascii="Times New Roman" w:hAnsi="Times New Roman" w:eastAsia="黑体" w:cs="Times New Roman"/>
          <w:szCs w:val="21"/>
        </w:rPr>
      </w:pPr>
      <w:bookmarkStart w:id="10" w:name="_Hlk220492441"/>
      <w:r>
        <w:rPr>
          <w:rFonts w:ascii="Times New Roman" w:hAnsi="Times New Roman" w:eastAsia="黑体" w:cs="Times New Roman"/>
          <w:szCs w:val="21"/>
          <w14:ligatures w14:val="standardContextual"/>
        </w:rPr>
        <w:t>Tab. S2 Land use efficiency of solar PV power generation</w:t>
      </w:r>
    </w:p>
    <w:bookmarkEnd w:id="10"/>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4"/>
        <w:gridCol w:w="3062"/>
      </w:tblGrid>
      <w:tr w14:paraId="706DA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57" w:type="pct"/>
            <w:tcBorders>
              <w:top w:val="single" w:color="auto" w:sz="12" w:space="0"/>
              <w:bottom w:val="single" w:color="auto" w:sz="4" w:space="0"/>
            </w:tcBorders>
            <w:vAlign w:val="center"/>
          </w:tcPr>
          <w:p w14:paraId="75A9B139">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土地利用类型</w:t>
            </w:r>
          </w:p>
        </w:tc>
        <w:tc>
          <w:tcPr>
            <w:tcW w:w="1843" w:type="pct"/>
            <w:tcBorders>
              <w:top w:val="single" w:color="auto" w:sz="12" w:space="0"/>
              <w:bottom w:val="single" w:color="auto" w:sz="4" w:space="0"/>
            </w:tcBorders>
            <w:vAlign w:val="center"/>
          </w:tcPr>
          <w:p w14:paraId="0A00BF09">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土地利用效率</w:t>
            </w:r>
          </w:p>
          <w:p w14:paraId="59AD8254">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w:t>
            </w:r>
            <w:r>
              <w:rPr>
                <w:rFonts w:ascii="Times New Roman" w:hAnsi="Times New Roman" w:eastAsia="宋体" w:cs="Times New Roman"/>
                <w:bCs/>
                <w:kern w:val="0"/>
                <w:szCs w:val="21"/>
              </w:rPr>
              <w:t>%</w:t>
            </w:r>
            <w:r>
              <w:rPr>
                <w:rFonts w:hint="default" w:ascii="Times New Roman" w:hAnsi="Times New Roman" w:eastAsia="宋体" w:cs="Times New Roman"/>
                <w:bCs/>
                <w:kern w:val="0"/>
                <w:szCs w:val="21"/>
              </w:rPr>
              <w:t>）</w:t>
            </w:r>
          </w:p>
        </w:tc>
      </w:tr>
      <w:tr w14:paraId="4A15E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57" w:type="pct"/>
            <w:tcBorders>
              <w:top w:val="single" w:color="auto" w:sz="4" w:space="0"/>
            </w:tcBorders>
            <w:vAlign w:val="center"/>
          </w:tcPr>
          <w:p w14:paraId="3938E1B9">
            <w:pPr>
              <w:spacing w:line="300" w:lineRule="auto"/>
              <w:jc w:val="center"/>
              <w:rPr>
                <w:rFonts w:ascii="Times New Roman" w:hAnsi="Times New Roman" w:eastAsia="宋体" w:cs="Times New Roman"/>
                <w:kern w:val="0"/>
                <w:szCs w:val="21"/>
              </w:rPr>
            </w:pPr>
            <w:r>
              <w:rPr>
                <w:rFonts w:hint="default" w:ascii="Times New Roman" w:hAnsi="Times New Roman" w:eastAsia="宋体" w:cs="Times New Roman"/>
                <w:kern w:val="0"/>
                <w:szCs w:val="21"/>
              </w:rPr>
              <w:t>森林</w:t>
            </w:r>
          </w:p>
        </w:tc>
        <w:tc>
          <w:tcPr>
            <w:tcW w:w="1843" w:type="pct"/>
            <w:tcBorders>
              <w:top w:val="single" w:color="auto" w:sz="4" w:space="0"/>
            </w:tcBorders>
            <w:vAlign w:val="center"/>
          </w:tcPr>
          <w:p w14:paraId="563854B1">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0</w:t>
            </w:r>
          </w:p>
        </w:tc>
      </w:tr>
      <w:tr w14:paraId="6EF6A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57" w:type="pct"/>
            <w:vAlign w:val="center"/>
          </w:tcPr>
          <w:p w14:paraId="4525E784">
            <w:pPr>
              <w:spacing w:line="300" w:lineRule="auto"/>
              <w:jc w:val="center"/>
              <w:rPr>
                <w:rFonts w:ascii="Times New Roman" w:hAnsi="Times New Roman" w:eastAsia="宋体" w:cs="Times New Roman"/>
                <w:kern w:val="0"/>
                <w:szCs w:val="21"/>
              </w:rPr>
            </w:pPr>
            <w:r>
              <w:rPr>
                <w:rFonts w:hint="default" w:ascii="Times New Roman" w:hAnsi="Times New Roman" w:eastAsia="宋体" w:cs="Times New Roman"/>
                <w:kern w:val="0"/>
                <w:szCs w:val="21"/>
              </w:rPr>
              <w:t>灌木</w:t>
            </w:r>
          </w:p>
        </w:tc>
        <w:tc>
          <w:tcPr>
            <w:tcW w:w="1843" w:type="pct"/>
            <w:vAlign w:val="center"/>
          </w:tcPr>
          <w:p w14:paraId="5A2F9868">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5</w:t>
            </w:r>
          </w:p>
        </w:tc>
      </w:tr>
      <w:tr w14:paraId="6D0E5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57" w:type="pct"/>
            <w:vAlign w:val="center"/>
          </w:tcPr>
          <w:p w14:paraId="07331451">
            <w:pPr>
              <w:spacing w:line="300" w:lineRule="auto"/>
              <w:jc w:val="center"/>
              <w:rPr>
                <w:rFonts w:ascii="Times New Roman" w:hAnsi="Times New Roman" w:eastAsia="宋体" w:cs="Times New Roman"/>
                <w:kern w:val="0"/>
                <w:szCs w:val="21"/>
              </w:rPr>
            </w:pPr>
            <w:r>
              <w:rPr>
                <w:rFonts w:hint="default" w:ascii="Times New Roman" w:hAnsi="Times New Roman" w:eastAsia="宋体" w:cs="Times New Roman"/>
                <w:kern w:val="0"/>
                <w:szCs w:val="21"/>
              </w:rPr>
              <w:t>草地</w:t>
            </w:r>
          </w:p>
        </w:tc>
        <w:tc>
          <w:tcPr>
            <w:tcW w:w="1843" w:type="pct"/>
            <w:vAlign w:val="center"/>
          </w:tcPr>
          <w:p w14:paraId="4D9F22FE">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20</w:t>
            </w:r>
          </w:p>
        </w:tc>
      </w:tr>
      <w:tr w14:paraId="4749F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57" w:type="pct"/>
            <w:vAlign w:val="center"/>
          </w:tcPr>
          <w:p w14:paraId="59AAE36F">
            <w:pPr>
              <w:spacing w:line="300" w:lineRule="auto"/>
              <w:jc w:val="center"/>
              <w:rPr>
                <w:rFonts w:ascii="Times New Roman" w:hAnsi="Times New Roman" w:eastAsia="宋体" w:cs="Times New Roman"/>
                <w:kern w:val="0"/>
                <w:szCs w:val="21"/>
              </w:rPr>
            </w:pPr>
            <w:r>
              <w:rPr>
                <w:rFonts w:hint="default" w:ascii="Times New Roman" w:hAnsi="Times New Roman" w:eastAsia="宋体" w:cs="Times New Roman"/>
                <w:kern w:val="0"/>
                <w:szCs w:val="21"/>
              </w:rPr>
              <w:t>荒地</w:t>
            </w:r>
          </w:p>
        </w:tc>
        <w:tc>
          <w:tcPr>
            <w:tcW w:w="1843" w:type="pct"/>
            <w:vAlign w:val="center"/>
          </w:tcPr>
          <w:p w14:paraId="0BE41017">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20</w:t>
            </w:r>
          </w:p>
        </w:tc>
      </w:tr>
      <w:tr w14:paraId="75087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57" w:type="pct"/>
            <w:vAlign w:val="center"/>
          </w:tcPr>
          <w:p w14:paraId="7AD624A5">
            <w:pPr>
              <w:spacing w:line="300" w:lineRule="auto"/>
              <w:jc w:val="center"/>
              <w:rPr>
                <w:rFonts w:ascii="Times New Roman" w:hAnsi="Times New Roman" w:eastAsia="宋体" w:cs="Times New Roman"/>
                <w:kern w:val="0"/>
                <w:szCs w:val="21"/>
              </w:rPr>
            </w:pPr>
            <w:r>
              <w:rPr>
                <w:rFonts w:hint="default" w:ascii="Times New Roman" w:hAnsi="Times New Roman" w:eastAsia="宋体" w:cs="Times New Roman"/>
                <w:kern w:val="0"/>
                <w:szCs w:val="21"/>
              </w:rPr>
              <w:t>农田</w:t>
            </w:r>
          </w:p>
        </w:tc>
        <w:tc>
          <w:tcPr>
            <w:tcW w:w="1843" w:type="pct"/>
            <w:vAlign w:val="center"/>
          </w:tcPr>
          <w:p w14:paraId="0448B9B1">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2</w:t>
            </w:r>
          </w:p>
        </w:tc>
      </w:tr>
      <w:tr w14:paraId="2EEE3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57" w:type="pct"/>
            <w:vAlign w:val="center"/>
          </w:tcPr>
          <w:p w14:paraId="60B98C83">
            <w:pPr>
              <w:spacing w:line="300" w:lineRule="auto"/>
              <w:jc w:val="center"/>
              <w:rPr>
                <w:rFonts w:ascii="Times New Roman" w:hAnsi="Times New Roman" w:eastAsia="宋体" w:cs="Times New Roman"/>
                <w:kern w:val="0"/>
                <w:szCs w:val="21"/>
              </w:rPr>
            </w:pPr>
            <w:r>
              <w:rPr>
                <w:rFonts w:hint="default" w:ascii="Times New Roman" w:hAnsi="Times New Roman" w:eastAsia="宋体" w:cs="Times New Roman"/>
                <w:kern w:val="0"/>
                <w:szCs w:val="21"/>
              </w:rPr>
              <w:t>不透水面</w:t>
            </w:r>
          </w:p>
        </w:tc>
        <w:tc>
          <w:tcPr>
            <w:tcW w:w="1843" w:type="pct"/>
            <w:vAlign w:val="center"/>
          </w:tcPr>
          <w:p w14:paraId="495076E6">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5</w:t>
            </w:r>
          </w:p>
        </w:tc>
      </w:tr>
      <w:tr w14:paraId="22BA4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57" w:type="pct"/>
            <w:tcBorders>
              <w:bottom w:val="single" w:color="auto" w:sz="12" w:space="0"/>
            </w:tcBorders>
            <w:vAlign w:val="center"/>
          </w:tcPr>
          <w:p w14:paraId="030D2253">
            <w:pPr>
              <w:spacing w:line="300" w:lineRule="auto"/>
              <w:jc w:val="center"/>
              <w:rPr>
                <w:rFonts w:ascii="Times New Roman" w:hAnsi="Times New Roman" w:eastAsia="宋体" w:cs="Times New Roman"/>
                <w:kern w:val="0"/>
                <w:szCs w:val="21"/>
              </w:rPr>
            </w:pPr>
            <w:r>
              <w:rPr>
                <w:rFonts w:hint="default" w:ascii="Times New Roman" w:hAnsi="Times New Roman" w:eastAsia="宋体" w:cs="Times New Roman"/>
                <w:kern w:val="0"/>
                <w:szCs w:val="21"/>
              </w:rPr>
              <w:t>水体和冰川</w:t>
            </w:r>
          </w:p>
        </w:tc>
        <w:tc>
          <w:tcPr>
            <w:tcW w:w="1843" w:type="pct"/>
            <w:tcBorders>
              <w:bottom w:val="single" w:color="auto" w:sz="12" w:space="0"/>
            </w:tcBorders>
            <w:vAlign w:val="center"/>
          </w:tcPr>
          <w:p w14:paraId="29EA75EA">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0</w:t>
            </w:r>
          </w:p>
        </w:tc>
      </w:tr>
    </w:tbl>
    <w:p w14:paraId="5F7B898C">
      <w:pPr>
        <w:spacing w:line="300" w:lineRule="auto"/>
        <w:rPr>
          <w:rFonts w:ascii="Times New Roman" w:hAnsi="Times New Roman" w:cs="Times New Roman"/>
        </w:rPr>
      </w:pPr>
    </w:p>
    <w:p w14:paraId="2158AB29">
      <w:pPr>
        <w:spacing w:after="120" w:line="360" w:lineRule="auto"/>
        <w:rPr>
          <w:rFonts w:ascii="Times New Roman" w:hAnsi="Times New Roman" w:eastAsia="宋体" w:cs="Times New Roman"/>
          <w:sz w:val="24"/>
          <w:szCs w:val="24"/>
        </w:rPr>
      </w:pPr>
    </w:p>
    <w:p w14:paraId="61AAFB91">
      <w:pPr>
        <w:widowControl/>
        <w:spacing w:after="160" w:line="278" w:lineRule="auto"/>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7781C1F0">
      <w:pPr>
        <w:widowControl/>
        <w:spacing w:line="300" w:lineRule="auto"/>
        <w:jc w:val="left"/>
        <w:outlineLvl w:val="1"/>
        <w:rPr>
          <w:rFonts w:ascii="Times New Roman" w:hAnsi="Times New Roman" w:eastAsia="黑体" w:cs="Times New Roman"/>
          <w:szCs w:val="21"/>
          <w14:ligatures w14:val="standardContextual"/>
        </w:rPr>
      </w:pPr>
      <w:bookmarkStart w:id="11" w:name="_Hlk220492506"/>
      <w:r>
        <w:rPr>
          <w:rFonts w:hint="default" w:ascii="Times New Roman" w:hAnsi="Times New Roman" w:eastAsia="黑体" w:cs="Times New Roman"/>
          <w:szCs w:val="21"/>
          <w14:ligatures w14:val="standardContextual"/>
        </w:rPr>
        <w:t>表</w:t>
      </w:r>
      <w:r>
        <w:rPr>
          <w:rFonts w:ascii="Times New Roman" w:hAnsi="Times New Roman" w:eastAsia="黑体" w:cs="Times New Roman"/>
          <w:szCs w:val="21"/>
          <w14:ligatures w14:val="standardContextual"/>
        </w:rPr>
        <w:t xml:space="preserve"> S</w:t>
      </w:r>
      <w:r>
        <w:rPr>
          <w:rFonts w:ascii="Times New Roman" w:hAnsi="Times New Roman" w:eastAsia="黑体" w:cs="Times New Roman"/>
          <w:szCs w:val="21"/>
          <w14:ligatures w14:val="standardContextual"/>
        </w:rPr>
        <w:fldChar w:fldCharType="begin"/>
      </w:r>
      <w:r>
        <w:rPr>
          <w:rFonts w:hint="default" w:ascii="Times New Roman" w:hAnsi="Times New Roman" w:eastAsia="黑体" w:cs="Times New Roman"/>
          <w:szCs w:val="21"/>
          <w14:ligatures w14:val="standardContextual"/>
        </w:rPr>
        <w:instrText xml:space="preserve"> SEQ 表 \* ARABIC </w:instrText>
      </w:r>
      <w:r>
        <w:rPr>
          <w:rFonts w:ascii="Times New Roman" w:hAnsi="Times New Roman" w:eastAsia="黑体" w:cs="Times New Roman"/>
          <w:szCs w:val="21"/>
          <w14:ligatures w14:val="standardContextual"/>
        </w:rPr>
        <w:fldChar w:fldCharType="separate"/>
      </w:r>
      <w:r>
        <w:rPr>
          <w:rFonts w:ascii="Times New Roman" w:hAnsi="Times New Roman" w:eastAsia="黑体" w:cs="Times New Roman"/>
          <w:szCs w:val="21"/>
          <w14:ligatures w14:val="standardContextual"/>
        </w:rPr>
        <w:t>3</w:t>
      </w:r>
      <w:r>
        <w:rPr>
          <w:rFonts w:ascii="Times New Roman" w:hAnsi="Times New Roman" w:eastAsia="黑体" w:cs="Times New Roman"/>
          <w:szCs w:val="21"/>
          <w14:ligatures w14:val="standardContextual"/>
        </w:rPr>
        <w:fldChar w:fldCharType="end"/>
      </w:r>
      <w:r>
        <w:rPr>
          <w:rFonts w:hint="default" w:ascii="Times New Roman" w:hAnsi="Times New Roman" w:eastAsia="黑体" w:cs="Times New Roman"/>
          <w:szCs w:val="21"/>
          <w14:ligatures w14:val="standardContextual"/>
        </w:rPr>
        <w:t xml:space="preserve"> 光伏组件参数</w:t>
      </w:r>
      <w:r>
        <w:rPr>
          <w:rFonts w:ascii="Times New Roman" w:hAnsi="Times New Roman" w:eastAsia="黑体" w:cs="Times New Roman"/>
          <w:szCs w:val="21"/>
          <w14:ligatures w14:val="standardContextual"/>
        </w:rPr>
        <w:fldChar w:fldCharType="begin"/>
      </w:r>
      <w:r>
        <w:rPr>
          <w:rFonts w:ascii="Times New Roman" w:hAnsi="Times New Roman" w:eastAsia="黑体" w:cs="Times New Roman"/>
          <w:szCs w:val="21"/>
          <w14:ligatures w14:val="standardContextual"/>
        </w:rPr>
        <w:instrText xml:space="preserve"> ADDIN ZOTERO_ITEM CSL_CITATION {"citationID":"xScl2oki","properties":{"unsorted":false,"formattedCitation":"\\super [1]\\nosupersub{}","plainCitation":"[1]","noteIndex":0},"citationItems":[{"id":424,"uris":["http://zotero.org/users/18711966/items/3QS975JM"],"itemData":{"id":424,"type":"article-journal","abstract":"Construction of carbon-intensive energy infrastructure is well underway under the Belt &amp; Road Initiative (BRI), challenging the global climate target. Regionally abundant solar power could provide an alternative for electricity generation. An integrative spatial model was developed to evaluate the technical potential of solar photovoltaic power. The influence of impacting factors was quantified systematically on an hourly basis. Results suggest that the electricity potential for the BRI region reaches 448.9 PWh annually, 41.3 times the regional demand for electricity in 2016. Tapping 3.7% of the potential through deploying 7.8 TW capacity could satisfy the regional electricity demand projected for 2030, requiring an investment of approximately 11.2 trillion 2017 USD and a commitment in land area of 88,426 km2, approximately 0.9% of China’s total. Countries endowed with 70.7% of the overall potential consume only 30.1% of regional electricity. The imbalance underscores the advantage of regional cooperation and investments in interconnected grids.","container-title":"Joule","DOI":"10.1016/j.joule.2019.06.006","ISSN":"2542-4351","issue":"8","journalAbbreviation":"Joule","language":"en","page":"1895-1912","source":"ScienceDirect","title":"The potential of photovoltaics to power the belt and road initiative","volume":"3","author":[{"family":"Chen","given":"Shi"},{"family":"Lu","given":"Xi"},{"family":"Miao","given":"Yufei"},{"family":"Deng","given":"Yu"},{"family":"Nielsen","given":"Chris P."},{"family":"Elbot","given":"Noah"},{"family":"Wang","given":"Yuanchen"},{"family":"Logan","given":"Kathryn G."},{"family":"McElroy","given":"Michael B."},{"family":"Hao","given":"Jiming"}],"issued":{"date-parts":[["2019",8,21]]}}}],"schema":"https://github.com/citation-style-language/schema/raw/master/csl-citation.json"} </w:instrText>
      </w:r>
      <w:r>
        <w:rPr>
          <w:rFonts w:ascii="Times New Roman" w:hAnsi="Times New Roman" w:eastAsia="黑体" w:cs="Times New Roman"/>
          <w:szCs w:val="21"/>
          <w14:ligatures w14:val="standardContextual"/>
        </w:rPr>
        <w:fldChar w:fldCharType="separate"/>
      </w:r>
      <w:r>
        <w:rPr>
          <w:rFonts w:ascii="Times New Roman" w:hAnsi="Times New Roman" w:cs="Times New Roman"/>
          <w:szCs w:val="24"/>
          <w:vertAlign w:val="superscript"/>
        </w:rPr>
        <w:t>[1]</w:t>
      </w:r>
      <w:r>
        <w:rPr>
          <w:rFonts w:ascii="Times New Roman" w:hAnsi="Times New Roman" w:eastAsia="黑体" w:cs="Times New Roman"/>
          <w:szCs w:val="21"/>
          <w14:ligatures w14:val="standardContextual"/>
        </w:rPr>
        <w:fldChar w:fldCharType="end"/>
      </w:r>
    </w:p>
    <w:p w14:paraId="47FA1357">
      <w:pPr>
        <w:spacing w:line="300" w:lineRule="auto"/>
        <w:rPr>
          <w:rFonts w:ascii="Times New Roman" w:hAnsi="Times New Roman" w:eastAsia="黑体" w:cs="Times New Roman"/>
          <w:sz w:val="18"/>
          <w:szCs w:val="18"/>
          <w14:ligatures w14:val="standardContextual"/>
        </w:rPr>
      </w:pPr>
      <w:r>
        <w:rPr>
          <w:rFonts w:ascii="Times New Roman" w:hAnsi="Times New Roman" w:eastAsia="黑体" w:cs="Times New Roman"/>
          <w:sz w:val="18"/>
          <w:szCs w:val="18"/>
          <w14:ligatures w14:val="standardContextual"/>
        </w:rPr>
        <w:t>Tab. S3 Parameter data of PV modules</w:t>
      </w:r>
    </w:p>
    <w:bookmarkEnd w:id="11"/>
    <w:tbl>
      <w:tblPr>
        <w:tblStyle w:val="2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1558"/>
        <w:gridCol w:w="1276"/>
        <w:gridCol w:w="2268"/>
        <w:gridCol w:w="1786"/>
      </w:tblGrid>
      <w:tr w14:paraId="6D7A5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4" w:type="pct"/>
            <w:tcBorders>
              <w:top w:val="single" w:color="auto" w:sz="12" w:space="0"/>
              <w:bottom w:val="single" w:color="auto" w:sz="4" w:space="0"/>
            </w:tcBorders>
            <w:vAlign w:val="center"/>
          </w:tcPr>
          <w:p w14:paraId="5FC4D3E2">
            <w:pPr>
              <w:spacing w:line="300" w:lineRule="auto"/>
              <w:jc w:val="center"/>
              <w:rPr>
                <w:rFonts w:ascii="Times New Roman" w:hAnsi="Times New Roman" w:eastAsia="宋体" w:cs="Times New Roman"/>
                <w:bCs/>
                <w:kern w:val="0"/>
                <w:szCs w:val="21"/>
              </w:rPr>
            </w:pPr>
            <w:bookmarkStart w:id="12" w:name="_Hlk220492600"/>
            <w:r>
              <w:rPr>
                <w:rFonts w:hint="default" w:ascii="Times New Roman" w:hAnsi="Times New Roman" w:eastAsia="宋体" w:cs="Times New Roman"/>
                <w:bCs/>
                <w:kern w:val="0"/>
                <w:szCs w:val="21"/>
              </w:rPr>
              <w:t>光伏板尺寸</w:t>
            </w:r>
          </w:p>
          <w:p w14:paraId="1D0178CB">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w:t>
            </w:r>
            <w:r>
              <w:rPr>
                <w:rFonts w:ascii="Times New Roman" w:hAnsi="Times New Roman" w:eastAsia="宋体" w:cs="Times New Roman"/>
                <w:bCs/>
                <w:kern w:val="0"/>
                <w:szCs w:val="21"/>
              </w:rPr>
              <w:t>m</w:t>
            </w:r>
            <w:r>
              <w:rPr>
                <w:rFonts w:hint="default" w:ascii="Times New Roman" w:hAnsi="Times New Roman" w:eastAsia="宋体" w:cs="Times New Roman"/>
                <w:bCs/>
                <w:kern w:val="0"/>
                <w:szCs w:val="21"/>
              </w:rPr>
              <w:t>×</w:t>
            </w:r>
            <w:r>
              <w:rPr>
                <w:rFonts w:ascii="Times New Roman" w:hAnsi="Times New Roman" w:eastAsia="宋体" w:cs="Times New Roman"/>
                <w:bCs/>
                <w:kern w:val="0"/>
                <w:szCs w:val="21"/>
              </w:rPr>
              <w:t>m</w:t>
            </w:r>
            <w:r>
              <w:rPr>
                <w:rFonts w:hint="default" w:ascii="Times New Roman" w:hAnsi="Times New Roman" w:eastAsia="宋体" w:cs="Times New Roman"/>
                <w:bCs/>
                <w:kern w:val="0"/>
                <w:szCs w:val="21"/>
              </w:rPr>
              <w:t>）</w:t>
            </w:r>
          </w:p>
        </w:tc>
        <w:tc>
          <w:tcPr>
            <w:tcW w:w="938" w:type="pct"/>
            <w:tcBorders>
              <w:top w:val="single" w:color="auto" w:sz="12" w:space="0"/>
              <w:bottom w:val="single" w:color="auto" w:sz="4" w:space="0"/>
            </w:tcBorders>
            <w:vAlign w:val="center"/>
          </w:tcPr>
          <w:p w14:paraId="5C83C89B">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正常工作温度</w:t>
            </w:r>
          </w:p>
          <w:p w14:paraId="46B3B960">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w:t>
            </w:r>
          </w:p>
        </w:tc>
        <w:tc>
          <w:tcPr>
            <w:tcW w:w="768" w:type="pct"/>
            <w:tcBorders>
              <w:top w:val="single" w:color="auto" w:sz="12" w:space="0"/>
              <w:bottom w:val="single" w:color="auto" w:sz="4" w:space="0"/>
            </w:tcBorders>
            <w:vAlign w:val="center"/>
          </w:tcPr>
          <w:p w14:paraId="77DB7442">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温度系数</w:t>
            </w:r>
          </w:p>
          <w:p w14:paraId="390806C2">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w:t>
            </w:r>
            <w:r>
              <w:rPr>
                <w:rFonts w:ascii="Times New Roman" w:hAnsi="Times New Roman" w:eastAsia="宋体" w:cs="Times New Roman"/>
                <w:bCs/>
                <w:kern w:val="0"/>
                <w:szCs w:val="21"/>
              </w:rPr>
              <w:t>%</w:t>
            </w:r>
            <w:r>
              <w:rPr>
                <w:rFonts w:hint="default" w:ascii="Times New Roman" w:hAnsi="Times New Roman" w:eastAsia="宋体" w:cs="Times New Roman"/>
                <w:bCs/>
                <w:kern w:val="0"/>
                <w:szCs w:val="21"/>
              </w:rPr>
              <w:t>·°</w:t>
            </w:r>
            <w:r>
              <w:rPr>
                <w:rFonts w:ascii="Times New Roman" w:hAnsi="Times New Roman" w:eastAsia="宋体" w:cs="Times New Roman"/>
                <w:bCs/>
                <w:kern w:val="0"/>
                <w:szCs w:val="21"/>
              </w:rPr>
              <w:t>C</w:t>
            </w:r>
            <w:r>
              <w:rPr>
                <w:rFonts w:ascii="Times New Roman" w:hAnsi="Times New Roman" w:eastAsia="宋体" w:cs="Times New Roman"/>
                <w:bCs/>
                <w:kern w:val="0"/>
                <w:szCs w:val="21"/>
                <w:vertAlign w:val="superscript"/>
              </w:rPr>
              <w:t>-1</w:t>
            </w:r>
            <w:r>
              <w:rPr>
                <w:rFonts w:hint="default" w:ascii="Times New Roman" w:hAnsi="Times New Roman" w:eastAsia="宋体" w:cs="Times New Roman"/>
                <w:bCs/>
                <w:kern w:val="0"/>
                <w:szCs w:val="21"/>
              </w:rPr>
              <w:t>）</w:t>
            </w:r>
          </w:p>
        </w:tc>
        <w:tc>
          <w:tcPr>
            <w:tcW w:w="1365" w:type="pct"/>
            <w:tcBorders>
              <w:top w:val="single" w:color="auto" w:sz="12" w:space="0"/>
              <w:bottom w:val="single" w:color="auto" w:sz="4" w:space="0"/>
            </w:tcBorders>
            <w:vAlign w:val="center"/>
          </w:tcPr>
          <w:p w14:paraId="03F800D8">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标准状态峰值功率</w:t>
            </w:r>
          </w:p>
          <w:p w14:paraId="5C451311">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w:t>
            </w:r>
            <w:r>
              <w:rPr>
                <w:rFonts w:ascii="Times New Roman" w:hAnsi="Times New Roman" w:eastAsia="宋体" w:cs="Times New Roman"/>
                <w:bCs/>
                <w:kern w:val="0"/>
                <w:szCs w:val="21"/>
              </w:rPr>
              <w:t>kW</w:t>
            </w:r>
            <w:r>
              <w:rPr>
                <w:rFonts w:hint="default" w:ascii="Times New Roman" w:hAnsi="Times New Roman" w:eastAsia="宋体" w:cs="Times New Roman"/>
                <w:bCs/>
                <w:kern w:val="0"/>
                <w:szCs w:val="21"/>
              </w:rPr>
              <w:t>）</w:t>
            </w:r>
          </w:p>
        </w:tc>
        <w:tc>
          <w:tcPr>
            <w:tcW w:w="1075" w:type="pct"/>
            <w:tcBorders>
              <w:top w:val="single" w:color="auto" w:sz="12" w:space="0"/>
              <w:bottom w:val="single" w:color="auto" w:sz="4" w:space="0"/>
            </w:tcBorders>
            <w:vAlign w:val="center"/>
          </w:tcPr>
          <w:p w14:paraId="60F960A5">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系统效率</w:t>
            </w:r>
          </w:p>
          <w:p w14:paraId="59FD823E">
            <w:pPr>
              <w:spacing w:line="300" w:lineRule="auto"/>
              <w:jc w:val="center"/>
              <w:rPr>
                <w:rFonts w:ascii="Times New Roman" w:hAnsi="Times New Roman" w:eastAsia="宋体" w:cs="Times New Roman"/>
                <w:bCs/>
                <w:kern w:val="0"/>
                <w:szCs w:val="21"/>
              </w:rPr>
            </w:pPr>
            <w:r>
              <w:rPr>
                <w:rFonts w:hint="default" w:ascii="Times New Roman" w:hAnsi="Times New Roman" w:eastAsia="宋体" w:cs="Times New Roman"/>
                <w:bCs/>
                <w:kern w:val="0"/>
                <w:szCs w:val="21"/>
              </w:rPr>
              <w:t>（</w:t>
            </w:r>
            <w:r>
              <w:rPr>
                <w:rFonts w:ascii="Times New Roman" w:hAnsi="Times New Roman" w:eastAsia="宋体" w:cs="Times New Roman"/>
                <w:bCs/>
                <w:kern w:val="0"/>
                <w:szCs w:val="21"/>
              </w:rPr>
              <w:t>%</w:t>
            </w:r>
            <w:r>
              <w:rPr>
                <w:rFonts w:hint="default" w:ascii="Times New Roman" w:hAnsi="Times New Roman" w:eastAsia="宋体" w:cs="Times New Roman"/>
                <w:bCs/>
                <w:kern w:val="0"/>
                <w:szCs w:val="21"/>
              </w:rPr>
              <w:t>）</w:t>
            </w:r>
          </w:p>
        </w:tc>
      </w:tr>
      <w:tr w14:paraId="02887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4" w:type="pct"/>
            <w:tcBorders>
              <w:top w:val="single" w:color="auto" w:sz="4" w:space="0"/>
              <w:bottom w:val="single" w:color="auto" w:sz="12" w:space="0"/>
            </w:tcBorders>
            <w:vAlign w:val="center"/>
          </w:tcPr>
          <w:p w14:paraId="099CF1CF">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1</w:t>
            </w:r>
            <w:r>
              <w:rPr>
                <w:rFonts w:ascii="Times New Roman" w:hAnsi="Times New Roman" w:eastAsia="宋体" w:cs="Times New Roman"/>
                <w:bCs/>
                <w:kern w:val="0"/>
                <w:szCs w:val="21"/>
              </w:rPr>
              <w:t>×</w:t>
            </w:r>
            <w:r>
              <w:rPr>
                <w:rFonts w:ascii="Times New Roman" w:hAnsi="Times New Roman" w:eastAsia="宋体" w:cs="Times New Roman"/>
                <w:kern w:val="0"/>
                <w:szCs w:val="21"/>
              </w:rPr>
              <w:t>1</w:t>
            </w:r>
          </w:p>
        </w:tc>
        <w:tc>
          <w:tcPr>
            <w:tcW w:w="938" w:type="pct"/>
            <w:tcBorders>
              <w:top w:val="single" w:color="auto" w:sz="4" w:space="0"/>
              <w:bottom w:val="single" w:color="auto" w:sz="12" w:space="0"/>
            </w:tcBorders>
            <w:vAlign w:val="center"/>
          </w:tcPr>
          <w:p w14:paraId="64F535CA">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44</w:t>
            </w:r>
          </w:p>
        </w:tc>
        <w:tc>
          <w:tcPr>
            <w:tcW w:w="768" w:type="pct"/>
            <w:tcBorders>
              <w:top w:val="single" w:color="auto" w:sz="4" w:space="0"/>
              <w:bottom w:val="single" w:color="auto" w:sz="12" w:space="0"/>
            </w:tcBorders>
            <w:vAlign w:val="center"/>
          </w:tcPr>
          <w:p w14:paraId="2E1D6AF0">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-0.41</w:t>
            </w:r>
          </w:p>
        </w:tc>
        <w:tc>
          <w:tcPr>
            <w:tcW w:w="1365" w:type="pct"/>
            <w:tcBorders>
              <w:top w:val="single" w:color="auto" w:sz="4" w:space="0"/>
              <w:bottom w:val="single" w:color="auto" w:sz="12" w:space="0"/>
            </w:tcBorders>
            <w:vAlign w:val="center"/>
          </w:tcPr>
          <w:p w14:paraId="399C49E3">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0.1619</w:t>
            </w:r>
          </w:p>
        </w:tc>
        <w:tc>
          <w:tcPr>
            <w:tcW w:w="1075" w:type="pct"/>
            <w:tcBorders>
              <w:top w:val="single" w:color="auto" w:sz="4" w:space="0"/>
              <w:bottom w:val="single" w:color="auto" w:sz="12" w:space="0"/>
            </w:tcBorders>
            <w:vAlign w:val="center"/>
          </w:tcPr>
          <w:p w14:paraId="3BCB54FE">
            <w:pPr>
              <w:spacing w:line="300"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81.7</w:t>
            </w:r>
          </w:p>
        </w:tc>
      </w:tr>
      <w:bookmarkEnd w:id="12"/>
    </w:tbl>
    <w:p w14:paraId="477F1A00">
      <w:pPr>
        <w:spacing w:line="300" w:lineRule="auto"/>
        <w:rPr>
          <w:rFonts w:ascii="Times New Roman" w:hAnsi="Times New Roman" w:cs="Times New Roman"/>
        </w:rPr>
      </w:pPr>
    </w:p>
    <w:p w14:paraId="72154565">
      <w:pPr>
        <w:rPr>
          <w:rFonts w:ascii="Times New Roman" w:hAnsi="Times New Roman" w:cs="Times New Roman"/>
        </w:rPr>
      </w:pPr>
      <w:r>
        <w:rPr>
          <w:rFonts w:ascii="Times New Roman" w:hAnsi="Times New Roman" w:cs="Times New Roman"/>
        </w:rPr>
        <w:br w:type="page"/>
      </w:r>
    </w:p>
    <w:p w14:paraId="35142AE7">
      <w:pPr>
        <w:widowControl/>
        <w:spacing w:line="300" w:lineRule="auto"/>
        <w:jc w:val="left"/>
        <w:outlineLvl w:val="1"/>
        <w:rPr>
          <w:rFonts w:ascii="Times New Roman" w:hAnsi="Times New Roman" w:eastAsia="黑体" w:cs="Times New Roman"/>
          <w:szCs w:val="21"/>
          <w14:ligatures w14:val="standardContextual"/>
        </w:rPr>
      </w:pPr>
      <w:r>
        <w:rPr>
          <w:rFonts w:hint="default" w:ascii="Times New Roman" w:hAnsi="Times New Roman" w:eastAsia="黑体" w:cs="Times New Roman"/>
          <w:szCs w:val="21"/>
          <w14:ligatures w14:val="standardContextual"/>
        </w:rPr>
        <w:t>表</w:t>
      </w:r>
      <w:r>
        <w:rPr>
          <w:rFonts w:ascii="Times New Roman" w:hAnsi="Times New Roman" w:eastAsia="黑体" w:cs="Times New Roman"/>
          <w:szCs w:val="21"/>
          <w14:ligatures w14:val="standardContextual"/>
        </w:rPr>
        <w:t xml:space="preserve"> S4 </w:t>
      </w:r>
      <w:r>
        <w:rPr>
          <w:rFonts w:hint="default" w:ascii="Times New Roman" w:hAnsi="Times New Roman" w:eastAsia="黑体" w:cs="Times New Roman"/>
          <w:szCs w:val="21"/>
          <w14:ligatures w14:val="standardContextual"/>
        </w:rPr>
        <w:t>风险区划阈值设定</w:t>
      </w:r>
    </w:p>
    <w:p w14:paraId="61BEB975">
      <w:pPr>
        <w:spacing w:line="300" w:lineRule="auto"/>
        <w:rPr>
          <w:rFonts w:ascii="Times New Roman" w:hAnsi="Times New Roman" w:eastAsia="黑体" w:cs="Times New Roman"/>
          <w:sz w:val="18"/>
          <w:szCs w:val="18"/>
          <w14:ligatures w14:val="standardContextual"/>
        </w:rPr>
      </w:pPr>
      <w:r>
        <w:rPr>
          <w:rFonts w:ascii="Times New Roman" w:hAnsi="Times New Roman" w:eastAsia="黑体" w:cs="Times New Roman"/>
          <w:sz w:val="18"/>
          <w:szCs w:val="18"/>
          <w14:ligatures w14:val="standardContextual"/>
        </w:rPr>
        <w:t>Tab. S4 Threshold Setting for Risk Zoning</w:t>
      </w:r>
    </w:p>
    <w:tbl>
      <w:tblPr>
        <w:tblStyle w:val="19"/>
        <w:tblW w:w="5000" w:type="pct"/>
        <w:tblInd w:w="0" w:type="dxa"/>
        <w:tblLayout w:type="fixed"/>
        <w:tblCellMar>
          <w:top w:w="0" w:type="dxa"/>
          <w:left w:w="108" w:type="dxa"/>
          <w:bottom w:w="0" w:type="dxa"/>
          <w:right w:w="108" w:type="dxa"/>
        </w:tblCellMar>
      </w:tblPr>
      <w:tblGrid>
        <w:gridCol w:w="842"/>
        <w:gridCol w:w="1244"/>
        <w:gridCol w:w="1244"/>
        <w:gridCol w:w="1244"/>
        <w:gridCol w:w="1244"/>
        <w:gridCol w:w="1244"/>
        <w:gridCol w:w="1244"/>
      </w:tblGrid>
      <w:tr w14:paraId="4D1DF326">
        <w:tblPrEx>
          <w:tblCellMar>
            <w:top w:w="0" w:type="dxa"/>
            <w:left w:w="108" w:type="dxa"/>
            <w:bottom w:w="0" w:type="dxa"/>
            <w:right w:w="108" w:type="dxa"/>
          </w:tblCellMar>
        </w:tblPrEx>
        <w:trPr>
          <w:trHeight w:val="310" w:hRule="atLeast"/>
        </w:trPr>
        <w:tc>
          <w:tcPr>
            <w:tcW w:w="506" w:type="pct"/>
            <w:tcBorders>
              <w:top w:val="single" w:color="000000" w:sz="12" w:space="0"/>
              <w:left w:val="nil"/>
              <w:bottom w:val="single" w:color="000000" w:sz="8" w:space="0"/>
              <w:right w:val="nil"/>
            </w:tcBorders>
            <w:shd w:val="clear" w:color="auto" w:fill="auto"/>
            <w:noWrap/>
            <w:vAlign w:val="center"/>
          </w:tcPr>
          <w:p w14:paraId="6CDD99AA">
            <w:pPr>
              <w:widowControl/>
              <w:jc w:val="center"/>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发电潜力类型</w:t>
            </w:r>
          </w:p>
        </w:tc>
        <w:tc>
          <w:tcPr>
            <w:tcW w:w="748" w:type="pct"/>
            <w:tcBorders>
              <w:top w:val="single" w:color="000000" w:sz="12" w:space="0"/>
              <w:left w:val="nil"/>
              <w:bottom w:val="single" w:color="000000" w:sz="8" w:space="0"/>
              <w:right w:val="nil"/>
            </w:tcBorders>
            <w:shd w:val="clear" w:color="auto" w:fill="auto"/>
            <w:noWrap/>
            <w:vAlign w:val="center"/>
          </w:tcPr>
          <w:p w14:paraId="0C5CF8A3">
            <w:pPr>
              <w:widowControl/>
              <w:jc w:val="center"/>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themeColor="text1"/>
                <w:szCs w:val="21"/>
                <w14:textFill>
                  <w14:solidFill>
                    <w14:schemeClr w14:val="tx1"/>
                  </w14:solidFill>
                </w14:textFill>
              </w:rPr>
              <w:t>发电潜力的年际相对变化</w:t>
            </w:r>
            <w:r>
              <w:rPr>
                <w:rFonts w:hint="default" w:ascii="Times New Roman" w:hAnsi="Times New Roman" w:eastAsia="宋体" w:cs="Times New Roman"/>
                <w:color w:val="000000"/>
                <w:kern w:val="0"/>
                <w:sz w:val="22"/>
                <w:lang w:bidi="ar"/>
              </w:rPr>
              <w:t>（</w:t>
            </w:r>
            <w:r>
              <w:rPr>
                <w:rStyle w:val="52"/>
                <w:rFonts w:eastAsia="宋体"/>
                <w:lang w:bidi="ar"/>
              </w:rPr>
              <w:t>%</w:t>
            </w:r>
            <w:r>
              <w:rPr>
                <w:rStyle w:val="53"/>
                <w:rFonts w:hint="default" w:ascii="Times New Roman" w:hAnsi="Times New Roman" w:cs="Times New Roman"/>
                <w:lang w:bidi="ar"/>
              </w:rPr>
              <w:t>）</w:t>
            </w:r>
          </w:p>
        </w:tc>
        <w:tc>
          <w:tcPr>
            <w:tcW w:w="748" w:type="pct"/>
            <w:tcBorders>
              <w:top w:val="single" w:color="000000" w:sz="12" w:space="0"/>
              <w:left w:val="nil"/>
              <w:bottom w:val="single" w:color="000000" w:sz="8" w:space="0"/>
              <w:right w:val="nil"/>
            </w:tcBorders>
            <w:shd w:val="clear" w:color="auto" w:fill="auto"/>
            <w:noWrap/>
            <w:vAlign w:val="center"/>
          </w:tcPr>
          <w:p w14:paraId="65BB2BA7">
            <w:pPr>
              <w:widowControl/>
              <w:jc w:val="center"/>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年内波动性（</w:t>
            </w:r>
            <w:r>
              <w:rPr>
                <w:rFonts w:ascii="Times New Roman" w:hAnsi="Times New Roman" w:eastAsia="宋体" w:cs="Times New Roman"/>
                <w:color w:val="000000"/>
                <w:kern w:val="0"/>
                <w:sz w:val="22"/>
                <w:lang w:bidi="ar"/>
              </w:rPr>
              <w:t>CV）的相对变化（</w:t>
            </w:r>
            <w:r>
              <w:rPr>
                <w:rStyle w:val="52"/>
                <w:rFonts w:eastAsia="宋体"/>
                <w:lang w:bidi="ar"/>
              </w:rPr>
              <w:t>%</w:t>
            </w:r>
            <w:r>
              <w:rPr>
                <w:rStyle w:val="53"/>
                <w:rFonts w:hint="default" w:ascii="Times New Roman" w:hAnsi="Times New Roman" w:cs="Times New Roman"/>
                <w:lang w:bidi="ar"/>
              </w:rPr>
              <w:t>）</w:t>
            </w:r>
          </w:p>
        </w:tc>
        <w:tc>
          <w:tcPr>
            <w:tcW w:w="748" w:type="pct"/>
            <w:tcBorders>
              <w:top w:val="single" w:color="000000" w:sz="12" w:space="0"/>
              <w:left w:val="nil"/>
              <w:bottom w:val="single" w:color="000000" w:sz="8" w:space="0"/>
              <w:right w:val="nil"/>
            </w:tcBorders>
            <w:shd w:val="clear" w:color="auto" w:fill="auto"/>
            <w:noWrap/>
            <w:vAlign w:val="center"/>
          </w:tcPr>
          <w:p w14:paraId="58868679">
            <w:pPr>
              <w:widowControl/>
              <w:jc w:val="center"/>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极端低发电潜力日频率的相对变化（</w:t>
            </w:r>
            <w:r>
              <w:rPr>
                <w:rStyle w:val="52"/>
                <w:rFonts w:eastAsia="宋体"/>
                <w:lang w:bidi="ar"/>
              </w:rPr>
              <w:t>%</w:t>
            </w:r>
            <w:r>
              <w:rPr>
                <w:rStyle w:val="53"/>
                <w:rFonts w:hint="default" w:ascii="Times New Roman" w:hAnsi="Times New Roman" w:cs="Times New Roman"/>
                <w:lang w:bidi="ar"/>
              </w:rPr>
              <w:t>）</w:t>
            </w:r>
          </w:p>
        </w:tc>
        <w:tc>
          <w:tcPr>
            <w:tcW w:w="748" w:type="pct"/>
            <w:tcBorders>
              <w:top w:val="single" w:color="000000" w:sz="12" w:space="0"/>
              <w:left w:val="nil"/>
              <w:bottom w:val="single" w:color="000000" w:sz="8" w:space="0"/>
              <w:right w:val="nil"/>
            </w:tcBorders>
            <w:shd w:val="clear" w:color="auto" w:fill="auto"/>
            <w:noWrap/>
            <w:vAlign w:val="center"/>
          </w:tcPr>
          <w:p w14:paraId="3BE1C3DF">
            <w:pPr>
              <w:widowControl/>
              <w:jc w:val="center"/>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极端高发电潜力日频率的相对变化（</w:t>
            </w:r>
            <w:r>
              <w:rPr>
                <w:rStyle w:val="52"/>
                <w:rFonts w:eastAsia="宋体"/>
                <w:lang w:bidi="ar"/>
              </w:rPr>
              <w:t>%</w:t>
            </w:r>
            <w:r>
              <w:rPr>
                <w:rStyle w:val="53"/>
                <w:rFonts w:hint="default" w:ascii="Times New Roman" w:hAnsi="Times New Roman" w:cs="Times New Roman"/>
                <w:lang w:bidi="ar"/>
              </w:rPr>
              <w:t>）</w:t>
            </w:r>
          </w:p>
        </w:tc>
        <w:tc>
          <w:tcPr>
            <w:tcW w:w="748" w:type="pct"/>
            <w:tcBorders>
              <w:top w:val="single" w:color="000000" w:sz="12" w:space="0"/>
              <w:left w:val="nil"/>
              <w:bottom w:val="single" w:color="000000" w:sz="8" w:space="0"/>
              <w:right w:val="nil"/>
            </w:tcBorders>
            <w:shd w:val="clear" w:color="auto" w:fill="auto"/>
            <w:noWrap/>
            <w:vAlign w:val="center"/>
          </w:tcPr>
          <w:p w14:paraId="5F241BC6">
            <w:pPr>
              <w:widowControl/>
              <w:jc w:val="center"/>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themeColor="text1"/>
                <w:szCs w:val="21"/>
                <w14:textFill>
                  <w14:solidFill>
                    <w14:schemeClr w14:val="tx1"/>
                  </w14:solidFill>
                </w14:textFill>
              </w:rPr>
              <w:t>急升事件频率相对变化（</w:t>
            </w:r>
            <w:r>
              <w:rPr>
                <w:rFonts w:ascii="Times New Roman" w:hAnsi="Times New Roman" w:eastAsia="宋体" w:cs="Times New Roman"/>
                <w:color w:val="000000" w:themeColor="text1"/>
                <w:szCs w:val="21"/>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w:t>
            </w:r>
          </w:p>
        </w:tc>
        <w:tc>
          <w:tcPr>
            <w:tcW w:w="748" w:type="pct"/>
            <w:tcBorders>
              <w:top w:val="single" w:color="000000" w:sz="12" w:space="0"/>
              <w:left w:val="nil"/>
              <w:bottom w:val="single" w:color="000000" w:sz="8" w:space="0"/>
              <w:right w:val="nil"/>
            </w:tcBorders>
            <w:shd w:val="clear" w:color="auto" w:fill="auto"/>
            <w:noWrap/>
            <w:vAlign w:val="center"/>
          </w:tcPr>
          <w:p w14:paraId="074A6C00">
            <w:pPr>
              <w:widowControl/>
              <w:jc w:val="center"/>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themeColor="text1"/>
                <w:szCs w:val="21"/>
                <w14:textFill>
                  <w14:solidFill>
                    <w14:schemeClr w14:val="tx1"/>
                  </w14:solidFill>
                </w14:textFill>
              </w:rPr>
              <w:t>骤降事件频率相对变化（</w:t>
            </w:r>
            <w:r>
              <w:rPr>
                <w:rFonts w:ascii="Times New Roman" w:hAnsi="Times New Roman" w:eastAsia="宋体" w:cs="Times New Roman"/>
                <w:color w:val="000000" w:themeColor="text1"/>
                <w:szCs w:val="21"/>
                <w14:textFill>
                  <w14:solidFill>
                    <w14:schemeClr w14:val="tx1"/>
                  </w14:solidFill>
                </w14:textFill>
              </w:rPr>
              <w:t>%</w:t>
            </w:r>
            <w:r>
              <w:rPr>
                <w:rFonts w:hint="default" w:ascii="Times New Roman" w:hAnsi="Times New Roman" w:eastAsia="宋体" w:cs="Times New Roman"/>
                <w:color w:val="000000" w:themeColor="text1"/>
                <w:szCs w:val="21"/>
                <w14:textFill>
                  <w14:solidFill>
                    <w14:schemeClr w14:val="tx1"/>
                  </w14:solidFill>
                </w14:textFill>
              </w:rPr>
              <w:t>）</w:t>
            </w:r>
          </w:p>
        </w:tc>
      </w:tr>
      <w:tr w14:paraId="6491C48A">
        <w:tblPrEx>
          <w:tblCellMar>
            <w:top w:w="0" w:type="dxa"/>
            <w:left w:w="108" w:type="dxa"/>
            <w:bottom w:w="0" w:type="dxa"/>
            <w:right w:w="108" w:type="dxa"/>
          </w:tblCellMar>
        </w:tblPrEx>
        <w:trPr>
          <w:trHeight w:val="280" w:hRule="atLeast"/>
        </w:trPr>
        <w:tc>
          <w:tcPr>
            <w:tcW w:w="506" w:type="pct"/>
            <w:tcBorders>
              <w:top w:val="nil"/>
              <w:left w:val="nil"/>
              <w:bottom w:val="nil"/>
              <w:right w:val="nil"/>
            </w:tcBorders>
            <w:shd w:val="clear" w:color="auto" w:fill="auto"/>
            <w:noWrap/>
            <w:vAlign w:val="center"/>
          </w:tcPr>
          <w:p w14:paraId="1105C6A9">
            <w:pPr>
              <w:widowControl/>
              <w:jc w:val="center"/>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风电</w:t>
            </w:r>
          </w:p>
        </w:tc>
        <w:tc>
          <w:tcPr>
            <w:tcW w:w="748" w:type="pct"/>
            <w:tcBorders>
              <w:top w:val="nil"/>
              <w:left w:val="nil"/>
              <w:bottom w:val="nil"/>
              <w:right w:val="nil"/>
            </w:tcBorders>
            <w:shd w:val="clear" w:color="auto" w:fill="auto"/>
            <w:noWrap/>
            <w:vAlign w:val="center"/>
          </w:tcPr>
          <w:p w14:paraId="25A2EA4F">
            <w:pPr>
              <w:widowControl/>
              <w:jc w:val="center"/>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 xml:space="preserve">8.5 </w:t>
            </w:r>
          </w:p>
        </w:tc>
        <w:tc>
          <w:tcPr>
            <w:tcW w:w="748" w:type="pct"/>
            <w:tcBorders>
              <w:top w:val="nil"/>
              <w:left w:val="nil"/>
              <w:bottom w:val="nil"/>
              <w:right w:val="nil"/>
            </w:tcBorders>
            <w:shd w:val="clear" w:color="auto" w:fill="auto"/>
            <w:noWrap/>
            <w:vAlign w:val="center"/>
          </w:tcPr>
          <w:p w14:paraId="760392EA">
            <w:pPr>
              <w:widowControl/>
              <w:jc w:val="center"/>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 xml:space="preserve">6.5 </w:t>
            </w:r>
          </w:p>
        </w:tc>
        <w:tc>
          <w:tcPr>
            <w:tcW w:w="748" w:type="pct"/>
            <w:tcBorders>
              <w:top w:val="nil"/>
              <w:left w:val="nil"/>
              <w:bottom w:val="nil"/>
              <w:right w:val="nil"/>
            </w:tcBorders>
            <w:shd w:val="clear" w:color="auto" w:fill="auto"/>
            <w:noWrap/>
            <w:vAlign w:val="center"/>
          </w:tcPr>
          <w:p w14:paraId="02282062">
            <w:pPr>
              <w:widowControl/>
              <w:jc w:val="center"/>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 xml:space="preserve">46.2 </w:t>
            </w:r>
          </w:p>
        </w:tc>
        <w:tc>
          <w:tcPr>
            <w:tcW w:w="748" w:type="pct"/>
            <w:tcBorders>
              <w:top w:val="nil"/>
              <w:left w:val="nil"/>
              <w:bottom w:val="nil"/>
              <w:right w:val="nil"/>
            </w:tcBorders>
            <w:shd w:val="clear" w:color="auto" w:fill="auto"/>
            <w:noWrap/>
            <w:vAlign w:val="center"/>
          </w:tcPr>
          <w:p w14:paraId="586F0F5D">
            <w:pPr>
              <w:widowControl/>
              <w:jc w:val="center"/>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-10.1</w:t>
            </w:r>
          </w:p>
        </w:tc>
        <w:tc>
          <w:tcPr>
            <w:tcW w:w="748" w:type="pct"/>
            <w:tcBorders>
              <w:top w:val="nil"/>
              <w:left w:val="nil"/>
              <w:bottom w:val="nil"/>
              <w:right w:val="nil"/>
            </w:tcBorders>
            <w:shd w:val="clear" w:color="auto" w:fill="auto"/>
            <w:noWrap/>
            <w:vAlign w:val="center"/>
          </w:tcPr>
          <w:p w14:paraId="37AD52BB">
            <w:pPr>
              <w:widowControl/>
              <w:jc w:val="center"/>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6.6</w:t>
            </w:r>
          </w:p>
        </w:tc>
        <w:tc>
          <w:tcPr>
            <w:tcW w:w="748" w:type="pct"/>
            <w:tcBorders>
              <w:top w:val="nil"/>
              <w:left w:val="nil"/>
              <w:bottom w:val="nil"/>
              <w:right w:val="nil"/>
            </w:tcBorders>
            <w:shd w:val="clear" w:color="auto" w:fill="auto"/>
            <w:noWrap/>
            <w:vAlign w:val="center"/>
          </w:tcPr>
          <w:p w14:paraId="0F4BA8A7">
            <w:pPr>
              <w:widowControl/>
              <w:jc w:val="center"/>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6.8</w:t>
            </w:r>
          </w:p>
        </w:tc>
      </w:tr>
      <w:tr w14:paraId="2EFECF3A">
        <w:tblPrEx>
          <w:tblCellMar>
            <w:top w:w="0" w:type="dxa"/>
            <w:left w:w="108" w:type="dxa"/>
            <w:bottom w:w="0" w:type="dxa"/>
            <w:right w:w="108" w:type="dxa"/>
          </w:tblCellMar>
        </w:tblPrEx>
        <w:trPr>
          <w:trHeight w:val="280" w:hRule="atLeast"/>
        </w:trPr>
        <w:tc>
          <w:tcPr>
            <w:tcW w:w="506" w:type="pct"/>
            <w:tcBorders>
              <w:top w:val="nil"/>
              <w:left w:val="nil"/>
              <w:bottom w:val="nil"/>
              <w:right w:val="nil"/>
            </w:tcBorders>
            <w:shd w:val="clear" w:color="auto" w:fill="auto"/>
            <w:noWrap/>
            <w:vAlign w:val="center"/>
          </w:tcPr>
          <w:p w14:paraId="472DD2FA">
            <w:pPr>
              <w:widowControl/>
              <w:jc w:val="center"/>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光电</w:t>
            </w:r>
          </w:p>
        </w:tc>
        <w:tc>
          <w:tcPr>
            <w:tcW w:w="748" w:type="pct"/>
            <w:tcBorders>
              <w:top w:val="nil"/>
              <w:left w:val="nil"/>
              <w:bottom w:val="nil"/>
              <w:right w:val="nil"/>
            </w:tcBorders>
            <w:shd w:val="clear" w:color="auto" w:fill="auto"/>
            <w:noWrap/>
            <w:vAlign w:val="center"/>
          </w:tcPr>
          <w:p w14:paraId="4403896D">
            <w:pPr>
              <w:widowControl/>
              <w:jc w:val="center"/>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 xml:space="preserve">2.3 </w:t>
            </w:r>
          </w:p>
        </w:tc>
        <w:tc>
          <w:tcPr>
            <w:tcW w:w="748" w:type="pct"/>
            <w:tcBorders>
              <w:top w:val="nil"/>
              <w:left w:val="nil"/>
              <w:bottom w:val="nil"/>
              <w:right w:val="nil"/>
            </w:tcBorders>
            <w:shd w:val="clear" w:color="auto" w:fill="auto"/>
            <w:noWrap/>
            <w:vAlign w:val="center"/>
          </w:tcPr>
          <w:p w14:paraId="56BBF4CF">
            <w:pPr>
              <w:widowControl/>
              <w:jc w:val="center"/>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 xml:space="preserve">0.4 </w:t>
            </w:r>
          </w:p>
        </w:tc>
        <w:tc>
          <w:tcPr>
            <w:tcW w:w="748" w:type="pct"/>
            <w:tcBorders>
              <w:top w:val="nil"/>
              <w:left w:val="nil"/>
              <w:bottom w:val="nil"/>
              <w:right w:val="nil"/>
            </w:tcBorders>
            <w:shd w:val="clear" w:color="auto" w:fill="auto"/>
            <w:noWrap/>
            <w:vAlign w:val="center"/>
          </w:tcPr>
          <w:p w14:paraId="03AB9DB7">
            <w:pPr>
              <w:widowControl/>
              <w:jc w:val="center"/>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 xml:space="preserve">10.3 </w:t>
            </w:r>
          </w:p>
        </w:tc>
        <w:tc>
          <w:tcPr>
            <w:tcW w:w="748" w:type="pct"/>
            <w:tcBorders>
              <w:top w:val="nil"/>
              <w:left w:val="nil"/>
              <w:bottom w:val="nil"/>
              <w:right w:val="nil"/>
            </w:tcBorders>
            <w:shd w:val="clear" w:color="auto" w:fill="auto"/>
            <w:noWrap/>
            <w:vAlign w:val="center"/>
          </w:tcPr>
          <w:p w14:paraId="69CE3A43">
            <w:pPr>
              <w:widowControl/>
              <w:jc w:val="center"/>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-0.3</w:t>
            </w:r>
          </w:p>
        </w:tc>
        <w:tc>
          <w:tcPr>
            <w:tcW w:w="748" w:type="pct"/>
            <w:tcBorders>
              <w:top w:val="nil"/>
              <w:left w:val="nil"/>
              <w:bottom w:val="nil"/>
              <w:right w:val="nil"/>
            </w:tcBorders>
            <w:shd w:val="clear" w:color="auto" w:fill="auto"/>
            <w:noWrap/>
            <w:vAlign w:val="center"/>
          </w:tcPr>
          <w:p w14:paraId="279E12CE">
            <w:pPr>
              <w:widowControl/>
              <w:jc w:val="center"/>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5.7</w:t>
            </w:r>
          </w:p>
        </w:tc>
        <w:tc>
          <w:tcPr>
            <w:tcW w:w="748" w:type="pct"/>
            <w:tcBorders>
              <w:top w:val="nil"/>
              <w:left w:val="nil"/>
              <w:bottom w:val="nil"/>
              <w:right w:val="nil"/>
            </w:tcBorders>
            <w:shd w:val="clear" w:color="auto" w:fill="auto"/>
            <w:noWrap/>
            <w:vAlign w:val="center"/>
          </w:tcPr>
          <w:p w14:paraId="764422FA">
            <w:pPr>
              <w:widowControl/>
              <w:jc w:val="center"/>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4.8</w:t>
            </w:r>
          </w:p>
        </w:tc>
      </w:tr>
      <w:tr w14:paraId="36A45674">
        <w:tblPrEx>
          <w:tblCellMar>
            <w:top w:w="0" w:type="dxa"/>
            <w:left w:w="108" w:type="dxa"/>
            <w:bottom w:w="0" w:type="dxa"/>
            <w:right w:w="108" w:type="dxa"/>
          </w:tblCellMar>
        </w:tblPrEx>
        <w:trPr>
          <w:trHeight w:val="295" w:hRule="atLeast"/>
        </w:trPr>
        <w:tc>
          <w:tcPr>
            <w:tcW w:w="506" w:type="pct"/>
            <w:tcBorders>
              <w:top w:val="nil"/>
              <w:left w:val="nil"/>
              <w:bottom w:val="single" w:color="000000" w:sz="12" w:space="0"/>
              <w:right w:val="nil"/>
            </w:tcBorders>
            <w:shd w:val="clear" w:color="auto" w:fill="auto"/>
            <w:noWrap/>
            <w:vAlign w:val="center"/>
          </w:tcPr>
          <w:p w14:paraId="0060A809">
            <w:pPr>
              <w:widowControl/>
              <w:jc w:val="center"/>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风光耦合</w:t>
            </w:r>
          </w:p>
        </w:tc>
        <w:tc>
          <w:tcPr>
            <w:tcW w:w="748" w:type="pct"/>
            <w:tcBorders>
              <w:top w:val="nil"/>
              <w:left w:val="nil"/>
              <w:bottom w:val="single" w:color="000000" w:sz="12" w:space="0"/>
              <w:right w:val="nil"/>
            </w:tcBorders>
            <w:shd w:val="clear" w:color="auto" w:fill="auto"/>
            <w:noWrap/>
            <w:vAlign w:val="center"/>
          </w:tcPr>
          <w:p w14:paraId="171B0B15">
            <w:pPr>
              <w:widowControl/>
              <w:jc w:val="center"/>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 xml:space="preserve">1.1 </w:t>
            </w:r>
          </w:p>
        </w:tc>
        <w:tc>
          <w:tcPr>
            <w:tcW w:w="748" w:type="pct"/>
            <w:tcBorders>
              <w:top w:val="nil"/>
              <w:left w:val="nil"/>
              <w:bottom w:val="single" w:color="000000" w:sz="12" w:space="0"/>
              <w:right w:val="nil"/>
            </w:tcBorders>
            <w:shd w:val="clear" w:color="auto" w:fill="auto"/>
            <w:noWrap/>
            <w:vAlign w:val="center"/>
          </w:tcPr>
          <w:p w14:paraId="0384E5BF">
            <w:pPr>
              <w:widowControl/>
              <w:jc w:val="center"/>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 xml:space="preserve">2.9 </w:t>
            </w:r>
          </w:p>
        </w:tc>
        <w:tc>
          <w:tcPr>
            <w:tcW w:w="748" w:type="pct"/>
            <w:tcBorders>
              <w:top w:val="nil"/>
              <w:left w:val="nil"/>
              <w:bottom w:val="single" w:color="000000" w:sz="12" w:space="0"/>
              <w:right w:val="nil"/>
            </w:tcBorders>
            <w:shd w:val="clear" w:color="auto" w:fill="auto"/>
            <w:noWrap/>
            <w:vAlign w:val="center"/>
          </w:tcPr>
          <w:p w14:paraId="1C6E8C50">
            <w:pPr>
              <w:widowControl/>
              <w:jc w:val="center"/>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 xml:space="preserve">31.9 </w:t>
            </w:r>
          </w:p>
        </w:tc>
        <w:tc>
          <w:tcPr>
            <w:tcW w:w="748" w:type="pct"/>
            <w:tcBorders>
              <w:top w:val="nil"/>
              <w:left w:val="nil"/>
              <w:bottom w:val="single" w:color="000000" w:sz="12" w:space="0"/>
              <w:right w:val="nil"/>
            </w:tcBorders>
            <w:shd w:val="clear" w:color="auto" w:fill="auto"/>
            <w:noWrap/>
            <w:vAlign w:val="center"/>
          </w:tcPr>
          <w:p w14:paraId="5809A060">
            <w:pPr>
              <w:widowControl/>
              <w:jc w:val="center"/>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-4.6</w:t>
            </w:r>
          </w:p>
        </w:tc>
        <w:tc>
          <w:tcPr>
            <w:tcW w:w="748" w:type="pct"/>
            <w:tcBorders>
              <w:top w:val="nil"/>
              <w:left w:val="nil"/>
              <w:bottom w:val="single" w:color="000000" w:sz="12" w:space="0"/>
              <w:right w:val="nil"/>
            </w:tcBorders>
            <w:shd w:val="clear" w:color="auto" w:fill="auto"/>
            <w:noWrap/>
            <w:vAlign w:val="center"/>
          </w:tcPr>
          <w:p w14:paraId="045A6197">
            <w:pPr>
              <w:widowControl/>
              <w:jc w:val="center"/>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6.1</w:t>
            </w:r>
          </w:p>
        </w:tc>
        <w:tc>
          <w:tcPr>
            <w:tcW w:w="748" w:type="pct"/>
            <w:tcBorders>
              <w:top w:val="nil"/>
              <w:left w:val="nil"/>
              <w:bottom w:val="single" w:color="000000" w:sz="12" w:space="0"/>
              <w:right w:val="nil"/>
            </w:tcBorders>
            <w:shd w:val="clear" w:color="auto" w:fill="auto"/>
            <w:noWrap/>
            <w:vAlign w:val="center"/>
          </w:tcPr>
          <w:p w14:paraId="1A5E81C0">
            <w:pPr>
              <w:widowControl/>
              <w:jc w:val="center"/>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5.4</w:t>
            </w:r>
          </w:p>
        </w:tc>
      </w:tr>
    </w:tbl>
    <w:p w14:paraId="5995605A">
      <w:pPr>
        <w:rPr>
          <w:rFonts w:ascii="Times New Roman" w:hAnsi="Times New Roman" w:cs="Times New Roman"/>
        </w:rPr>
      </w:pPr>
      <w:r>
        <w:rPr>
          <w:rFonts w:ascii="Times New Roman" w:hAnsi="Times New Roman" w:cs="Times New Roman"/>
        </w:rPr>
        <w:br w:type="page"/>
      </w:r>
    </w:p>
    <w:p w14:paraId="529E5016">
      <w:pPr>
        <w:widowControl/>
        <w:spacing w:line="300" w:lineRule="auto"/>
        <w:jc w:val="left"/>
        <w:outlineLvl w:val="1"/>
        <w:rPr>
          <w:rFonts w:ascii="Times New Roman" w:hAnsi="Times New Roman" w:eastAsia="黑体" w:cs="Times New Roman"/>
          <w:szCs w:val="21"/>
          <w14:ligatures w14:val="standardContextual"/>
        </w:rPr>
      </w:pPr>
      <w:r>
        <w:rPr>
          <w:rFonts w:hint="default" w:ascii="Times New Roman" w:hAnsi="Times New Roman" w:eastAsia="黑体" w:cs="Times New Roman"/>
          <w:szCs w:val="21"/>
          <w14:ligatures w14:val="standardContextual"/>
        </w:rPr>
        <w:t>表</w:t>
      </w:r>
      <w:r>
        <w:rPr>
          <w:rFonts w:ascii="Times New Roman" w:hAnsi="Times New Roman" w:eastAsia="黑体" w:cs="Times New Roman"/>
          <w:szCs w:val="21"/>
          <w14:ligatures w14:val="standardContextual"/>
        </w:rPr>
        <w:t xml:space="preserve"> S5</w:t>
      </w:r>
      <w:r>
        <w:rPr>
          <w:rFonts w:hint="default" w:ascii="Times New Roman" w:hAnsi="Times New Roman" w:eastAsia="黑体" w:cs="Times New Roman"/>
          <w:szCs w:val="21"/>
          <w14:ligatures w14:val="standardContextual"/>
        </w:rPr>
        <w:t xml:space="preserve"> 变量符号说明</w:t>
      </w:r>
    </w:p>
    <w:p w14:paraId="1E732B58">
      <w:pPr>
        <w:spacing w:line="300" w:lineRule="auto"/>
        <w:rPr>
          <w:rFonts w:ascii="Times New Roman" w:hAnsi="Times New Roman" w:eastAsia="黑体" w:cs="Times New Roman"/>
          <w:sz w:val="18"/>
          <w:szCs w:val="18"/>
          <w14:ligatures w14:val="standardContextual"/>
        </w:rPr>
      </w:pPr>
      <w:r>
        <w:rPr>
          <w:rFonts w:ascii="Times New Roman" w:hAnsi="Times New Roman" w:eastAsia="黑体" w:cs="Times New Roman"/>
          <w:sz w:val="18"/>
          <w:szCs w:val="18"/>
          <w14:ligatures w14:val="standardContextual"/>
        </w:rPr>
        <w:t>Tab. S5 Nomenclature and Description of Variable Symbols</w:t>
      </w:r>
    </w:p>
    <w:tbl>
      <w:tblPr>
        <w:tblStyle w:val="19"/>
        <w:tblW w:w="4998" w:type="pct"/>
        <w:tblInd w:w="0" w:type="dxa"/>
        <w:tblLayout w:type="autofit"/>
        <w:tblCellMar>
          <w:top w:w="0" w:type="dxa"/>
          <w:left w:w="108" w:type="dxa"/>
          <w:bottom w:w="0" w:type="dxa"/>
          <w:right w:w="108" w:type="dxa"/>
        </w:tblCellMar>
      </w:tblPr>
      <w:tblGrid>
        <w:gridCol w:w="1770"/>
        <w:gridCol w:w="5096"/>
        <w:gridCol w:w="1437"/>
      </w:tblGrid>
      <w:tr w14:paraId="54362CEF">
        <w:tblPrEx>
          <w:tblCellMar>
            <w:top w:w="0" w:type="dxa"/>
            <w:left w:w="108" w:type="dxa"/>
            <w:bottom w:w="0" w:type="dxa"/>
            <w:right w:w="108" w:type="dxa"/>
          </w:tblCellMar>
        </w:tblPrEx>
        <w:trPr>
          <w:trHeight w:val="317" w:hRule="atLeast"/>
          <w:tblHeader/>
        </w:trPr>
        <w:tc>
          <w:tcPr>
            <w:tcW w:w="1066" w:type="pct"/>
            <w:tcBorders>
              <w:top w:val="single" w:color="000000" w:sz="12" w:space="0"/>
              <w:left w:val="nil"/>
              <w:bottom w:val="single" w:color="000000" w:sz="8" w:space="0"/>
              <w:right w:val="nil"/>
            </w:tcBorders>
            <w:shd w:val="clear" w:color="auto" w:fill="auto"/>
            <w:vAlign w:val="center"/>
          </w:tcPr>
          <w:p w14:paraId="43529028">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符号</w:t>
            </w:r>
          </w:p>
        </w:tc>
        <w:tc>
          <w:tcPr>
            <w:tcW w:w="3069" w:type="pct"/>
            <w:tcBorders>
              <w:top w:val="single" w:color="000000" w:sz="12" w:space="0"/>
              <w:left w:val="nil"/>
              <w:bottom w:val="single" w:color="000000" w:sz="8" w:space="0"/>
              <w:right w:val="nil"/>
            </w:tcBorders>
            <w:shd w:val="clear" w:color="auto" w:fill="auto"/>
            <w:vAlign w:val="center"/>
          </w:tcPr>
          <w:p w14:paraId="5171296B">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物理含义</w:t>
            </w:r>
          </w:p>
        </w:tc>
        <w:tc>
          <w:tcPr>
            <w:tcW w:w="865" w:type="pct"/>
            <w:tcBorders>
              <w:top w:val="single" w:color="000000" w:sz="12" w:space="0"/>
              <w:left w:val="nil"/>
              <w:bottom w:val="single" w:color="000000" w:sz="8" w:space="0"/>
              <w:right w:val="nil"/>
            </w:tcBorders>
            <w:shd w:val="clear" w:color="auto" w:fill="auto"/>
            <w:vAlign w:val="center"/>
          </w:tcPr>
          <w:p w14:paraId="7D4ED45F">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单位</w:t>
            </w:r>
          </w:p>
        </w:tc>
      </w:tr>
      <w:tr w14:paraId="7C76FBE2">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3D66A05F">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TE</w:t>
            </w:r>
            <w:r>
              <w:rPr>
                <w:rStyle w:val="58"/>
                <w:rFonts w:eastAsia="宋体"/>
                <w:lang w:bidi="ar"/>
              </w:rPr>
              <w:t>t</w:t>
            </w:r>
            <w:r>
              <w:rPr>
                <w:rStyle w:val="59"/>
                <w:rFonts w:eastAsia="宋体"/>
                <w:lang w:bidi="ar"/>
              </w:rPr>
              <w:t>​</w:t>
            </w:r>
          </w:p>
        </w:tc>
        <w:tc>
          <w:tcPr>
            <w:tcW w:w="3069" w:type="pct"/>
            <w:tcBorders>
              <w:top w:val="nil"/>
              <w:left w:val="nil"/>
              <w:bottom w:val="nil"/>
              <w:right w:val="nil"/>
            </w:tcBorders>
            <w:shd w:val="clear" w:color="auto" w:fill="auto"/>
            <w:vAlign w:val="center"/>
          </w:tcPr>
          <w:p w14:paraId="2523244C">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第</w:t>
            </w:r>
            <w:r>
              <w:rPr>
                <w:rStyle w:val="59"/>
                <w:rFonts w:eastAsia="宋体"/>
                <w:lang w:bidi="ar"/>
              </w:rPr>
              <w:t>t</w:t>
            </w:r>
            <w:r>
              <w:rPr>
                <w:rStyle w:val="60"/>
                <w:rFonts w:hint="default" w:ascii="Times New Roman" w:hAnsi="Times New Roman" w:cs="Times New Roman"/>
                <w:lang w:bidi="ar"/>
              </w:rPr>
              <w:t>小时的地表气温</w:t>
            </w:r>
          </w:p>
        </w:tc>
        <w:tc>
          <w:tcPr>
            <w:tcW w:w="865" w:type="pct"/>
            <w:tcBorders>
              <w:top w:val="nil"/>
              <w:left w:val="nil"/>
              <w:bottom w:val="nil"/>
              <w:right w:val="nil"/>
            </w:tcBorders>
            <w:shd w:val="clear" w:color="auto" w:fill="auto"/>
            <w:vAlign w:val="center"/>
          </w:tcPr>
          <w:p w14:paraId="50342B89">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w:t>
            </w:r>
          </w:p>
        </w:tc>
      </w:tr>
      <w:tr w14:paraId="6CEEDB92">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BAA1A7D">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T</w:t>
            </w:r>
            <w:r>
              <w:rPr>
                <w:rStyle w:val="58"/>
                <w:rFonts w:eastAsia="宋体"/>
                <w:lang w:bidi="ar"/>
              </w:rPr>
              <w:t>ave</w:t>
            </w:r>
            <w:r>
              <w:rPr>
                <w:rStyle w:val="59"/>
                <w:rFonts w:eastAsia="宋体"/>
                <w:lang w:bidi="ar"/>
              </w:rPr>
              <w:t>​</w:t>
            </w:r>
          </w:p>
        </w:tc>
        <w:tc>
          <w:tcPr>
            <w:tcW w:w="3069" w:type="pct"/>
            <w:tcBorders>
              <w:top w:val="nil"/>
              <w:left w:val="nil"/>
              <w:bottom w:val="nil"/>
              <w:right w:val="nil"/>
            </w:tcBorders>
            <w:shd w:val="clear" w:color="auto" w:fill="auto"/>
            <w:vAlign w:val="center"/>
          </w:tcPr>
          <w:p w14:paraId="47C72452">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日平均气温</w:t>
            </w:r>
          </w:p>
        </w:tc>
        <w:tc>
          <w:tcPr>
            <w:tcW w:w="865" w:type="pct"/>
            <w:tcBorders>
              <w:top w:val="nil"/>
              <w:left w:val="nil"/>
              <w:bottom w:val="nil"/>
              <w:right w:val="nil"/>
            </w:tcBorders>
            <w:shd w:val="clear" w:color="auto" w:fill="auto"/>
            <w:vAlign w:val="center"/>
          </w:tcPr>
          <w:p w14:paraId="3DC941D2">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w:t>
            </w:r>
          </w:p>
        </w:tc>
      </w:tr>
      <w:tr w14:paraId="6A86A638">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226A586B">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T</w:t>
            </w:r>
            <w:r>
              <w:rPr>
                <w:rStyle w:val="58"/>
                <w:rFonts w:eastAsia="宋体"/>
                <w:lang w:bidi="ar"/>
              </w:rPr>
              <w:t>max</w:t>
            </w:r>
            <w:r>
              <w:rPr>
                <w:rStyle w:val="59"/>
                <w:rFonts w:eastAsia="宋体"/>
                <w:lang w:bidi="ar"/>
              </w:rPr>
              <w:t>​</w:t>
            </w:r>
          </w:p>
        </w:tc>
        <w:tc>
          <w:tcPr>
            <w:tcW w:w="3069" w:type="pct"/>
            <w:tcBorders>
              <w:top w:val="nil"/>
              <w:left w:val="nil"/>
              <w:bottom w:val="nil"/>
              <w:right w:val="nil"/>
            </w:tcBorders>
            <w:shd w:val="clear" w:color="auto" w:fill="auto"/>
            <w:vAlign w:val="center"/>
          </w:tcPr>
          <w:p w14:paraId="64CEB565">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日最高气温</w:t>
            </w:r>
          </w:p>
        </w:tc>
        <w:tc>
          <w:tcPr>
            <w:tcW w:w="865" w:type="pct"/>
            <w:tcBorders>
              <w:top w:val="nil"/>
              <w:left w:val="nil"/>
              <w:bottom w:val="nil"/>
              <w:right w:val="nil"/>
            </w:tcBorders>
            <w:shd w:val="clear" w:color="auto" w:fill="auto"/>
            <w:vAlign w:val="center"/>
          </w:tcPr>
          <w:p w14:paraId="6911CA31">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w:t>
            </w:r>
          </w:p>
        </w:tc>
      </w:tr>
      <w:tr w14:paraId="4FEA7719">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4AA3AC2D">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T</w:t>
            </w:r>
            <w:r>
              <w:rPr>
                <w:rStyle w:val="58"/>
                <w:rFonts w:eastAsia="宋体"/>
                <w:lang w:bidi="ar"/>
              </w:rPr>
              <w:t>min</w:t>
            </w:r>
            <w:r>
              <w:rPr>
                <w:rStyle w:val="59"/>
                <w:rFonts w:eastAsia="宋体"/>
                <w:lang w:bidi="ar"/>
              </w:rPr>
              <w:t>​</w:t>
            </w:r>
          </w:p>
        </w:tc>
        <w:tc>
          <w:tcPr>
            <w:tcW w:w="3069" w:type="pct"/>
            <w:tcBorders>
              <w:top w:val="nil"/>
              <w:left w:val="nil"/>
              <w:bottom w:val="nil"/>
              <w:right w:val="nil"/>
            </w:tcBorders>
            <w:shd w:val="clear" w:color="auto" w:fill="auto"/>
            <w:vAlign w:val="center"/>
          </w:tcPr>
          <w:p w14:paraId="04112187">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日最低气温</w:t>
            </w:r>
          </w:p>
        </w:tc>
        <w:tc>
          <w:tcPr>
            <w:tcW w:w="865" w:type="pct"/>
            <w:tcBorders>
              <w:top w:val="nil"/>
              <w:left w:val="nil"/>
              <w:bottom w:val="nil"/>
              <w:right w:val="nil"/>
            </w:tcBorders>
            <w:shd w:val="clear" w:color="auto" w:fill="auto"/>
            <w:vAlign w:val="center"/>
          </w:tcPr>
          <w:p w14:paraId="203FF017">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w:t>
            </w:r>
          </w:p>
        </w:tc>
      </w:tr>
      <w:tr w14:paraId="43457C4C">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0E7E4A1">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t</w:t>
            </w:r>
            <w:r>
              <w:rPr>
                <w:rStyle w:val="58"/>
                <w:rFonts w:eastAsia="宋体"/>
                <w:lang w:bidi="ar"/>
              </w:rPr>
              <w:t>rise</w:t>
            </w:r>
            <w:r>
              <w:rPr>
                <w:rStyle w:val="59"/>
                <w:rFonts w:eastAsia="宋体"/>
                <w:lang w:bidi="ar"/>
              </w:rPr>
              <w:t>​</w:t>
            </w:r>
          </w:p>
        </w:tc>
        <w:tc>
          <w:tcPr>
            <w:tcW w:w="3069" w:type="pct"/>
            <w:tcBorders>
              <w:top w:val="nil"/>
              <w:left w:val="nil"/>
              <w:bottom w:val="nil"/>
              <w:right w:val="nil"/>
            </w:tcBorders>
            <w:shd w:val="clear" w:color="auto" w:fill="auto"/>
            <w:vAlign w:val="center"/>
          </w:tcPr>
          <w:p w14:paraId="0B3AD992">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日出时刻</w:t>
            </w:r>
          </w:p>
        </w:tc>
        <w:tc>
          <w:tcPr>
            <w:tcW w:w="865" w:type="pct"/>
            <w:tcBorders>
              <w:top w:val="nil"/>
              <w:left w:val="nil"/>
              <w:bottom w:val="nil"/>
              <w:right w:val="nil"/>
            </w:tcBorders>
            <w:shd w:val="clear" w:color="auto" w:fill="auto"/>
            <w:vAlign w:val="center"/>
          </w:tcPr>
          <w:p w14:paraId="6BB96ADC">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h</w:t>
            </w:r>
          </w:p>
        </w:tc>
      </w:tr>
      <w:tr w14:paraId="14684887">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5BBE4B8C">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t</w:t>
            </w:r>
          </w:p>
        </w:tc>
        <w:tc>
          <w:tcPr>
            <w:tcW w:w="3069" w:type="pct"/>
            <w:tcBorders>
              <w:top w:val="nil"/>
              <w:left w:val="nil"/>
              <w:bottom w:val="nil"/>
              <w:right w:val="nil"/>
            </w:tcBorders>
            <w:shd w:val="clear" w:color="auto" w:fill="auto"/>
            <w:vAlign w:val="center"/>
          </w:tcPr>
          <w:p w14:paraId="2E650ED4">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当前时刻</w:t>
            </w:r>
          </w:p>
        </w:tc>
        <w:tc>
          <w:tcPr>
            <w:tcW w:w="865" w:type="pct"/>
            <w:tcBorders>
              <w:top w:val="nil"/>
              <w:left w:val="nil"/>
              <w:bottom w:val="nil"/>
              <w:right w:val="nil"/>
            </w:tcBorders>
            <w:shd w:val="clear" w:color="auto" w:fill="auto"/>
            <w:vAlign w:val="center"/>
          </w:tcPr>
          <w:p w14:paraId="75F6B41A">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h</w:t>
            </w:r>
          </w:p>
        </w:tc>
      </w:tr>
      <w:tr w14:paraId="73735A6D">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FB318EA">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SSRD</w:t>
            </w:r>
            <w:r>
              <w:rPr>
                <w:rStyle w:val="58"/>
                <w:rFonts w:eastAsia="宋体"/>
                <w:lang w:bidi="ar"/>
              </w:rPr>
              <w:t>t</w:t>
            </w:r>
            <w:r>
              <w:rPr>
                <w:rStyle w:val="59"/>
                <w:rFonts w:eastAsia="宋体"/>
                <w:lang w:bidi="ar"/>
              </w:rPr>
              <w:t>​</w:t>
            </w:r>
          </w:p>
        </w:tc>
        <w:tc>
          <w:tcPr>
            <w:tcW w:w="3069" w:type="pct"/>
            <w:tcBorders>
              <w:top w:val="nil"/>
              <w:left w:val="nil"/>
              <w:bottom w:val="nil"/>
              <w:right w:val="nil"/>
            </w:tcBorders>
            <w:shd w:val="clear" w:color="auto" w:fill="auto"/>
            <w:vAlign w:val="center"/>
          </w:tcPr>
          <w:p w14:paraId="14CFB9DA">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逐小时地表太阳短波辐射量</w:t>
            </w:r>
          </w:p>
        </w:tc>
        <w:tc>
          <w:tcPr>
            <w:tcW w:w="865" w:type="pct"/>
            <w:tcBorders>
              <w:top w:val="nil"/>
              <w:left w:val="nil"/>
              <w:bottom w:val="nil"/>
              <w:right w:val="nil"/>
            </w:tcBorders>
            <w:shd w:val="clear" w:color="auto" w:fill="auto"/>
            <w:vAlign w:val="center"/>
          </w:tcPr>
          <w:p w14:paraId="0019A8F4">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kWh·m⁻²</w:t>
            </w:r>
          </w:p>
        </w:tc>
      </w:tr>
      <w:tr w14:paraId="6E2BE6A8">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2B60F3DF">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SSRD</w:t>
            </w:r>
            <w:r>
              <w:rPr>
                <w:rStyle w:val="58"/>
                <w:rFonts w:eastAsia="宋体"/>
                <w:lang w:bidi="ar"/>
              </w:rPr>
              <w:t>day</w:t>
            </w:r>
            <w:r>
              <w:rPr>
                <w:rStyle w:val="59"/>
                <w:rFonts w:eastAsia="宋体"/>
                <w:lang w:bidi="ar"/>
              </w:rPr>
              <w:t>​</w:t>
            </w:r>
          </w:p>
        </w:tc>
        <w:tc>
          <w:tcPr>
            <w:tcW w:w="3069" w:type="pct"/>
            <w:tcBorders>
              <w:top w:val="nil"/>
              <w:left w:val="nil"/>
              <w:bottom w:val="nil"/>
              <w:right w:val="nil"/>
            </w:tcBorders>
            <w:shd w:val="clear" w:color="auto" w:fill="auto"/>
            <w:vAlign w:val="center"/>
          </w:tcPr>
          <w:p w14:paraId="41788542">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日总太阳短波辐射量</w:t>
            </w:r>
          </w:p>
        </w:tc>
        <w:tc>
          <w:tcPr>
            <w:tcW w:w="865" w:type="pct"/>
            <w:tcBorders>
              <w:top w:val="nil"/>
              <w:left w:val="nil"/>
              <w:bottom w:val="nil"/>
              <w:right w:val="nil"/>
            </w:tcBorders>
            <w:shd w:val="clear" w:color="auto" w:fill="auto"/>
            <w:vAlign w:val="center"/>
          </w:tcPr>
          <w:p w14:paraId="479D073F">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kWh·m⁻²</w:t>
            </w:r>
          </w:p>
        </w:tc>
      </w:tr>
      <w:tr w14:paraId="1359C2F2">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253CB504">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ω</w:t>
            </w:r>
          </w:p>
        </w:tc>
        <w:tc>
          <w:tcPr>
            <w:tcW w:w="3069" w:type="pct"/>
            <w:tcBorders>
              <w:top w:val="nil"/>
              <w:left w:val="nil"/>
              <w:bottom w:val="nil"/>
              <w:right w:val="nil"/>
            </w:tcBorders>
            <w:shd w:val="clear" w:color="auto" w:fill="auto"/>
            <w:vAlign w:val="center"/>
          </w:tcPr>
          <w:p w14:paraId="24F92934">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太阳时角</w:t>
            </w:r>
          </w:p>
        </w:tc>
        <w:tc>
          <w:tcPr>
            <w:tcW w:w="865" w:type="pct"/>
            <w:tcBorders>
              <w:top w:val="nil"/>
              <w:left w:val="nil"/>
              <w:bottom w:val="nil"/>
              <w:right w:val="nil"/>
            </w:tcBorders>
            <w:shd w:val="clear" w:color="auto" w:fill="auto"/>
            <w:vAlign w:val="center"/>
          </w:tcPr>
          <w:p w14:paraId="05AE8610">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w:t>
            </w:r>
          </w:p>
        </w:tc>
      </w:tr>
      <w:tr w14:paraId="09A0DCA9">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5987B0D">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ω</w:t>
            </w:r>
            <w:r>
              <w:rPr>
                <w:rStyle w:val="58"/>
                <w:rFonts w:eastAsia="宋体"/>
                <w:lang w:bidi="ar"/>
              </w:rPr>
              <w:t>s</w:t>
            </w:r>
            <w:r>
              <w:rPr>
                <w:rStyle w:val="59"/>
                <w:rFonts w:eastAsia="宋体"/>
                <w:lang w:bidi="ar"/>
              </w:rPr>
              <w:t>​</w:t>
            </w:r>
          </w:p>
        </w:tc>
        <w:tc>
          <w:tcPr>
            <w:tcW w:w="3069" w:type="pct"/>
            <w:tcBorders>
              <w:top w:val="nil"/>
              <w:left w:val="nil"/>
              <w:bottom w:val="nil"/>
              <w:right w:val="nil"/>
            </w:tcBorders>
            <w:shd w:val="clear" w:color="auto" w:fill="auto"/>
            <w:vAlign w:val="center"/>
          </w:tcPr>
          <w:p w14:paraId="75B5AA50">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日落时角</w:t>
            </w:r>
          </w:p>
        </w:tc>
        <w:tc>
          <w:tcPr>
            <w:tcW w:w="865" w:type="pct"/>
            <w:tcBorders>
              <w:top w:val="nil"/>
              <w:left w:val="nil"/>
              <w:bottom w:val="nil"/>
              <w:right w:val="nil"/>
            </w:tcBorders>
            <w:shd w:val="clear" w:color="auto" w:fill="auto"/>
            <w:vAlign w:val="center"/>
          </w:tcPr>
          <w:p w14:paraId="5553C45C">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w:t>
            </w:r>
          </w:p>
        </w:tc>
      </w:tr>
      <w:tr w14:paraId="625F73D5">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B3DEDB2">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ssrd</w:t>
            </w:r>
            <w:r>
              <w:rPr>
                <w:rStyle w:val="58"/>
                <w:rFonts w:eastAsia="宋体"/>
                <w:lang w:bidi="ar"/>
              </w:rPr>
              <w:t>panel</w:t>
            </w:r>
            <w:r>
              <w:rPr>
                <w:rStyle w:val="59"/>
                <w:rFonts w:eastAsia="宋体"/>
                <w:lang w:bidi="ar"/>
              </w:rPr>
              <w:t>​</w:t>
            </w:r>
          </w:p>
        </w:tc>
        <w:tc>
          <w:tcPr>
            <w:tcW w:w="3069" w:type="pct"/>
            <w:tcBorders>
              <w:top w:val="nil"/>
              <w:left w:val="nil"/>
              <w:bottom w:val="nil"/>
              <w:right w:val="nil"/>
            </w:tcBorders>
            <w:shd w:val="clear" w:color="auto" w:fill="auto"/>
            <w:vAlign w:val="center"/>
          </w:tcPr>
          <w:p w14:paraId="11D4CF9C">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光伏板实际接收的太阳辐射量</w:t>
            </w:r>
          </w:p>
        </w:tc>
        <w:tc>
          <w:tcPr>
            <w:tcW w:w="865" w:type="pct"/>
            <w:tcBorders>
              <w:top w:val="nil"/>
              <w:left w:val="nil"/>
              <w:bottom w:val="nil"/>
              <w:right w:val="nil"/>
            </w:tcBorders>
            <w:shd w:val="clear" w:color="auto" w:fill="auto"/>
            <w:vAlign w:val="center"/>
          </w:tcPr>
          <w:p w14:paraId="2C2D5696">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kWh·m⁻²</w:t>
            </w:r>
          </w:p>
        </w:tc>
      </w:tr>
      <w:tr w14:paraId="47A4A8EA">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02EBAD31">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ε</w:t>
            </w:r>
            <w:r>
              <w:rPr>
                <w:rFonts w:ascii="Times New Roman" w:hAnsi="Times New Roman" w:eastAsia="宋体" w:cs="Times New Roman"/>
                <w:color w:val="000000"/>
                <w:kern w:val="0"/>
                <w:sz w:val="22"/>
                <w:vertAlign w:val="subscript"/>
                <w:lang w:bidi="ar"/>
              </w:rPr>
              <w:t>direct</w:t>
            </w:r>
            <w:r>
              <w:rPr>
                <w:rFonts w:ascii="Times New Roman" w:hAnsi="Times New Roman" w:eastAsia="宋体" w:cs="Times New Roman"/>
                <w:color w:val="000000"/>
                <w:kern w:val="0"/>
                <w:sz w:val="22"/>
                <w:lang w:bidi="ar"/>
              </w:rPr>
              <w:t>​</w:t>
            </w:r>
          </w:p>
        </w:tc>
        <w:tc>
          <w:tcPr>
            <w:tcW w:w="3069" w:type="pct"/>
            <w:tcBorders>
              <w:top w:val="nil"/>
              <w:left w:val="nil"/>
              <w:bottom w:val="nil"/>
              <w:right w:val="nil"/>
            </w:tcBorders>
            <w:shd w:val="clear" w:color="auto" w:fill="auto"/>
            <w:vAlign w:val="center"/>
          </w:tcPr>
          <w:p w14:paraId="265FD91D">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直射辐射接收系数</w:t>
            </w:r>
          </w:p>
        </w:tc>
        <w:tc>
          <w:tcPr>
            <w:tcW w:w="865" w:type="pct"/>
            <w:tcBorders>
              <w:top w:val="nil"/>
              <w:left w:val="nil"/>
              <w:bottom w:val="nil"/>
              <w:right w:val="nil"/>
            </w:tcBorders>
            <w:shd w:val="clear" w:color="auto" w:fill="auto"/>
            <w:vAlign w:val="center"/>
          </w:tcPr>
          <w:p w14:paraId="4618FCBD">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无量纲</w:t>
            </w:r>
          </w:p>
        </w:tc>
      </w:tr>
      <w:tr w14:paraId="515B7272">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12F0F313">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ε</w:t>
            </w:r>
            <w:r>
              <w:rPr>
                <w:rFonts w:ascii="Times New Roman" w:hAnsi="Times New Roman" w:eastAsia="宋体" w:cs="Times New Roman"/>
                <w:color w:val="000000"/>
                <w:kern w:val="0"/>
                <w:sz w:val="22"/>
                <w:vertAlign w:val="subscript"/>
                <w:lang w:bidi="ar"/>
              </w:rPr>
              <w:t>diffuse</w:t>
            </w:r>
            <w:r>
              <w:rPr>
                <w:rFonts w:ascii="Times New Roman" w:hAnsi="Times New Roman" w:eastAsia="宋体" w:cs="Times New Roman"/>
                <w:color w:val="000000"/>
                <w:kern w:val="0"/>
                <w:sz w:val="22"/>
                <w:lang w:bidi="ar"/>
              </w:rPr>
              <w:t>​</w:t>
            </w:r>
          </w:p>
        </w:tc>
        <w:tc>
          <w:tcPr>
            <w:tcW w:w="3069" w:type="pct"/>
            <w:tcBorders>
              <w:top w:val="nil"/>
              <w:left w:val="nil"/>
              <w:bottom w:val="nil"/>
              <w:right w:val="nil"/>
            </w:tcBorders>
            <w:shd w:val="clear" w:color="auto" w:fill="auto"/>
            <w:vAlign w:val="center"/>
          </w:tcPr>
          <w:p w14:paraId="40A9E01E">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散射辐射接收系数</w:t>
            </w:r>
          </w:p>
        </w:tc>
        <w:tc>
          <w:tcPr>
            <w:tcW w:w="865" w:type="pct"/>
            <w:tcBorders>
              <w:top w:val="nil"/>
              <w:left w:val="nil"/>
              <w:bottom w:val="nil"/>
              <w:right w:val="nil"/>
            </w:tcBorders>
            <w:shd w:val="clear" w:color="auto" w:fill="auto"/>
            <w:vAlign w:val="center"/>
          </w:tcPr>
          <w:p w14:paraId="5007ABED">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无量纲</w:t>
            </w:r>
          </w:p>
        </w:tc>
      </w:tr>
      <w:tr w14:paraId="515416FA">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3C4266F7">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ε</w:t>
            </w:r>
            <w:r>
              <w:rPr>
                <w:rFonts w:ascii="Times New Roman" w:hAnsi="Times New Roman" w:eastAsia="宋体" w:cs="Times New Roman"/>
                <w:color w:val="000000"/>
                <w:kern w:val="0"/>
                <w:sz w:val="22"/>
                <w:vertAlign w:val="subscript"/>
                <w:lang w:bidi="ar"/>
              </w:rPr>
              <w:t>reflect</w:t>
            </w:r>
            <w:r>
              <w:rPr>
                <w:rFonts w:ascii="Times New Roman" w:hAnsi="Times New Roman" w:eastAsia="宋体" w:cs="Times New Roman"/>
                <w:color w:val="000000"/>
                <w:kern w:val="0"/>
                <w:sz w:val="22"/>
                <w:lang w:bidi="ar"/>
              </w:rPr>
              <w:t>​</w:t>
            </w:r>
          </w:p>
        </w:tc>
        <w:tc>
          <w:tcPr>
            <w:tcW w:w="3069" w:type="pct"/>
            <w:tcBorders>
              <w:top w:val="nil"/>
              <w:left w:val="nil"/>
              <w:bottom w:val="nil"/>
              <w:right w:val="nil"/>
            </w:tcBorders>
            <w:shd w:val="clear" w:color="auto" w:fill="auto"/>
            <w:vAlign w:val="center"/>
          </w:tcPr>
          <w:p w14:paraId="5A74EC9E">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地面反射辐射接收系数</w:t>
            </w:r>
          </w:p>
        </w:tc>
        <w:tc>
          <w:tcPr>
            <w:tcW w:w="865" w:type="pct"/>
            <w:tcBorders>
              <w:top w:val="nil"/>
              <w:left w:val="nil"/>
              <w:bottom w:val="nil"/>
              <w:right w:val="nil"/>
            </w:tcBorders>
            <w:shd w:val="clear" w:color="auto" w:fill="auto"/>
            <w:vAlign w:val="center"/>
          </w:tcPr>
          <w:p w14:paraId="52A64FE6">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无量纲</w:t>
            </w:r>
          </w:p>
        </w:tc>
      </w:tr>
      <w:tr w14:paraId="76A12BAA">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2202484B">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ssrd</w:t>
            </w:r>
            <w:r>
              <w:rPr>
                <w:rStyle w:val="58"/>
                <w:rFonts w:eastAsia="宋体"/>
                <w:lang w:bidi="ar"/>
              </w:rPr>
              <w:t>direct</w:t>
            </w:r>
            <w:r>
              <w:rPr>
                <w:rStyle w:val="59"/>
                <w:rFonts w:eastAsia="宋体"/>
                <w:lang w:bidi="ar"/>
              </w:rPr>
              <w:t>​</w:t>
            </w:r>
          </w:p>
        </w:tc>
        <w:tc>
          <w:tcPr>
            <w:tcW w:w="3069" w:type="pct"/>
            <w:tcBorders>
              <w:top w:val="nil"/>
              <w:left w:val="nil"/>
              <w:bottom w:val="nil"/>
              <w:right w:val="nil"/>
            </w:tcBorders>
            <w:shd w:val="clear" w:color="auto" w:fill="auto"/>
            <w:vAlign w:val="center"/>
          </w:tcPr>
          <w:p w14:paraId="4C9C260F">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地表直射辐射分量</w:t>
            </w:r>
          </w:p>
        </w:tc>
        <w:tc>
          <w:tcPr>
            <w:tcW w:w="865" w:type="pct"/>
            <w:tcBorders>
              <w:top w:val="nil"/>
              <w:left w:val="nil"/>
              <w:bottom w:val="nil"/>
              <w:right w:val="nil"/>
            </w:tcBorders>
            <w:shd w:val="clear" w:color="auto" w:fill="auto"/>
            <w:vAlign w:val="center"/>
          </w:tcPr>
          <w:p w14:paraId="1D6CEBDC">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kWh·m⁻²</w:t>
            </w:r>
          </w:p>
        </w:tc>
      </w:tr>
      <w:tr w14:paraId="303F3197">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2015034F">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ssrd</w:t>
            </w:r>
            <w:r>
              <w:rPr>
                <w:rStyle w:val="58"/>
                <w:rFonts w:eastAsia="宋体"/>
                <w:lang w:bidi="ar"/>
              </w:rPr>
              <w:t>diffuse</w:t>
            </w:r>
            <w:r>
              <w:rPr>
                <w:rStyle w:val="59"/>
                <w:rFonts w:eastAsia="宋体"/>
                <w:lang w:bidi="ar"/>
              </w:rPr>
              <w:t>​</w:t>
            </w:r>
          </w:p>
        </w:tc>
        <w:tc>
          <w:tcPr>
            <w:tcW w:w="3069" w:type="pct"/>
            <w:tcBorders>
              <w:top w:val="nil"/>
              <w:left w:val="nil"/>
              <w:bottom w:val="nil"/>
              <w:right w:val="nil"/>
            </w:tcBorders>
            <w:shd w:val="clear" w:color="auto" w:fill="auto"/>
            <w:vAlign w:val="center"/>
          </w:tcPr>
          <w:p w14:paraId="612CAC90">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地表散射辐射分量</w:t>
            </w:r>
          </w:p>
        </w:tc>
        <w:tc>
          <w:tcPr>
            <w:tcW w:w="865" w:type="pct"/>
            <w:tcBorders>
              <w:top w:val="nil"/>
              <w:left w:val="nil"/>
              <w:bottom w:val="nil"/>
              <w:right w:val="nil"/>
            </w:tcBorders>
            <w:shd w:val="clear" w:color="auto" w:fill="auto"/>
            <w:vAlign w:val="center"/>
          </w:tcPr>
          <w:p w14:paraId="09E4F95E">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kWh·m⁻²</w:t>
            </w:r>
          </w:p>
        </w:tc>
      </w:tr>
      <w:tr w14:paraId="18D66D1F">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035E284E">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β</w:t>
            </w:r>
          </w:p>
        </w:tc>
        <w:tc>
          <w:tcPr>
            <w:tcW w:w="3069" w:type="pct"/>
            <w:tcBorders>
              <w:top w:val="nil"/>
              <w:left w:val="nil"/>
              <w:bottom w:val="nil"/>
              <w:right w:val="nil"/>
            </w:tcBorders>
            <w:shd w:val="clear" w:color="auto" w:fill="auto"/>
            <w:vAlign w:val="center"/>
          </w:tcPr>
          <w:p w14:paraId="4E3CDF86">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太阳高度角</w:t>
            </w:r>
          </w:p>
        </w:tc>
        <w:tc>
          <w:tcPr>
            <w:tcW w:w="865" w:type="pct"/>
            <w:tcBorders>
              <w:top w:val="nil"/>
              <w:left w:val="nil"/>
              <w:bottom w:val="nil"/>
              <w:right w:val="nil"/>
            </w:tcBorders>
            <w:shd w:val="clear" w:color="auto" w:fill="auto"/>
            <w:vAlign w:val="center"/>
          </w:tcPr>
          <w:p w14:paraId="1057F172">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w:t>
            </w:r>
          </w:p>
        </w:tc>
      </w:tr>
      <w:tr w14:paraId="3926D619">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524F568">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φ</w:t>
            </w:r>
            <w:r>
              <w:rPr>
                <w:rStyle w:val="59"/>
                <w:rFonts w:eastAsia="宋体"/>
                <w:lang w:bidi="ar"/>
              </w:rPr>
              <w:t>​</w:t>
            </w:r>
          </w:p>
        </w:tc>
        <w:tc>
          <w:tcPr>
            <w:tcW w:w="3069" w:type="pct"/>
            <w:tcBorders>
              <w:top w:val="nil"/>
              <w:left w:val="nil"/>
              <w:bottom w:val="nil"/>
              <w:right w:val="nil"/>
            </w:tcBorders>
            <w:shd w:val="clear" w:color="auto" w:fill="auto"/>
            <w:vAlign w:val="center"/>
          </w:tcPr>
          <w:p w14:paraId="25E78AFF">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太阳方位角</w:t>
            </w:r>
          </w:p>
        </w:tc>
        <w:tc>
          <w:tcPr>
            <w:tcW w:w="865" w:type="pct"/>
            <w:tcBorders>
              <w:top w:val="nil"/>
              <w:left w:val="nil"/>
              <w:bottom w:val="nil"/>
              <w:right w:val="nil"/>
            </w:tcBorders>
            <w:shd w:val="clear" w:color="auto" w:fill="auto"/>
            <w:vAlign w:val="center"/>
          </w:tcPr>
          <w:p w14:paraId="3ECC27FC">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w:t>
            </w:r>
          </w:p>
        </w:tc>
      </w:tr>
      <w:tr w14:paraId="2677B10D">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21F057F9">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Σ</w:t>
            </w:r>
            <w:r>
              <w:rPr>
                <w:rFonts w:ascii="Times New Roman" w:hAnsi="Times New Roman" w:eastAsia="宋体" w:cs="Times New Roman"/>
                <w:color w:val="000000" w:themeColor="text1"/>
                <w:szCs w:val="21"/>
                <w:vertAlign w:val="subscript"/>
                <w14:textFill>
                  <w14:solidFill>
                    <w14:schemeClr w14:val="tx1"/>
                  </w14:solidFill>
                </w14:textFill>
              </w:rPr>
              <w:t>North</w:t>
            </w:r>
          </w:p>
        </w:tc>
        <w:tc>
          <w:tcPr>
            <w:tcW w:w="3069" w:type="pct"/>
            <w:tcBorders>
              <w:top w:val="nil"/>
              <w:left w:val="nil"/>
              <w:bottom w:val="nil"/>
              <w:right w:val="nil"/>
            </w:tcBorders>
            <w:shd w:val="clear" w:color="auto" w:fill="auto"/>
            <w:vAlign w:val="center"/>
          </w:tcPr>
          <w:p w14:paraId="1C6BAB99">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themeColor="text1"/>
                <w:szCs w:val="21"/>
                <w14:textFill>
                  <w14:solidFill>
                    <w14:schemeClr w14:val="tx1"/>
                  </w14:solidFill>
                </w14:textFill>
              </w:rPr>
              <w:t>北半球</w:t>
            </w:r>
            <w:r>
              <w:rPr>
                <w:rFonts w:hint="default" w:ascii="Times New Roman" w:hAnsi="Times New Roman" w:eastAsia="宋体" w:cs="Times New Roman"/>
                <w:color w:val="000000"/>
                <w:kern w:val="0"/>
                <w:sz w:val="22"/>
                <w:lang w:bidi="ar"/>
              </w:rPr>
              <w:t>光伏组件安装倾角</w:t>
            </w:r>
          </w:p>
        </w:tc>
        <w:tc>
          <w:tcPr>
            <w:tcW w:w="865" w:type="pct"/>
            <w:tcBorders>
              <w:top w:val="nil"/>
              <w:left w:val="nil"/>
              <w:bottom w:val="nil"/>
              <w:right w:val="nil"/>
            </w:tcBorders>
            <w:shd w:val="clear" w:color="auto" w:fill="auto"/>
            <w:vAlign w:val="center"/>
          </w:tcPr>
          <w:p w14:paraId="69A2D2A3">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w:t>
            </w:r>
          </w:p>
        </w:tc>
      </w:tr>
      <w:tr w14:paraId="2A5597B1">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58D00089">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D​</w:t>
            </w:r>
          </w:p>
        </w:tc>
        <w:tc>
          <w:tcPr>
            <w:tcW w:w="3069" w:type="pct"/>
            <w:tcBorders>
              <w:top w:val="nil"/>
              <w:left w:val="nil"/>
              <w:bottom w:val="nil"/>
              <w:right w:val="nil"/>
            </w:tcBorders>
            <w:shd w:val="clear" w:color="auto" w:fill="auto"/>
            <w:vAlign w:val="center"/>
          </w:tcPr>
          <w:p w14:paraId="3EB1662E">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相邻光伏面板间距</w:t>
            </w:r>
          </w:p>
        </w:tc>
        <w:tc>
          <w:tcPr>
            <w:tcW w:w="865" w:type="pct"/>
            <w:tcBorders>
              <w:top w:val="nil"/>
              <w:left w:val="nil"/>
              <w:bottom w:val="nil"/>
              <w:right w:val="nil"/>
            </w:tcBorders>
            <w:shd w:val="clear" w:color="auto" w:fill="auto"/>
            <w:vAlign w:val="center"/>
          </w:tcPr>
          <w:p w14:paraId="36A9C775">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sz w:val="22"/>
              </w:rPr>
              <w:t>m</w:t>
            </w:r>
          </w:p>
        </w:tc>
      </w:tr>
      <w:tr w14:paraId="447219E7">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30A92004">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β</w:t>
            </w:r>
            <w:r>
              <w:rPr>
                <w:rStyle w:val="58"/>
                <w:rFonts w:eastAsia="宋体"/>
                <w:lang w:bidi="ar"/>
              </w:rPr>
              <w:t>n</w:t>
            </w:r>
            <w:r>
              <w:rPr>
                <w:rStyle w:val="59"/>
                <w:rFonts w:eastAsia="宋体"/>
                <w:lang w:bidi="ar"/>
              </w:rPr>
              <w:t>​</w:t>
            </w:r>
          </w:p>
        </w:tc>
        <w:tc>
          <w:tcPr>
            <w:tcW w:w="3069" w:type="pct"/>
            <w:tcBorders>
              <w:top w:val="nil"/>
              <w:left w:val="nil"/>
              <w:bottom w:val="nil"/>
              <w:right w:val="nil"/>
            </w:tcBorders>
            <w:shd w:val="clear" w:color="auto" w:fill="auto"/>
            <w:vAlign w:val="center"/>
          </w:tcPr>
          <w:p w14:paraId="633E1490">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冬至日</w:t>
            </w:r>
            <w:r>
              <w:rPr>
                <w:rStyle w:val="60"/>
                <w:rFonts w:hint="default" w:ascii="Times New Roman" w:hAnsi="Times New Roman" w:cs="Times New Roman"/>
                <w:lang w:bidi="ar"/>
              </w:rPr>
              <w:t>下午</w:t>
            </w:r>
            <w:r>
              <w:rPr>
                <w:rStyle w:val="59"/>
                <w:rFonts w:eastAsia="宋体"/>
                <w:lang w:bidi="ar"/>
              </w:rPr>
              <w:t>3</w:t>
            </w:r>
            <w:r>
              <w:rPr>
                <w:rStyle w:val="60"/>
                <w:rFonts w:hint="default" w:ascii="Times New Roman" w:hAnsi="Times New Roman" w:cs="Times New Roman"/>
                <w:lang w:bidi="ar"/>
              </w:rPr>
              <w:t>点时的太阳高度角</w:t>
            </w:r>
          </w:p>
        </w:tc>
        <w:tc>
          <w:tcPr>
            <w:tcW w:w="865" w:type="pct"/>
            <w:tcBorders>
              <w:top w:val="nil"/>
              <w:left w:val="nil"/>
              <w:bottom w:val="nil"/>
              <w:right w:val="nil"/>
            </w:tcBorders>
            <w:shd w:val="clear" w:color="auto" w:fill="auto"/>
            <w:vAlign w:val="center"/>
          </w:tcPr>
          <w:p w14:paraId="5FA7D3B8">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w:t>
            </w:r>
          </w:p>
        </w:tc>
      </w:tr>
      <w:tr w14:paraId="42E79D32">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68588783">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φ</w:t>
            </w:r>
            <w:r>
              <w:rPr>
                <w:rStyle w:val="58"/>
                <w:rFonts w:eastAsia="宋体"/>
                <w:lang w:bidi="ar"/>
              </w:rPr>
              <w:t>s</w:t>
            </w:r>
          </w:p>
        </w:tc>
        <w:tc>
          <w:tcPr>
            <w:tcW w:w="3069" w:type="pct"/>
            <w:tcBorders>
              <w:top w:val="nil"/>
              <w:left w:val="nil"/>
              <w:bottom w:val="nil"/>
              <w:right w:val="nil"/>
            </w:tcBorders>
            <w:shd w:val="clear" w:color="auto" w:fill="auto"/>
            <w:vAlign w:val="center"/>
          </w:tcPr>
          <w:p w14:paraId="27538934">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冬至日</w:t>
            </w:r>
            <w:r>
              <w:rPr>
                <w:rStyle w:val="60"/>
                <w:rFonts w:hint="default" w:ascii="Times New Roman" w:hAnsi="Times New Roman" w:cs="Times New Roman"/>
                <w:lang w:bidi="ar"/>
              </w:rPr>
              <w:t>下午</w:t>
            </w:r>
            <w:r>
              <w:rPr>
                <w:rStyle w:val="59"/>
                <w:rFonts w:eastAsia="宋体"/>
                <w:lang w:bidi="ar"/>
              </w:rPr>
              <w:t>3</w:t>
            </w:r>
            <w:r>
              <w:rPr>
                <w:rStyle w:val="60"/>
                <w:rFonts w:hint="default" w:ascii="Times New Roman" w:hAnsi="Times New Roman" w:cs="Times New Roman"/>
                <w:lang w:bidi="ar"/>
              </w:rPr>
              <w:t>点时的</w:t>
            </w:r>
            <w:r>
              <w:rPr>
                <w:rFonts w:hint="default" w:ascii="Times New Roman" w:hAnsi="Times New Roman" w:eastAsia="宋体" w:cs="Times New Roman"/>
                <w:color w:val="000000"/>
                <w:kern w:val="0"/>
                <w:sz w:val="22"/>
                <w:lang w:bidi="ar"/>
              </w:rPr>
              <w:t>太阳方位角</w:t>
            </w:r>
          </w:p>
        </w:tc>
        <w:tc>
          <w:tcPr>
            <w:tcW w:w="865" w:type="pct"/>
            <w:tcBorders>
              <w:top w:val="nil"/>
              <w:left w:val="nil"/>
              <w:bottom w:val="nil"/>
              <w:right w:val="nil"/>
            </w:tcBorders>
            <w:shd w:val="clear" w:color="auto" w:fill="auto"/>
            <w:vAlign w:val="center"/>
          </w:tcPr>
          <w:p w14:paraId="4AC356D9">
            <w:pPr>
              <w:widowControl/>
              <w:jc w:val="left"/>
              <w:textAlignment w:val="center"/>
              <w:rPr>
                <w:rFonts w:ascii="Times New Roman" w:hAnsi="Times New Roman" w:eastAsia="宋体" w:cs="Times New Roman"/>
                <w:color w:val="000000"/>
                <w:kern w:val="0"/>
                <w:sz w:val="22"/>
                <w:lang w:bidi="ar"/>
              </w:rPr>
            </w:pPr>
          </w:p>
        </w:tc>
      </w:tr>
      <w:tr w14:paraId="295A4EB4">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4A866340">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T</w:t>
            </w:r>
            <w:r>
              <w:rPr>
                <w:rFonts w:ascii="Times New Roman" w:hAnsi="Times New Roman" w:eastAsia="宋体" w:cs="Times New Roman"/>
                <w:color w:val="000000"/>
                <w:kern w:val="0"/>
                <w:sz w:val="22"/>
                <w:vertAlign w:val="subscript"/>
                <w:lang w:bidi="ar"/>
              </w:rPr>
              <w:t>cell</w:t>
            </w:r>
            <w:r>
              <w:rPr>
                <w:rFonts w:ascii="Times New Roman" w:hAnsi="Times New Roman" w:eastAsia="宋体" w:cs="Times New Roman"/>
                <w:color w:val="000000"/>
                <w:kern w:val="0"/>
                <w:sz w:val="22"/>
                <w:lang w:bidi="ar"/>
              </w:rPr>
              <w:t>​</w:t>
            </w:r>
          </w:p>
        </w:tc>
        <w:tc>
          <w:tcPr>
            <w:tcW w:w="3069" w:type="pct"/>
            <w:tcBorders>
              <w:top w:val="nil"/>
              <w:left w:val="nil"/>
              <w:bottom w:val="nil"/>
              <w:right w:val="nil"/>
            </w:tcBorders>
            <w:shd w:val="clear" w:color="auto" w:fill="auto"/>
            <w:vAlign w:val="center"/>
          </w:tcPr>
          <w:p w14:paraId="209A7128">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光伏电池工作温度</w:t>
            </w:r>
          </w:p>
        </w:tc>
        <w:tc>
          <w:tcPr>
            <w:tcW w:w="865" w:type="pct"/>
            <w:tcBorders>
              <w:top w:val="nil"/>
              <w:left w:val="nil"/>
              <w:bottom w:val="nil"/>
              <w:right w:val="nil"/>
            </w:tcBorders>
            <w:shd w:val="clear" w:color="auto" w:fill="auto"/>
            <w:vAlign w:val="center"/>
          </w:tcPr>
          <w:p w14:paraId="5FF3DC61">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sz w:val="22"/>
              </w:rPr>
              <w:t>℃</w:t>
            </w:r>
          </w:p>
        </w:tc>
      </w:tr>
      <w:tr w14:paraId="643BB52E">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088A2496">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T</w:t>
            </w:r>
            <w:r>
              <w:rPr>
                <w:rFonts w:ascii="Times New Roman" w:hAnsi="Times New Roman" w:eastAsia="宋体" w:cs="Times New Roman"/>
                <w:color w:val="000000"/>
                <w:kern w:val="0"/>
                <w:sz w:val="22"/>
                <w:vertAlign w:val="subscript"/>
                <w:lang w:bidi="ar"/>
              </w:rPr>
              <w:t>norm</w:t>
            </w:r>
            <w:r>
              <w:rPr>
                <w:rFonts w:ascii="Times New Roman" w:hAnsi="Times New Roman" w:eastAsia="宋体" w:cs="Times New Roman"/>
                <w:color w:val="000000"/>
                <w:kern w:val="0"/>
                <w:sz w:val="22"/>
                <w:lang w:bidi="ar"/>
              </w:rPr>
              <w:t>​</w:t>
            </w:r>
          </w:p>
        </w:tc>
        <w:tc>
          <w:tcPr>
            <w:tcW w:w="3069" w:type="pct"/>
            <w:tcBorders>
              <w:top w:val="nil"/>
              <w:left w:val="nil"/>
              <w:bottom w:val="nil"/>
              <w:right w:val="nil"/>
            </w:tcBorders>
            <w:shd w:val="clear" w:color="auto" w:fill="auto"/>
            <w:vAlign w:val="center"/>
          </w:tcPr>
          <w:p w14:paraId="36AA5620">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光伏组件正常工作温度</w:t>
            </w:r>
          </w:p>
        </w:tc>
        <w:tc>
          <w:tcPr>
            <w:tcW w:w="865" w:type="pct"/>
            <w:tcBorders>
              <w:top w:val="nil"/>
              <w:left w:val="nil"/>
              <w:bottom w:val="nil"/>
              <w:right w:val="nil"/>
            </w:tcBorders>
            <w:shd w:val="clear" w:color="auto" w:fill="auto"/>
            <w:vAlign w:val="center"/>
          </w:tcPr>
          <w:p w14:paraId="3FB6D5FA">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sz w:val="22"/>
              </w:rPr>
              <w:t>℃</w:t>
            </w:r>
          </w:p>
        </w:tc>
      </w:tr>
      <w:tr w14:paraId="12B2E304">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61A28BFC">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TCF</w:t>
            </w:r>
          </w:p>
        </w:tc>
        <w:tc>
          <w:tcPr>
            <w:tcW w:w="3069" w:type="pct"/>
            <w:tcBorders>
              <w:top w:val="nil"/>
              <w:left w:val="nil"/>
              <w:bottom w:val="nil"/>
              <w:right w:val="nil"/>
            </w:tcBorders>
            <w:shd w:val="clear" w:color="auto" w:fill="auto"/>
            <w:vAlign w:val="center"/>
          </w:tcPr>
          <w:p w14:paraId="33E1406D">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温度校正系数</w:t>
            </w:r>
          </w:p>
        </w:tc>
        <w:tc>
          <w:tcPr>
            <w:tcW w:w="865" w:type="pct"/>
            <w:tcBorders>
              <w:top w:val="nil"/>
              <w:left w:val="nil"/>
              <w:bottom w:val="nil"/>
              <w:right w:val="nil"/>
            </w:tcBorders>
            <w:shd w:val="clear" w:color="auto" w:fill="auto"/>
            <w:vAlign w:val="center"/>
          </w:tcPr>
          <w:p w14:paraId="6371756E">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sz w:val="22"/>
              </w:rPr>
              <w:t>无量纲</w:t>
            </w:r>
          </w:p>
        </w:tc>
      </w:tr>
      <w:tr w14:paraId="094B4836">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3BBD310">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ε​</w:t>
            </w:r>
          </w:p>
        </w:tc>
        <w:tc>
          <w:tcPr>
            <w:tcW w:w="3069" w:type="pct"/>
            <w:tcBorders>
              <w:top w:val="nil"/>
              <w:left w:val="nil"/>
              <w:bottom w:val="nil"/>
              <w:right w:val="nil"/>
            </w:tcBorders>
            <w:shd w:val="clear" w:color="auto" w:fill="auto"/>
            <w:vAlign w:val="center"/>
          </w:tcPr>
          <w:p w14:paraId="079CF903">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温度功率衰减系数</w:t>
            </w:r>
          </w:p>
        </w:tc>
        <w:tc>
          <w:tcPr>
            <w:tcW w:w="865" w:type="pct"/>
            <w:tcBorders>
              <w:top w:val="nil"/>
              <w:left w:val="nil"/>
              <w:bottom w:val="nil"/>
              <w:right w:val="nil"/>
            </w:tcBorders>
            <w:shd w:val="clear" w:color="auto" w:fill="auto"/>
            <w:vAlign w:val="center"/>
          </w:tcPr>
          <w:p w14:paraId="2C09A6A8">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sz w:val="22"/>
              </w:rPr>
              <w:t>%·</w:t>
            </w:r>
            <w:r>
              <w:rPr>
                <w:rFonts w:hint="default" w:ascii="Times New Roman" w:hAnsi="Times New Roman" w:eastAsia="宋体" w:cs="Times New Roman"/>
                <w:color w:val="000000"/>
                <w:sz w:val="22"/>
              </w:rPr>
              <w:t>℃</w:t>
            </w:r>
            <w:r>
              <w:rPr>
                <w:rFonts w:ascii="Times New Roman" w:hAnsi="Times New Roman" w:eastAsia="宋体" w:cs="Times New Roman"/>
                <w:color w:val="000000"/>
                <w:sz w:val="22"/>
              </w:rPr>
              <w:t>⁻¹</w:t>
            </w:r>
          </w:p>
        </w:tc>
      </w:tr>
      <w:tr w14:paraId="192C2466">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281DF68B">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SCF</w:t>
            </w:r>
          </w:p>
        </w:tc>
        <w:tc>
          <w:tcPr>
            <w:tcW w:w="3069" w:type="pct"/>
            <w:tcBorders>
              <w:top w:val="nil"/>
              <w:left w:val="nil"/>
              <w:bottom w:val="nil"/>
              <w:right w:val="nil"/>
            </w:tcBorders>
            <w:shd w:val="clear" w:color="auto" w:fill="auto"/>
            <w:vAlign w:val="center"/>
          </w:tcPr>
          <w:p w14:paraId="2087EB72">
            <w:pPr>
              <w:widowControl/>
              <w:jc w:val="left"/>
              <w:textAlignment w:val="center"/>
              <w:rPr>
                <w:rFonts w:ascii="Times New Roman" w:hAnsi="Times New Roman" w:eastAsia="宋体" w:cs="Times New Roman"/>
                <w:color w:val="000000"/>
                <w:kern w:val="0"/>
                <w:sz w:val="22"/>
                <w:lang w:bidi="ar"/>
              </w:rPr>
            </w:pPr>
            <w:r>
              <w:rPr>
                <w:rFonts w:hint="default" w:ascii="Times New Roman" w:hAnsi="Times New Roman" w:eastAsia="宋体" w:cs="Times New Roman"/>
                <w:color w:val="000000"/>
                <w:kern w:val="0"/>
                <w:sz w:val="22"/>
                <w:lang w:bidi="ar"/>
              </w:rPr>
              <w:t>阴影校正系数</w:t>
            </w:r>
          </w:p>
        </w:tc>
        <w:tc>
          <w:tcPr>
            <w:tcW w:w="865" w:type="pct"/>
            <w:tcBorders>
              <w:top w:val="nil"/>
              <w:left w:val="nil"/>
              <w:bottom w:val="nil"/>
              <w:right w:val="nil"/>
            </w:tcBorders>
            <w:shd w:val="clear" w:color="auto" w:fill="auto"/>
            <w:vAlign w:val="center"/>
          </w:tcPr>
          <w:p w14:paraId="196029B1">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sz w:val="22"/>
              </w:rPr>
              <w:t>无量纲</w:t>
            </w:r>
          </w:p>
        </w:tc>
      </w:tr>
      <w:tr w14:paraId="433A98D6">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4D7D2044">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β</w:t>
            </w:r>
            <w:r>
              <w:rPr>
                <w:rStyle w:val="58"/>
                <w:rFonts w:eastAsia="宋体"/>
                <w:lang w:bidi="ar"/>
              </w:rPr>
              <w:t>tmp</w:t>
            </w:r>
            <w:r>
              <w:rPr>
                <w:rStyle w:val="59"/>
                <w:rFonts w:eastAsia="宋体"/>
                <w:lang w:bidi="ar"/>
              </w:rPr>
              <w:t>​</w:t>
            </w:r>
          </w:p>
        </w:tc>
        <w:tc>
          <w:tcPr>
            <w:tcW w:w="3069" w:type="pct"/>
            <w:tcBorders>
              <w:top w:val="nil"/>
              <w:left w:val="nil"/>
              <w:bottom w:val="nil"/>
              <w:right w:val="nil"/>
            </w:tcBorders>
            <w:shd w:val="clear" w:color="auto" w:fill="auto"/>
            <w:vAlign w:val="center"/>
          </w:tcPr>
          <w:p w14:paraId="544BA7EB">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太阳高度角</w:t>
            </w:r>
            <w:r>
              <w:rPr>
                <w:rFonts w:hint="default" w:ascii="Times New Roman" w:hAnsi="Times New Roman" w:eastAsia="宋体" w:cs="Times New Roman"/>
                <w:color w:val="000000" w:themeColor="text1"/>
                <w:szCs w:val="21"/>
                <w14:textFill>
                  <w14:solidFill>
                    <w14:schemeClr w14:val="tx1"/>
                  </w14:solidFill>
                </w14:textFill>
              </w:rPr>
              <w:t>在平行于南北轴且垂直于地面的平面上的投影</w:t>
            </w:r>
          </w:p>
        </w:tc>
        <w:tc>
          <w:tcPr>
            <w:tcW w:w="865" w:type="pct"/>
            <w:tcBorders>
              <w:top w:val="nil"/>
              <w:left w:val="nil"/>
              <w:bottom w:val="nil"/>
              <w:right w:val="nil"/>
            </w:tcBorders>
            <w:shd w:val="clear" w:color="auto" w:fill="auto"/>
            <w:vAlign w:val="center"/>
          </w:tcPr>
          <w:p w14:paraId="7575CCB1">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w:t>
            </w:r>
          </w:p>
        </w:tc>
      </w:tr>
      <w:tr w14:paraId="72C0FAD1">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3A06315E">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LUE</w:t>
            </w:r>
          </w:p>
        </w:tc>
        <w:tc>
          <w:tcPr>
            <w:tcW w:w="3069" w:type="pct"/>
            <w:tcBorders>
              <w:top w:val="nil"/>
              <w:left w:val="nil"/>
              <w:bottom w:val="nil"/>
              <w:right w:val="nil"/>
            </w:tcBorders>
            <w:shd w:val="clear" w:color="auto" w:fill="auto"/>
            <w:vAlign w:val="center"/>
          </w:tcPr>
          <w:p w14:paraId="1AA0C502">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土地利用效率</w:t>
            </w:r>
          </w:p>
        </w:tc>
        <w:tc>
          <w:tcPr>
            <w:tcW w:w="865" w:type="pct"/>
            <w:tcBorders>
              <w:top w:val="nil"/>
              <w:left w:val="nil"/>
              <w:bottom w:val="nil"/>
              <w:right w:val="nil"/>
            </w:tcBorders>
            <w:shd w:val="clear" w:color="auto" w:fill="auto"/>
            <w:vAlign w:val="center"/>
          </w:tcPr>
          <w:p w14:paraId="24B299BF">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w:t>
            </w:r>
          </w:p>
        </w:tc>
      </w:tr>
      <w:tr w14:paraId="0A79A73F">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0631A3C">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P</w:t>
            </w:r>
            <w:r>
              <w:rPr>
                <w:rStyle w:val="58"/>
                <w:rFonts w:eastAsia="宋体"/>
                <w:lang w:bidi="ar"/>
              </w:rPr>
              <w:t>solar</w:t>
            </w:r>
            <w:r>
              <w:rPr>
                <w:rStyle w:val="59"/>
                <w:rFonts w:eastAsia="宋体"/>
                <w:lang w:bidi="ar"/>
              </w:rPr>
              <w:t>​</w:t>
            </w:r>
          </w:p>
        </w:tc>
        <w:tc>
          <w:tcPr>
            <w:tcW w:w="3069" w:type="pct"/>
            <w:tcBorders>
              <w:top w:val="nil"/>
              <w:left w:val="nil"/>
              <w:bottom w:val="nil"/>
              <w:right w:val="nil"/>
            </w:tcBorders>
            <w:shd w:val="clear" w:color="auto" w:fill="auto"/>
            <w:vAlign w:val="center"/>
          </w:tcPr>
          <w:p w14:paraId="24F268CF">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日单位面积光能发电潜力</w:t>
            </w:r>
          </w:p>
        </w:tc>
        <w:tc>
          <w:tcPr>
            <w:tcW w:w="865" w:type="pct"/>
            <w:tcBorders>
              <w:top w:val="nil"/>
              <w:left w:val="nil"/>
              <w:bottom w:val="nil"/>
              <w:right w:val="nil"/>
            </w:tcBorders>
            <w:shd w:val="clear" w:color="auto" w:fill="auto"/>
            <w:vAlign w:val="center"/>
          </w:tcPr>
          <w:p w14:paraId="02AB8E2B">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kWh·m⁻²</w:t>
            </w:r>
          </w:p>
        </w:tc>
      </w:tr>
      <w:tr w14:paraId="43C82771">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811C206">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V</w:t>
            </w:r>
            <w:r>
              <w:rPr>
                <w:rStyle w:val="58"/>
                <w:rFonts w:eastAsia="宋体"/>
                <w:lang w:bidi="ar"/>
              </w:rPr>
              <w:t>sfc</w:t>
            </w:r>
            <w:r>
              <w:rPr>
                <w:rStyle w:val="59"/>
                <w:rFonts w:eastAsia="宋体"/>
                <w:lang w:bidi="ar"/>
              </w:rPr>
              <w:t>​</w:t>
            </w:r>
          </w:p>
        </w:tc>
        <w:tc>
          <w:tcPr>
            <w:tcW w:w="3069" w:type="pct"/>
            <w:tcBorders>
              <w:top w:val="nil"/>
              <w:left w:val="nil"/>
              <w:bottom w:val="nil"/>
              <w:right w:val="nil"/>
            </w:tcBorders>
            <w:shd w:val="clear" w:color="auto" w:fill="auto"/>
            <w:vAlign w:val="center"/>
          </w:tcPr>
          <w:p w14:paraId="5C4D6278">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10m</w:t>
            </w:r>
            <w:r>
              <w:rPr>
                <w:rStyle w:val="60"/>
                <w:rFonts w:hint="default" w:ascii="Times New Roman" w:hAnsi="Times New Roman" w:cs="Times New Roman"/>
                <w:lang w:bidi="ar"/>
              </w:rPr>
              <w:t>高度近地面风速</w:t>
            </w:r>
          </w:p>
        </w:tc>
        <w:tc>
          <w:tcPr>
            <w:tcW w:w="865" w:type="pct"/>
            <w:tcBorders>
              <w:top w:val="nil"/>
              <w:left w:val="nil"/>
              <w:bottom w:val="nil"/>
              <w:right w:val="nil"/>
            </w:tcBorders>
            <w:shd w:val="clear" w:color="auto" w:fill="auto"/>
            <w:vAlign w:val="center"/>
          </w:tcPr>
          <w:p w14:paraId="1FC781B8">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m·s⁻¹</w:t>
            </w:r>
          </w:p>
        </w:tc>
      </w:tr>
      <w:tr w14:paraId="2CBD6804">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09DEB58">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V</w:t>
            </w:r>
            <w:r>
              <w:rPr>
                <w:rStyle w:val="58"/>
                <w:rFonts w:eastAsia="宋体"/>
                <w:lang w:bidi="ar"/>
              </w:rPr>
              <w:t>100</w:t>
            </w:r>
            <w:r>
              <w:rPr>
                <w:rStyle w:val="59"/>
                <w:rFonts w:eastAsia="宋体"/>
                <w:lang w:bidi="ar"/>
              </w:rPr>
              <w:t>​</w:t>
            </w:r>
          </w:p>
        </w:tc>
        <w:tc>
          <w:tcPr>
            <w:tcW w:w="3069" w:type="pct"/>
            <w:tcBorders>
              <w:top w:val="nil"/>
              <w:left w:val="nil"/>
              <w:bottom w:val="nil"/>
              <w:right w:val="nil"/>
            </w:tcBorders>
            <w:shd w:val="clear" w:color="auto" w:fill="auto"/>
            <w:vAlign w:val="center"/>
          </w:tcPr>
          <w:p w14:paraId="755A923D">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100m</w:t>
            </w:r>
            <w:r>
              <w:rPr>
                <w:rStyle w:val="60"/>
                <w:rFonts w:hint="default" w:ascii="Times New Roman" w:hAnsi="Times New Roman" w:cs="Times New Roman"/>
                <w:lang w:bidi="ar"/>
              </w:rPr>
              <w:t>轮毂高度处实际风速</w:t>
            </w:r>
          </w:p>
        </w:tc>
        <w:tc>
          <w:tcPr>
            <w:tcW w:w="865" w:type="pct"/>
            <w:tcBorders>
              <w:top w:val="nil"/>
              <w:left w:val="nil"/>
              <w:bottom w:val="nil"/>
              <w:right w:val="nil"/>
            </w:tcBorders>
            <w:shd w:val="clear" w:color="auto" w:fill="auto"/>
            <w:vAlign w:val="center"/>
          </w:tcPr>
          <w:p w14:paraId="2EA9375B">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m·s⁻¹</w:t>
            </w:r>
          </w:p>
        </w:tc>
      </w:tr>
      <w:tr w14:paraId="64D14130">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94C1FA4">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V</w:t>
            </w:r>
            <w:r>
              <w:rPr>
                <w:rStyle w:val="58"/>
                <w:rFonts w:eastAsia="宋体"/>
                <w:lang w:bidi="ar"/>
              </w:rPr>
              <w:t>100c</w:t>
            </w:r>
            <w:r>
              <w:rPr>
                <w:rStyle w:val="59"/>
                <w:rFonts w:eastAsia="宋体"/>
                <w:lang w:bidi="ar"/>
              </w:rPr>
              <w:t>​</w:t>
            </w:r>
          </w:p>
        </w:tc>
        <w:tc>
          <w:tcPr>
            <w:tcW w:w="3069" w:type="pct"/>
            <w:tcBorders>
              <w:top w:val="nil"/>
              <w:left w:val="nil"/>
              <w:bottom w:val="nil"/>
              <w:right w:val="nil"/>
            </w:tcBorders>
            <w:shd w:val="clear" w:color="auto" w:fill="auto"/>
            <w:vAlign w:val="center"/>
          </w:tcPr>
          <w:p w14:paraId="7866CDA3">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标准空气密度下的等效风速</w:t>
            </w:r>
          </w:p>
        </w:tc>
        <w:tc>
          <w:tcPr>
            <w:tcW w:w="865" w:type="pct"/>
            <w:tcBorders>
              <w:top w:val="nil"/>
              <w:left w:val="nil"/>
              <w:bottom w:val="nil"/>
              <w:right w:val="nil"/>
            </w:tcBorders>
            <w:shd w:val="clear" w:color="auto" w:fill="auto"/>
            <w:vAlign w:val="center"/>
          </w:tcPr>
          <w:p w14:paraId="1AEBD82F">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m·s⁻¹</w:t>
            </w:r>
          </w:p>
        </w:tc>
      </w:tr>
      <w:tr w14:paraId="196C0936">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4ABEBE88">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α</w:t>
            </w:r>
          </w:p>
        </w:tc>
        <w:tc>
          <w:tcPr>
            <w:tcW w:w="3069" w:type="pct"/>
            <w:tcBorders>
              <w:top w:val="nil"/>
              <w:left w:val="nil"/>
              <w:bottom w:val="nil"/>
              <w:right w:val="nil"/>
            </w:tcBorders>
            <w:shd w:val="clear" w:color="auto" w:fill="auto"/>
            <w:vAlign w:val="center"/>
          </w:tcPr>
          <w:p w14:paraId="12A0370F">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风切变指数</w:t>
            </w:r>
          </w:p>
        </w:tc>
        <w:tc>
          <w:tcPr>
            <w:tcW w:w="865" w:type="pct"/>
            <w:tcBorders>
              <w:top w:val="nil"/>
              <w:left w:val="nil"/>
              <w:bottom w:val="nil"/>
              <w:right w:val="nil"/>
            </w:tcBorders>
            <w:shd w:val="clear" w:color="auto" w:fill="auto"/>
            <w:vAlign w:val="center"/>
          </w:tcPr>
          <w:p w14:paraId="276CF126">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无量纲</w:t>
            </w:r>
          </w:p>
        </w:tc>
      </w:tr>
      <w:tr w14:paraId="6931828A">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60AA1E41">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T</w:t>
            </w:r>
            <w:r>
              <w:rPr>
                <w:rStyle w:val="58"/>
                <w:rFonts w:eastAsia="宋体"/>
                <w:lang w:bidi="ar"/>
              </w:rPr>
              <w:t>sfc</w:t>
            </w:r>
            <w:r>
              <w:rPr>
                <w:rStyle w:val="59"/>
                <w:rFonts w:eastAsia="宋体"/>
                <w:lang w:bidi="ar"/>
              </w:rPr>
              <w:t>​</w:t>
            </w:r>
          </w:p>
        </w:tc>
        <w:tc>
          <w:tcPr>
            <w:tcW w:w="3069" w:type="pct"/>
            <w:tcBorders>
              <w:top w:val="nil"/>
              <w:left w:val="nil"/>
              <w:bottom w:val="nil"/>
              <w:right w:val="nil"/>
            </w:tcBorders>
            <w:shd w:val="clear" w:color="auto" w:fill="auto"/>
            <w:vAlign w:val="center"/>
          </w:tcPr>
          <w:p w14:paraId="795781F2">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地表气温</w:t>
            </w:r>
          </w:p>
        </w:tc>
        <w:tc>
          <w:tcPr>
            <w:tcW w:w="865" w:type="pct"/>
            <w:tcBorders>
              <w:top w:val="nil"/>
              <w:left w:val="nil"/>
              <w:bottom w:val="nil"/>
              <w:right w:val="nil"/>
            </w:tcBorders>
            <w:shd w:val="clear" w:color="auto" w:fill="auto"/>
            <w:vAlign w:val="center"/>
          </w:tcPr>
          <w:p w14:paraId="2D21150E">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w:t>
            </w:r>
          </w:p>
        </w:tc>
      </w:tr>
      <w:tr w14:paraId="1EAF4095">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2B69DAC6">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T</w:t>
            </w:r>
            <w:r>
              <w:rPr>
                <w:rStyle w:val="58"/>
                <w:rFonts w:eastAsia="宋体"/>
                <w:lang w:bidi="ar"/>
              </w:rPr>
              <w:t>100</w:t>
            </w:r>
            <w:r>
              <w:rPr>
                <w:rStyle w:val="59"/>
                <w:rFonts w:eastAsia="宋体"/>
                <w:lang w:bidi="ar"/>
              </w:rPr>
              <w:t>​</w:t>
            </w:r>
          </w:p>
        </w:tc>
        <w:tc>
          <w:tcPr>
            <w:tcW w:w="3069" w:type="pct"/>
            <w:tcBorders>
              <w:top w:val="nil"/>
              <w:left w:val="nil"/>
              <w:bottom w:val="nil"/>
              <w:right w:val="nil"/>
            </w:tcBorders>
            <w:shd w:val="clear" w:color="auto" w:fill="auto"/>
            <w:vAlign w:val="center"/>
          </w:tcPr>
          <w:p w14:paraId="16FAB453">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100m</w:t>
            </w:r>
            <w:r>
              <w:rPr>
                <w:rStyle w:val="60"/>
                <w:rFonts w:hint="default" w:ascii="Times New Roman" w:hAnsi="Times New Roman" w:cs="Times New Roman"/>
                <w:lang w:bidi="ar"/>
              </w:rPr>
              <w:t>轮毂高度处气温</w:t>
            </w:r>
          </w:p>
        </w:tc>
        <w:tc>
          <w:tcPr>
            <w:tcW w:w="865" w:type="pct"/>
            <w:tcBorders>
              <w:top w:val="nil"/>
              <w:left w:val="nil"/>
              <w:bottom w:val="nil"/>
              <w:right w:val="nil"/>
            </w:tcBorders>
            <w:shd w:val="clear" w:color="auto" w:fill="auto"/>
            <w:vAlign w:val="center"/>
          </w:tcPr>
          <w:p w14:paraId="2AE49830">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w:t>
            </w:r>
          </w:p>
        </w:tc>
      </w:tr>
      <w:tr w14:paraId="773D8360">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444D511F">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P</w:t>
            </w:r>
            <w:r>
              <w:rPr>
                <w:rStyle w:val="58"/>
                <w:rFonts w:eastAsia="宋体"/>
                <w:lang w:bidi="ar"/>
              </w:rPr>
              <w:t>sfc</w:t>
            </w:r>
            <w:r>
              <w:rPr>
                <w:rStyle w:val="59"/>
                <w:rFonts w:eastAsia="宋体"/>
                <w:lang w:bidi="ar"/>
              </w:rPr>
              <w:t>​</w:t>
            </w:r>
          </w:p>
        </w:tc>
        <w:tc>
          <w:tcPr>
            <w:tcW w:w="3069" w:type="pct"/>
            <w:tcBorders>
              <w:top w:val="nil"/>
              <w:left w:val="nil"/>
              <w:bottom w:val="nil"/>
              <w:right w:val="nil"/>
            </w:tcBorders>
            <w:shd w:val="clear" w:color="auto" w:fill="auto"/>
            <w:vAlign w:val="center"/>
          </w:tcPr>
          <w:p w14:paraId="652DE68E">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地表气压</w:t>
            </w:r>
          </w:p>
        </w:tc>
        <w:tc>
          <w:tcPr>
            <w:tcW w:w="865" w:type="pct"/>
            <w:tcBorders>
              <w:top w:val="nil"/>
              <w:left w:val="nil"/>
              <w:bottom w:val="nil"/>
              <w:right w:val="nil"/>
            </w:tcBorders>
            <w:shd w:val="clear" w:color="auto" w:fill="auto"/>
            <w:vAlign w:val="center"/>
          </w:tcPr>
          <w:p w14:paraId="2CF2BCB0">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Pa</w:t>
            </w:r>
          </w:p>
        </w:tc>
      </w:tr>
      <w:tr w14:paraId="07337F24">
        <w:tblPrEx>
          <w:tblCellMar>
            <w:top w:w="0" w:type="dxa"/>
            <w:left w:w="108" w:type="dxa"/>
            <w:bottom w:w="0" w:type="dxa"/>
            <w:right w:w="108" w:type="dxa"/>
          </w:tblCellMar>
        </w:tblPrEx>
        <w:trPr>
          <w:trHeight w:val="315" w:hRule="atLeast"/>
        </w:trPr>
        <w:tc>
          <w:tcPr>
            <w:tcW w:w="1066" w:type="pct"/>
            <w:tcBorders>
              <w:top w:val="nil"/>
              <w:left w:val="nil"/>
              <w:bottom w:val="single" w:color="auto" w:sz="12" w:space="0"/>
              <w:right w:val="nil"/>
            </w:tcBorders>
            <w:shd w:val="clear" w:color="auto" w:fill="auto"/>
            <w:vAlign w:val="center"/>
          </w:tcPr>
          <w:p w14:paraId="0DE5F91B">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P</w:t>
            </w:r>
            <w:r>
              <w:rPr>
                <w:rStyle w:val="58"/>
                <w:rFonts w:eastAsia="宋体"/>
                <w:lang w:bidi="ar"/>
              </w:rPr>
              <w:t>100</w:t>
            </w:r>
            <w:r>
              <w:rPr>
                <w:rStyle w:val="59"/>
                <w:rFonts w:eastAsia="宋体"/>
                <w:lang w:bidi="ar"/>
              </w:rPr>
              <w:t>​</w:t>
            </w:r>
          </w:p>
        </w:tc>
        <w:tc>
          <w:tcPr>
            <w:tcW w:w="3069" w:type="pct"/>
            <w:tcBorders>
              <w:top w:val="nil"/>
              <w:left w:val="nil"/>
              <w:bottom w:val="single" w:color="auto" w:sz="12" w:space="0"/>
              <w:right w:val="nil"/>
            </w:tcBorders>
            <w:shd w:val="clear" w:color="auto" w:fill="auto"/>
            <w:vAlign w:val="center"/>
          </w:tcPr>
          <w:p w14:paraId="4A9244C5">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100m</w:t>
            </w:r>
            <w:r>
              <w:rPr>
                <w:rStyle w:val="60"/>
                <w:rFonts w:hint="default" w:ascii="Times New Roman" w:hAnsi="Times New Roman" w:cs="Times New Roman"/>
                <w:lang w:bidi="ar"/>
              </w:rPr>
              <w:t>轮毂高度处气压</w:t>
            </w:r>
          </w:p>
        </w:tc>
        <w:tc>
          <w:tcPr>
            <w:tcW w:w="865" w:type="pct"/>
            <w:tcBorders>
              <w:top w:val="nil"/>
              <w:left w:val="nil"/>
              <w:bottom w:val="single" w:color="auto" w:sz="12" w:space="0"/>
              <w:right w:val="nil"/>
            </w:tcBorders>
            <w:shd w:val="clear" w:color="auto" w:fill="auto"/>
            <w:vAlign w:val="center"/>
          </w:tcPr>
          <w:p w14:paraId="686509BD">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Pa</w:t>
            </w:r>
          </w:p>
        </w:tc>
      </w:tr>
      <w:tr w14:paraId="5A57955B">
        <w:tblPrEx>
          <w:tblCellMar>
            <w:top w:w="0" w:type="dxa"/>
            <w:left w:w="108" w:type="dxa"/>
            <w:bottom w:w="0" w:type="dxa"/>
            <w:right w:w="108" w:type="dxa"/>
          </w:tblCellMar>
        </w:tblPrEx>
        <w:trPr>
          <w:trHeight w:val="364" w:hRule="atLeast"/>
        </w:trPr>
        <w:tc>
          <w:tcPr>
            <w:tcW w:w="1066" w:type="pct"/>
            <w:tcBorders>
              <w:top w:val="single" w:color="auto" w:sz="12" w:space="0"/>
              <w:left w:val="nil"/>
              <w:bottom w:val="nil"/>
              <w:right w:val="nil"/>
            </w:tcBorders>
            <w:shd w:val="clear" w:color="auto" w:fill="auto"/>
            <w:vAlign w:val="center"/>
          </w:tcPr>
          <w:p w14:paraId="5DA135A2">
            <w:pPr>
              <w:widowControl/>
              <w:jc w:val="left"/>
              <w:textAlignment w:val="center"/>
              <w:rPr>
                <w:rFonts w:ascii="Times New Roman" w:hAnsi="Times New Roman" w:eastAsia="宋体" w:cs="Times New Roman"/>
                <w:color w:val="000000"/>
                <w:sz w:val="22"/>
              </w:rPr>
            </w:pPr>
          </w:p>
        </w:tc>
        <w:tc>
          <w:tcPr>
            <w:tcW w:w="3069" w:type="pct"/>
            <w:tcBorders>
              <w:top w:val="single" w:color="auto" w:sz="12" w:space="0"/>
              <w:left w:val="nil"/>
              <w:bottom w:val="nil"/>
              <w:right w:val="nil"/>
            </w:tcBorders>
            <w:shd w:val="clear" w:color="auto" w:fill="auto"/>
            <w:vAlign w:val="center"/>
          </w:tcPr>
          <w:p w14:paraId="0C93727A">
            <w:pPr>
              <w:widowControl/>
              <w:jc w:val="left"/>
              <w:textAlignment w:val="center"/>
              <w:rPr>
                <w:rFonts w:ascii="Times New Roman" w:hAnsi="Times New Roman" w:eastAsia="宋体" w:cs="Times New Roman"/>
                <w:color w:val="000000"/>
                <w:sz w:val="22"/>
              </w:rPr>
            </w:pPr>
          </w:p>
        </w:tc>
        <w:tc>
          <w:tcPr>
            <w:tcW w:w="865" w:type="pct"/>
            <w:tcBorders>
              <w:top w:val="single" w:color="auto" w:sz="12" w:space="0"/>
              <w:left w:val="nil"/>
              <w:bottom w:val="nil"/>
              <w:right w:val="nil"/>
            </w:tcBorders>
            <w:shd w:val="clear" w:color="auto" w:fill="auto"/>
            <w:vAlign w:val="center"/>
          </w:tcPr>
          <w:p w14:paraId="0F9B7802">
            <w:pPr>
              <w:widowControl/>
              <w:jc w:val="left"/>
              <w:textAlignment w:val="center"/>
              <w:rPr>
                <w:rFonts w:ascii="Times New Roman" w:hAnsi="Times New Roman" w:eastAsia="宋体" w:cs="Times New Roman"/>
                <w:color w:val="000000"/>
                <w:sz w:val="22"/>
              </w:rPr>
            </w:pPr>
          </w:p>
        </w:tc>
      </w:tr>
      <w:tr w14:paraId="24B76500">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6D099979">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ρ</w:t>
            </w:r>
            <w:r>
              <w:rPr>
                <w:rStyle w:val="58"/>
                <w:rFonts w:eastAsia="宋体"/>
                <w:lang w:bidi="ar"/>
              </w:rPr>
              <w:t>0</w:t>
            </w:r>
            <w:r>
              <w:rPr>
                <w:rStyle w:val="59"/>
                <w:rFonts w:eastAsia="宋体"/>
                <w:lang w:bidi="ar"/>
              </w:rPr>
              <w:t>​</w:t>
            </w:r>
          </w:p>
        </w:tc>
        <w:tc>
          <w:tcPr>
            <w:tcW w:w="3069" w:type="pct"/>
            <w:tcBorders>
              <w:top w:val="nil"/>
              <w:left w:val="nil"/>
              <w:bottom w:val="nil"/>
              <w:right w:val="nil"/>
            </w:tcBorders>
            <w:shd w:val="clear" w:color="auto" w:fill="auto"/>
            <w:vAlign w:val="center"/>
          </w:tcPr>
          <w:p w14:paraId="2451B9DC">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标准海平面空气密度</w:t>
            </w:r>
          </w:p>
        </w:tc>
        <w:tc>
          <w:tcPr>
            <w:tcW w:w="865" w:type="pct"/>
            <w:tcBorders>
              <w:top w:val="nil"/>
              <w:left w:val="nil"/>
              <w:bottom w:val="nil"/>
              <w:right w:val="nil"/>
            </w:tcBorders>
            <w:shd w:val="clear" w:color="auto" w:fill="auto"/>
            <w:vAlign w:val="center"/>
          </w:tcPr>
          <w:p w14:paraId="6E53ECFC">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kg·m⁻³</w:t>
            </w:r>
          </w:p>
        </w:tc>
      </w:tr>
      <w:tr w14:paraId="0ED62433">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2AAA88BE">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ρ</w:t>
            </w:r>
            <w:r>
              <w:rPr>
                <w:rStyle w:val="58"/>
                <w:rFonts w:eastAsia="宋体"/>
                <w:lang w:bidi="ar"/>
              </w:rPr>
              <w:t>100</w:t>
            </w:r>
            <w:r>
              <w:rPr>
                <w:rStyle w:val="59"/>
                <w:rFonts w:eastAsia="宋体"/>
                <w:lang w:bidi="ar"/>
              </w:rPr>
              <w:t>​</w:t>
            </w:r>
          </w:p>
        </w:tc>
        <w:tc>
          <w:tcPr>
            <w:tcW w:w="3069" w:type="pct"/>
            <w:tcBorders>
              <w:top w:val="nil"/>
              <w:left w:val="nil"/>
              <w:bottom w:val="nil"/>
              <w:right w:val="nil"/>
            </w:tcBorders>
            <w:shd w:val="clear" w:color="auto" w:fill="auto"/>
            <w:vAlign w:val="center"/>
          </w:tcPr>
          <w:p w14:paraId="6B4CAF65">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100m</w:t>
            </w:r>
            <w:r>
              <w:rPr>
                <w:rStyle w:val="60"/>
                <w:rFonts w:hint="default" w:ascii="Times New Roman" w:hAnsi="Times New Roman" w:cs="Times New Roman"/>
                <w:lang w:bidi="ar"/>
              </w:rPr>
              <w:t>高度处实际空气密度</w:t>
            </w:r>
          </w:p>
        </w:tc>
        <w:tc>
          <w:tcPr>
            <w:tcW w:w="865" w:type="pct"/>
            <w:tcBorders>
              <w:top w:val="nil"/>
              <w:left w:val="nil"/>
              <w:bottom w:val="nil"/>
              <w:right w:val="nil"/>
            </w:tcBorders>
            <w:shd w:val="clear" w:color="auto" w:fill="auto"/>
            <w:vAlign w:val="center"/>
          </w:tcPr>
          <w:p w14:paraId="77F1B5BE">
            <w:pPr>
              <w:widowControl/>
              <w:jc w:val="left"/>
              <w:textAlignment w:val="center"/>
              <w:rPr>
                <w:rFonts w:ascii="Times New Roman" w:hAnsi="Times New Roman" w:eastAsia="宋体" w:cs="Times New Roman"/>
                <w:color w:val="000000"/>
                <w:kern w:val="0"/>
                <w:sz w:val="22"/>
                <w:lang w:bidi="ar"/>
              </w:rPr>
            </w:pPr>
            <w:r>
              <w:rPr>
                <w:rFonts w:ascii="Times New Roman" w:hAnsi="Times New Roman" w:eastAsia="宋体" w:cs="Times New Roman"/>
                <w:color w:val="000000"/>
                <w:kern w:val="0"/>
                <w:sz w:val="22"/>
                <w:lang w:bidi="ar"/>
              </w:rPr>
              <w:t>kg·m⁻³</w:t>
            </w:r>
          </w:p>
        </w:tc>
      </w:tr>
      <w:tr w14:paraId="297C27C5">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48377AD7">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c</w:t>
            </w:r>
          </w:p>
        </w:tc>
        <w:tc>
          <w:tcPr>
            <w:tcW w:w="3069" w:type="pct"/>
            <w:tcBorders>
              <w:top w:val="nil"/>
              <w:left w:val="nil"/>
              <w:bottom w:val="nil"/>
              <w:right w:val="nil"/>
            </w:tcBorders>
            <w:shd w:val="clear" w:color="auto" w:fill="auto"/>
            <w:vAlign w:val="center"/>
          </w:tcPr>
          <w:p w14:paraId="13705A6F">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瑞利分布尺度参数</w:t>
            </w:r>
          </w:p>
        </w:tc>
        <w:tc>
          <w:tcPr>
            <w:tcW w:w="865" w:type="pct"/>
            <w:tcBorders>
              <w:top w:val="nil"/>
              <w:left w:val="nil"/>
              <w:bottom w:val="nil"/>
              <w:right w:val="nil"/>
            </w:tcBorders>
            <w:shd w:val="clear" w:color="auto" w:fill="auto"/>
            <w:vAlign w:val="center"/>
          </w:tcPr>
          <w:p w14:paraId="5849FD02">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m·s⁻¹</w:t>
            </w:r>
          </w:p>
        </w:tc>
      </w:tr>
      <w:tr w14:paraId="18701744">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1B0E7594">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CF</w:t>
            </w:r>
            <w:r>
              <w:rPr>
                <w:rStyle w:val="58"/>
                <w:rFonts w:eastAsia="宋体"/>
                <w:lang w:bidi="ar"/>
              </w:rPr>
              <w:t>onshore</w:t>
            </w:r>
            <w:r>
              <w:rPr>
                <w:rStyle w:val="59"/>
                <w:rFonts w:eastAsia="宋体"/>
                <w:lang w:bidi="ar"/>
              </w:rPr>
              <w:t>​</w:t>
            </w:r>
          </w:p>
        </w:tc>
        <w:tc>
          <w:tcPr>
            <w:tcW w:w="3069" w:type="pct"/>
            <w:tcBorders>
              <w:top w:val="nil"/>
              <w:left w:val="nil"/>
              <w:bottom w:val="nil"/>
              <w:right w:val="nil"/>
            </w:tcBorders>
            <w:shd w:val="clear" w:color="auto" w:fill="auto"/>
            <w:vAlign w:val="center"/>
          </w:tcPr>
          <w:p w14:paraId="14C16D69">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陆上风电期望容量系数</w:t>
            </w:r>
          </w:p>
        </w:tc>
        <w:tc>
          <w:tcPr>
            <w:tcW w:w="865" w:type="pct"/>
            <w:tcBorders>
              <w:top w:val="nil"/>
              <w:left w:val="nil"/>
              <w:bottom w:val="nil"/>
              <w:right w:val="nil"/>
            </w:tcBorders>
            <w:shd w:val="clear" w:color="auto" w:fill="auto"/>
            <w:vAlign w:val="center"/>
          </w:tcPr>
          <w:p w14:paraId="5B8F02ED">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无量纲</w:t>
            </w:r>
          </w:p>
        </w:tc>
      </w:tr>
      <w:tr w14:paraId="67D1D763">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1F394507">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P</w:t>
            </w:r>
            <w:r>
              <w:rPr>
                <w:rStyle w:val="58"/>
                <w:rFonts w:eastAsia="宋体"/>
                <w:lang w:bidi="ar"/>
              </w:rPr>
              <w:t>actual_capacity</w:t>
            </w:r>
            <w:r>
              <w:rPr>
                <w:rStyle w:val="59"/>
                <w:rFonts w:eastAsia="宋体"/>
                <w:lang w:bidi="ar"/>
              </w:rPr>
              <w:t>​</w:t>
            </w:r>
          </w:p>
        </w:tc>
        <w:tc>
          <w:tcPr>
            <w:tcW w:w="3069" w:type="pct"/>
            <w:tcBorders>
              <w:top w:val="nil"/>
              <w:left w:val="nil"/>
              <w:bottom w:val="nil"/>
              <w:right w:val="nil"/>
            </w:tcBorders>
            <w:shd w:val="clear" w:color="auto" w:fill="auto"/>
            <w:vAlign w:val="center"/>
          </w:tcPr>
          <w:p w14:paraId="7319CF4B">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单位面积有效装机容量上限</w:t>
            </w:r>
          </w:p>
        </w:tc>
        <w:tc>
          <w:tcPr>
            <w:tcW w:w="865" w:type="pct"/>
            <w:tcBorders>
              <w:top w:val="nil"/>
              <w:left w:val="nil"/>
              <w:bottom w:val="nil"/>
              <w:right w:val="nil"/>
            </w:tcBorders>
            <w:shd w:val="clear" w:color="auto" w:fill="auto"/>
            <w:vAlign w:val="center"/>
          </w:tcPr>
          <w:p w14:paraId="40326177">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kW·m⁻²</w:t>
            </w:r>
          </w:p>
        </w:tc>
      </w:tr>
      <w:tr w14:paraId="6E8BF57E">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7840E3E7">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D</w:t>
            </w:r>
            <w:r>
              <w:rPr>
                <w:rStyle w:val="58"/>
                <w:rFonts w:eastAsia="宋体"/>
                <w:lang w:bidi="ar"/>
              </w:rPr>
              <w:t>rotor</w:t>
            </w:r>
            <w:r>
              <w:rPr>
                <w:rStyle w:val="59"/>
                <w:rFonts w:eastAsia="宋体"/>
                <w:lang w:bidi="ar"/>
              </w:rPr>
              <w:t>​</w:t>
            </w:r>
          </w:p>
        </w:tc>
        <w:tc>
          <w:tcPr>
            <w:tcW w:w="3069" w:type="pct"/>
            <w:tcBorders>
              <w:top w:val="nil"/>
              <w:left w:val="nil"/>
              <w:bottom w:val="nil"/>
              <w:right w:val="nil"/>
            </w:tcBorders>
            <w:shd w:val="clear" w:color="auto" w:fill="auto"/>
            <w:vAlign w:val="center"/>
          </w:tcPr>
          <w:p w14:paraId="6C74072E">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风机叶轮直径</w:t>
            </w:r>
          </w:p>
        </w:tc>
        <w:tc>
          <w:tcPr>
            <w:tcW w:w="865" w:type="pct"/>
            <w:tcBorders>
              <w:top w:val="nil"/>
              <w:left w:val="nil"/>
              <w:bottom w:val="nil"/>
              <w:right w:val="nil"/>
            </w:tcBorders>
            <w:shd w:val="clear" w:color="auto" w:fill="auto"/>
            <w:vAlign w:val="center"/>
          </w:tcPr>
          <w:p w14:paraId="3A447010">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m</w:t>
            </w:r>
          </w:p>
        </w:tc>
      </w:tr>
      <w:tr w14:paraId="2360C5D2">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0A55E142">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A</w:t>
            </w:r>
            <w:r>
              <w:rPr>
                <w:rStyle w:val="58"/>
                <w:rFonts w:eastAsia="宋体"/>
                <w:lang w:bidi="ar"/>
              </w:rPr>
              <w:t>RR</w:t>
            </w:r>
            <w:r>
              <w:rPr>
                <w:rStyle w:val="59"/>
                <w:rFonts w:eastAsia="宋体"/>
                <w:lang w:bidi="ar"/>
              </w:rPr>
              <w:t>​</w:t>
            </w:r>
          </w:p>
        </w:tc>
        <w:tc>
          <w:tcPr>
            <w:tcW w:w="3069" w:type="pct"/>
            <w:tcBorders>
              <w:top w:val="nil"/>
              <w:left w:val="nil"/>
              <w:bottom w:val="nil"/>
              <w:right w:val="nil"/>
            </w:tcBorders>
            <w:shd w:val="clear" w:color="auto" w:fill="auto"/>
            <w:vAlign w:val="center"/>
          </w:tcPr>
          <w:p w14:paraId="1BAF4578">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阵列效率因子</w:t>
            </w:r>
          </w:p>
        </w:tc>
        <w:tc>
          <w:tcPr>
            <w:tcW w:w="865" w:type="pct"/>
            <w:tcBorders>
              <w:top w:val="nil"/>
              <w:left w:val="nil"/>
              <w:bottom w:val="nil"/>
              <w:right w:val="nil"/>
            </w:tcBorders>
            <w:shd w:val="clear" w:color="auto" w:fill="auto"/>
            <w:vAlign w:val="center"/>
          </w:tcPr>
          <w:p w14:paraId="2E08D1AE">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无量纲</w:t>
            </w:r>
          </w:p>
        </w:tc>
      </w:tr>
      <w:tr w14:paraId="7C9E68AE">
        <w:tblPrEx>
          <w:tblCellMar>
            <w:top w:w="0" w:type="dxa"/>
            <w:left w:w="108" w:type="dxa"/>
            <w:bottom w:w="0" w:type="dxa"/>
            <w:right w:w="108" w:type="dxa"/>
          </w:tblCellMar>
        </w:tblPrEx>
        <w:trPr>
          <w:trHeight w:val="315" w:hRule="atLeast"/>
        </w:trPr>
        <w:tc>
          <w:tcPr>
            <w:tcW w:w="1066" w:type="pct"/>
            <w:tcBorders>
              <w:top w:val="nil"/>
              <w:left w:val="nil"/>
              <w:bottom w:val="nil"/>
              <w:right w:val="nil"/>
            </w:tcBorders>
            <w:shd w:val="clear" w:color="auto" w:fill="auto"/>
            <w:vAlign w:val="center"/>
          </w:tcPr>
          <w:p w14:paraId="5291D950">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U</w:t>
            </w:r>
            <w:r>
              <w:rPr>
                <w:rStyle w:val="58"/>
                <w:rFonts w:eastAsia="宋体"/>
                <w:lang w:bidi="ar"/>
              </w:rPr>
              <w:t>TI</w:t>
            </w:r>
            <w:r>
              <w:rPr>
                <w:rStyle w:val="59"/>
                <w:rFonts w:eastAsia="宋体"/>
                <w:lang w:bidi="ar"/>
              </w:rPr>
              <w:t>​</w:t>
            </w:r>
          </w:p>
        </w:tc>
        <w:tc>
          <w:tcPr>
            <w:tcW w:w="3069" w:type="pct"/>
            <w:tcBorders>
              <w:top w:val="nil"/>
              <w:left w:val="nil"/>
              <w:bottom w:val="nil"/>
              <w:right w:val="nil"/>
            </w:tcBorders>
            <w:shd w:val="clear" w:color="auto" w:fill="auto"/>
            <w:vAlign w:val="center"/>
          </w:tcPr>
          <w:p w14:paraId="404AAB9A">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能量转换效率</w:t>
            </w:r>
          </w:p>
        </w:tc>
        <w:tc>
          <w:tcPr>
            <w:tcW w:w="865" w:type="pct"/>
            <w:tcBorders>
              <w:top w:val="nil"/>
              <w:left w:val="nil"/>
              <w:bottom w:val="nil"/>
              <w:right w:val="nil"/>
            </w:tcBorders>
            <w:shd w:val="clear" w:color="auto" w:fill="auto"/>
            <w:vAlign w:val="center"/>
          </w:tcPr>
          <w:p w14:paraId="0BA60F1C">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无量纲</w:t>
            </w:r>
          </w:p>
        </w:tc>
      </w:tr>
      <w:tr w14:paraId="15798130">
        <w:tblPrEx>
          <w:tblCellMar>
            <w:top w:w="0" w:type="dxa"/>
            <w:left w:w="108" w:type="dxa"/>
            <w:bottom w:w="0" w:type="dxa"/>
            <w:right w:w="108" w:type="dxa"/>
          </w:tblCellMar>
        </w:tblPrEx>
        <w:trPr>
          <w:trHeight w:val="315" w:hRule="atLeast"/>
        </w:trPr>
        <w:tc>
          <w:tcPr>
            <w:tcW w:w="1066" w:type="pct"/>
            <w:tcBorders>
              <w:top w:val="nil"/>
              <w:left w:val="nil"/>
              <w:bottom w:val="single" w:color="000000" w:sz="12" w:space="0"/>
              <w:right w:val="nil"/>
            </w:tcBorders>
            <w:shd w:val="clear" w:color="auto" w:fill="auto"/>
            <w:vAlign w:val="center"/>
          </w:tcPr>
          <w:p w14:paraId="6422CE4D">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P</w:t>
            </w:r>
            <w:r>
              <w:rPr>
                <w:rStyle w:val="58"/>
                <w:rFonts w:eastAsia="宋体"/>
                <w:lang w:bidi="ar"/>
              </w:rPr>
              <w:t>wind</w:t>
            </w:r>
            <w:r>
              <w:rPr>
                <w:rStyle w:val="59"/>
                <w:rFonts w:eastAsia="宋体"/>
                <w:lang w:bidi="ar"/>
              </w:rPr>
              <w:t>​</w:t>
            </w:r>
          </w:p>
        </w:tc>
        <w:tc>
          <w:tcPr>
            <w:tcW w:w="3069" w:type="pct"/>
            <w:tcBorders>
              <w:top w:val="nil"/>
              <w:left w:val="nil"/>
              <w:bottom w:val="single" w:color="000000" w:sz="12" w:space="0"/>
              <w:right w:val="nil"/>
            </w:tcBorders>
            <w:shd w:val="clear" w:color="auto" w:fill="auto"/>
            <w:vAlign w:val="center"/>
          </w:tcPr>
          <w:p w14:paraId="265139D0">
            <w:pPr>
              <w:widowControl/>
              <w:jc w:val="left"/>
              <w:textAlignment w:val="center"/>
              <w:rPr>
                <w:rFonts w:ascii="Times New Roman" w:hAnsi="Times New Roman" w:eastAsia="宋体" w:cs="Times New Roman"/>
                <w:color w:val="000000"/>
                <w:sz w:val="22"/>
              </w:rPr>
            </w:pPr>
            <w:r>
              <w:rPr>
                <w:rFonts w:hint="default" w:ascii="Times New Roman" w:hAnsi="Times New Roman" w:eastAsia="宋体" w:cs="Times New Roman"/>
                <w:color w:val="000000"/>
                <w:kern w:val="0"/>
                <w:sz w:val="22"/>
                <w:lang w:bidi="ar"/>
              </w:rPr>
              <w:t>日</w:t>
            </w:r>
            <w:r>
              <w:rPr>
                <w:rStyle w:val="60"/>
                <w:rFonts w:hint="default" w:ascii="Times New Roman" w:hAnsi="Times New Roman" w:cs="Times New Roman"/>
                <w:lang w:bidi="ar"/>
              </w:rPr>
              <w:t>单位面积风能发电潜力</w:t>
            </w:r>
          </w:p>
        </w:tc>
        <w:tc>
          <w:tcPr>
            <w:tcW w:w="865" w:type="pct"/>
            <w:tcBorders>
              <w:top w:val="nil"/>
              <w:left w:val="nil"/>
              <w:bottom w:val="single" w:color="000000" w:sz="12" w:space="0"/>
              <w:right w:val="nil"/>
            </w:tcBorders>
            <w:shd w:val="clear" w:color="auto" w:fill="auto"/>
            <w:vAlign w:val="center"/>
          </w:tcPr>
          <w:p w14:paraId="1523B23D">
            <w:pPr>
              <w:widowControl/>
              <w:jc w:val="left"/>
              <w:textAlignment w:val="center"/>
              <w:rPr>
                <w:rFonts w:ascii="Times New Roman" w:hAnsi="Times New Roman" w:eastAsia="宋体" w:cs="Times New Roman"/>
                <w:color w:val="000000"/>
                <w:sz w:val="22"/>
              </w:rPr>
            </w:pPr>
            <w:r>
              <w:rPr>
                <w:rFonts w:ascii="Times New Roman" w:hAnsi="Times New Roman" w:eastAsia="宋体" w:cs="Times New Roman"/>
                <w:color w:val="000000"/>
                <w:kern w:val="0"/>
                <w:sz w:val="22"/>
                <w:lang w:bidi="ar"/>
              </w:rPr>
              <w:t>kWh·m⁻²</w:t>
            </w:r>
          </w:p>
        </w:tc>
      </w:tr>
    </w:tbl>
    <w:p w14:paraId="715DDCA9">
      <w:pPr>
        <w:rPr>
          <w:rFonts w:ascii="Times New Roman" w:hAnsi="Times New Roman" w:eastAsia="宋体" w:cs="Times New Roman"/>
          <w:sz w:val="28"/>
          <w:szCs w:val="28"/>
          <w14:ligatures w14:val="standardContextual"/>
        </w:rPr>
      </w:pPr>
      <w:r>
        <w:rPr>
          <w:rFonts w:ascii="Times New Roman" w:hAnsi="Times New Roman" w:eastAsia="宋体" w:cs="Times New Roman"/>
          <w:sz w:val="28"/>
          <w:szCs w:val="28"/>
          <w14:ligatures w14:val="standardContextual"/>
        </w:rPr>
        <w:br w:type="page"/>
      </w:r>
    </w:p>
    <w:p w14:paraId="38E73183">
      <w:pPr>
        <w:spacing w:line="300" w:lineRule="auto"/>
        <w:outlineLvl w:val="0"/>
        <w:rPr>
          <w:rFonts w:ascii="Times New Roman" w:hAnsi="Times New Roman" w:eastAsia="宋体" w:cs="Times New Roman"/>
          <w:sz w:val="28"/>
          <w:szCs w:val="28"/>
          <w14:ligatures w14:val="standardContextual"/>
        </w:rPr>
      </w:pPr>
      <w:r>
        <w:rPr>
          <w:rFonts w:ascii="Times New Roman" w:hAnsi="Times New Roman" w:eastAsia="宋体" w:cs="Times New Roman"/>
          <w:sz w:val="28"/>
          <w:szCs w:val="28"/>
          <w14:ligatures w14:val="standardContextual"/>
        </w:rPr>
        <w:t xml:space="preserve">3 </w:t>
      </w:r>
      <w:r>
        <w:rPr>
          <w:rFonts w:hint="default" w:ascii="Times New Roman" w:hAnsi="Times New Roman" w:eastAsia="宋体" w:cs="Times New Roman"/>
          <w:sz w:val="28"/>
          <w:szCs w:val="28"/>
          <w14:ligatures w14:val="standardContextual"/>
        </w:rPr>
        <w:t>补充图片</w:t>
      </w:r>
    </w:p>
    <w:p w14:paraId="18633AA5">
      <w:pPr>
        <w:widowControl/>
        <w:spacing w:line="300" w:lineRule="auto"/>
        <w:jc w:val="left"/>
        <w:rPr>
          <w:rFonts w:ascii="Times New Roman" w:hAnsi="Times New Roman" w:cs="Times New Roman"/>
        </w:rPr>
      </w:pPr>
      <w:r>
        <w:rPr>
          <w:rFonts w:ascii="Times New Roman" w:hAnsi="Times New Roman" w:cs="Times New Roman"/>
        </w:rPr>
        <w:drawing>
          <wp:inline distT="0" distB="0" distL="114300" distR="114300">
            <wp:extent cx="5273675" cy="1352550"/>
            <wp:effectExtent l="0" t="0" r="9525" b="6350"/>
            <wp:docPr id="1" name="图片 1" descr="Fig_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_S1"/>
                    <pic:cNvPicPr>
                      <a:picLocks noChangeAspect="1"/>
                    </pic:cNvPicPr>
                  </pic:nvPicPr>
                  <pic:blipFill>
                    <a:blip r:embed="rId4"/>
                    <a:stretch>
                      <a:fillRect/>
                    </a:stretch>
                  </pic:blipFill>
                  <pic:spPr>
                    <a:xfrm>
                      <a:off x="0" y="0"/>
                      <a:ext cx="5273675" cy="1352550"/>
                    </a:xfrm>
                    <a:prstGeom prst="rect">
                      <a:avLst/>
                    </a:prstGeom>
                  </pic:spPr>
                </pic:pic>
              </a:graphicData>
            </a:graphic>
          </wp:inline>
        </w:drawing>
      </w:r>
    </w:p>
    <w:p w14:paraId="2B291741">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31CD8D6E">
      <w:pPr>
        <w:widowControl/>
        <w:adjustRightInd w:val="0"/>
        <w:spacing w:line="300" w:lineRule="auto"/>
        <w:rPr>
          <w:rFonts w:ascii="Times New Roman" w:hAnsi="Times New Roman" w:eastAsia="宋体" w:cs="Times New Roman"/>
          <w:iCs/>
          <w:sz w:val="18"/>
          <w:szCs w:val="18"/>
        </w:rPr>
      </w:pPr>
      <w:r>
        <w:rPr>
          <w:rFonts w:hint="default" w:ascii="Times New Roman" w:hAnsi="Times New Roman" w:eastAsia="宋体" w:cs="Times New Roman"/>
          <w:color w:val="000000" w:themeColor="text1"/>
          <w:sz w:val="18"/>
          <w:szCs w:val="18"/>
          <w14:textFill>
            <w14:solidFill>
              <w14:schemeClr w14:val="tx1"/>
            </w14:solidFill>
          </w14:textFill>
        </w:rPr>
        <w:t>图</w:t>
      </w:r>
      <w:r>
        <w:rPr>
          <w:rFonts w:ascii="Times New Roman" w:hAnsi="Times New Roman" w:eastAsia="宋体" w:cs="Times New Roman"/>
          <w:color w:val="000000" w:themeColor="text1"/>
          <w:sz w:val="18"/>
          <w:szCs w:val="18"/>
          <w14:textFill>
            <w14:solidFill>
              <w14:schemeClr w14:val="tx1"/>
            </w14:solidFill>
          </w14:textFill>
        </w:rPr>
        <w:t xml:space="preserve"> S1 </w:t>
      </w:r>
      <w:r>
        <w:rPr>
          <w:rFonts w:hint="default" w:ascii="Times New Roman" w:hAnsi="Times New Roman" w:eastAsia="宋体" w:cs="Times New Roman"/>
          <w:color w:val="000000" w:themeColor="text1"/>
          <w:sz w:val="18"/>
          <w:szCs w:val="18"/>
          <w14:textFill>
            <w14:solidFill>
              <w14:schemeClr w14:val="tx1"/>
            </w14:solidFill>
          </w14:textFill>
        </w:rPr>
        <w:t>不同风切变系数下</w:t>
      </w:r>
      <w:r>
        <w:rPr>
          <w:rFonts w:ascii="Times New Roman" w:hAnsi="Times New Roman" w:eastAsia="宋体" w:cs="Times New Roman"/>
          <w:color w:val="000000" w:themeColor="text1"/>
          <w:sz w:val="18"/>
          <w:szCs w:val="18"/>
          <w14:textFill>
            <w14:solidFill>
              <w14:schemeClr w14:val="tx1"/>
            </w14:solidFill>
          </w14:textFill>
        </w:rPr>
        <w:t>2015</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color w:val="000000" w:themeColor="text1"/>
          <w:sz w:val="18"/>
          <w:szCs w:val="18"/>
          <w14:textFill>
            <w14:solidFill>
              <w14:schemeClr w14:val="tx1"/>
            </w14:solidFill>
          </w14:textFill>
        </w:rPr>
        <w:t>2024</w:t>
      </w:r>
      <w:r>
        <w:rPr>
          <w:rFonts w:hint="default" w:ascii="Times New Roman" w:hAnsi="Times New Roman" w:eastAsia="宋体" w:cs="Times New Roman"/>
          <w:color w:val="000000" w:themeColor="text1"/>
          <w:sz w:val="18"/>
          <w:szCs w:val="18"/>
          <w14:textFill>
            <w14:solidFill>
              <w14:schemeClr w14:val="tx1"/>
            </w14:solidFill>
          </w14:textFill>
        </w:rPr>
        <w:t>年风能发电潜力多年平均的空间分布（</w:t>
      </w:r>
      <w:r>
        <w:rPr>
          <w:rFonts w:ascii="Times New Roman" w:hAnsi="Times New Roman" w:eastAsia="宋体" w:cs="Times New Roman"/>
          <w:color w:val="000000" w:themeColor="text1"/>
          <w:sz w:val="18"/>
          <w:szCs w:val="18"/>
          <w14:textFill>
            <w14:solidFill>
              <w14:schemeClr w14:val="tx1"/>
            </w14:solidFill>
          </w14:textFill>
        </w:rPr>
        <w:t>A</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hint="default" w:ascii="Times New Roman" w:hAnsi="Times New Roman" w:eastAsia="宋体" w:cs="Times New Roman"/>
          <w:sz w:val="18"/>
          <w:szCs w:val="18"/>
        </w:rPr>
        <w:t>；</w:t>
      </w:r>
      <w:r>
        <w:rPr>
          <w:rFonts w:ascii="Times New Roman" w:hAnsi="Times New Roman" w:eastAsia="宋体" w:cs="Times New Roman"/>
          <w:sz w:val="18"/>
          <w:szCs w:val="18"/>
        </w:rPr>
        <w:t>B</w:t>
      </w:r>
      <w:r>
        <w:rPr>
          <w:rFonts w:hint="default" w:ascii="Times New Roman" w:hAnsi="Times New Roman" w:eastAsia="宋体"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C</w:t>
      </w:r>
      <w:r>
        <w:rPr>
          <w:rFonts w:hint="default" w:ascii="Times New Roman" w:hAnsi="Times New Roman" w:eastAsia="宋体"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hint="default" w:ascii="Times New Roman" w:hAnsi="Times New Roman" w:eastAsia="宋体" w:cs="Times New Roman"/>
          <w:color w:val="000000" w:themeColor="text1"/>
          <w:sz w:val="18"/>
          <w:szCs w:val="18"/>
          <w14:textFill>
            <w14:solidFill>
              <w14:schemeClr w14:val="tx1"/>
            </w14:solidFill>
          </w14:textFill>
        </w:rPr>
        <w:t>）</w:t>
      </w:r>
    </w:p>
    <w:p w14:paraId="35B7855C">
      <w:pPr>
        <w:widowControl/>
        <w:adjustRightInd w:val="0"/>
        <w:spacing w:line="300" w:lineRule="auto"/>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imes New Roman" w:hAnsi="Times New Roman" w:eastAsia="宋体" w:cs="Times New Roman"/>
          <w:color w:val="000000" w:themeColor="text1"/>
          <w:kern w:val="0"/>
          <w:sz w:val="18"/>
          <w:szCs w:val="18"/>
          <w:lang w:val="en-GB"/>
          <w14:textFill>
            <w14:solidFill>
              <w14:schemeClr w14:val="tx1"/>
            </w14:solidFill>
          </w14:textFill>
        </w:rPr>
        <w:t xml:space="preserve">S1 Spatial distribution of multi-year average wind power generation potential from 2015 to 2024 under different wind shear coefficients </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color w:val="000000" w:themeColor="text1"/>
          <w:sz w:val="18"/>
          <w:szCs w:val="18"/>
          <w14:textFill>
            <w14:solidFill>
              <w14:schemeClr w14:val="tx1"/>
            </w14:solidFill>
          </w14:textFill>
        </w:rPr>
        <w:t>A</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hint="default" w:ascii="Times New Roman" w:hAnsi="Times New Roman" w:eastAsia="宋体" w:cs="Times New Roman"/>
          <w:sz w:val="18"/>
          <w:szCs w:val="18"/>
        </w:rPr>
        <w:t>；</w:t>
      </w:r>
      <w:r>
        <w:rPr>
          <w:rFonts w:ascii="Times New Roman" w:hAnsi="Times New Roman" w:eastAsia="宋体" w:cs="Times New Roman"/>
          <w:sz w:val="18"/>
          <w:szCs w:val="18"/>
        </w:rPr>
        <w:t>B</w:t>
      </w:r>
      <w:r>
        <w:rPr>
          <w:rFonts w:hint="default" w:ascii="Times New Roman" w:hAnsi="Times New Roman" w:eastAsia="宋体"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C</w:t>
      </w:r>
      <w:r>
        <w:rPr>
          <w:rFonts w:hint="default" w:ascii="Times New Roman" w:hAnsi="Times New Roman" w:eastAsia="宋体"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hint="default" w:ascii="Times New Roman" w:hAnsi="Times New Roman" w:eastAsia="宋体" w:cs="Times New Roman"/>
          <w:color w:val="000000" w:themeColor="text1"/>
          <w:sz w:val="18"/>
          <w:szCs w:val="18"/>
          <w14:textFill>
            <w14:solidFill>
              <w14:schemeClr w14:val="tx1"/>
            </w14:solidFill>
          </w14:textFill>
        </w:rPr>
        <w:t>）</w:t>
      </w:r>
    </w:p>
    <w:p w14:paraId="5C83F070">
      <w:pPr>
        <w:widowControl/>
        <w:jc w:val="left"/>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eastAsia="宋体" w:cs="Times New Roman"/>
          <w:color w:val="000000" w:themeColor="text1"/>
          <w:sz w:val="18"/>
          <w:szCs w:val="18"/>
          <w14:textFill>
            <w14:solidFill>
              <w14:schemeClr w14:val="tx1"/>
            </w14:solidFill>
          </w14:textFill>
        </w:rPr>
        <w:br w:type="page"/>
      </w:r>
    </w:p>
    <w:p w14:paraId="4CABE69B">
      <w:pPr>
        <w:widowControl/>
        <w:spacing w:line="300" w:lineRule="auto"/>
        <w:jc w:val="left"/>
        <w:rPr>
          <w:rFonts w:ascii="Times New Roman" w:hAnsi="Times New Roman" w:eastAsia="宋体" w:cs="Times New Roman"/>
          <w:color w:val="000000" w:themeColor="text1"/>
          <w:kern w:val="0"/>
          <w:sz w:val="15"/>
          <w:szCs w:val="15"/>
          <w14:textFill>
            <w14:solidFill>
              <w14:schemeClr w14:val="tx1"/>
            </w14:solidFill>
          </w14:textFill>
        </w:rPr>
      </w:pPr>
      <w:r>
        <w:rPr>
          <w:rFonts w:ascii="Times New Roman" w:hAnsi="Times New Roman" w:eastAsia="宋体" w:cs="Times New Roman"/>
          <w:color w:val="000000" w:themeColor="text1"/>
          <w:kern w:val="0"/>
          <w:sz w:val="15"/>
          <w:szCs w:val="15"/>
          <w14:textFill>
            <w14:solidFill>
              <w14:schemeClr w14:val="tx1"/>
            </w14:solidFill>
          </w14:textFill>
        </w:rPr>
        <w:drawing>
          <wp:inline distT="0" distB="0" distL="114300" distR="114300">
            <wp:extent cx="5273675" cy="2719705"/>
            <wp:effectExtent l="0" t="0" r="9525" b="10795"/>
            <wp:docPr id="3" name="图片 3" descr="Fig_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_S2"/>
                    <pic:cNvPicPr>
                      <a:picLocks noChangeAspect="1"/>
                    </pic:cNvPicPr>
                  </pic:nvPicPr>
                  <pic:blipFill>
                    <a:blip r:embed="rId5"/>
                    <a:stretch>
                      <a:fillRect/>
                    </a:stretch>
                  </pic:blipFill>
                  <pic:spPr>
                    <a:xfrm>
                      <a:off x="0" y="0"/>
                      <a:ext cx="5273675" cy="2719705"/>
                    </a:xfrm>
                    <a:prstGeom prst="rect">
                      <a:avLst/>
                    </a:prstGeom>
                  </pic:spPr>
                </pic:pic>
              </a:graphicData>
            </a:graphic>
          </wp:inline>
        </w:drawing>
      </w:r>
    </w:p>
    <w:p w14:paraId="202DBA1B">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79BAB40D">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图</w:t>
      </w:r>
      <w:r>
        <w:rPr>
          <w:rFonts w:ascii="Times New Roman" w:hAnsi="Times New Roman" w:eastAsia="宋体" w:cs="Times New Roman"/>
          <w:color w:val="000000" w:themeColor="text1"/>
          <w:sz w:val="18"/>
          <w:szCs w:val="18"/>
          <w14:textFill>
            <w14:solidFill>
              <w14:schemeClr w14:val="tx1"/>
            </w14:solidFill>
          </w14:textFill>
        </w:rPr>
        <w:t xml:space="preserve"> S2 </w:t>
      </w:r>
      <w:r>
        <w:rPr>
          <w:rFonts w:hint="default" w:ascii="Times New Roman" w:hAnsi="Times New Roman" w:eastAsia="宋体" w:cs="Times New Roman"/>
          <w:color w:val="000000" w:themeColor="text1"/>
          <w:sz w:val="18"/>
          <w:szCs w:val="18"/>
          <w14:textFill>
            <w14:solidFill>
              <w14:schemeClr w14:val="tx1"/>
            </w14:solidFill>
          </w14:textFill>
        </w:rPr>
        <w:t>不同风切变系数与未来不同排放情景下青藏高原风能发电潜力的相对变化（</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eastAsia="宋体"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G</w:t>
      </w:r>
      <w:r>
        <w:rPr>
          <w:rFonts w:ascii="Times New Roman" w:hAnsi="Times New Roman" w:cs="Times New Roman"/>
          <w:sz w:val="18"/>
          <w:szCs w:val="18"/>
        </w:rPr>
        <w:t>–I</w:t>
      </w:r>
      <w:r>
        <w:rPr>
          <w:rFonts w:hint="default" w:ascii="Times New Roman" w:hAnsi="Times New Roman" w:eastAsia="宋体"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hint="default" w:ascii="Times New Roman" w:hAnsi="Times New Roman" w:eastAsia="宋体" w:cs="Times New Roman"/>
          <w:color w:val="000000" w:themeColor="text1"/>
          <w:sz w:val="18"/>
          <w:szCs w:val="18"/>
          <w14:textFill>
            <w14:solidFill>
              <w14:schemeClr w14:val="tx1"/>
            </w14:solidFill>
          </w14:textFill>
        </w:rPr>
        <w:t>）。</w:t>
      </w:r>
    </w:p>
    <w:p w14:paraId="0A9A5E92">
      <w:pPr>
        <w:widowControl/>
        <w:spacing w:line="300" w:lineRule="auto"/>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imes New Roman" w:hAnsi="Times New Roman" w:eastAsia="宋体" w:cs="Times New Roman"/>
          <w:color w:val="000000" w:themeColor="text1"/>
          <w:kern w:val="0"/>
          <w:sz w:val="18"/>
          <w:szCs w:val="18"/>
          <w:lang w:val="en-GB"/>
          <w14:textFill>
            <w14:solidFill>
              <w14:schemeClr w14:val="tx1"/>
            </w14:solidFill>
          </w14:textFill>
        </w:rPr>
        <w:t>S2 Relative changes in wind power generation potential over the Qinghai-Tibet Plateau under different future emission scenarios with various wind shear coefficients.</w:t>
      </w:r>
      <w:r>
        <w:rPr>
          <w:rFonts w:ascii="Times New Roman" w:hAnsi="Times New Roman" w:eastAsia="宋体" w:cs="Times New Roman"/>
          <w:color w:val="000000" w:themeColor="text1"/>
          <w:sz w:val="18"/>
          <w:szCs w:val="18"/>
          <w14:textFill>
            <w14:solidFill>
              <w14:schemeClr w14:val="tx1"/>
            </w14:solidFill>
          </w14:textFill>
        </w:rPr>
        <w:t xml:space="preserve"> </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eastAsia="宋体"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G</w:t>
      </w:r>
      <w:r>
        <w:rPr>
          <w:rFonts w:ascii="Times New Roman" w:hAnsi="Times New Roman" w:cs="Times New Roman"/>
          <w:sz w:val="18"/>
          <w:szCs w:val="18"/>
        </w:rPr>
        <w:t>–I</w:t>
      </w:r>
      <w:r>
        <w:rPr>
          <w:rFonts w:hint="default" w:ascii="Times New Roman" w:hAnsi="Times New Roman" w:eastAsia="宋体"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hint="default" w:ascii="Times New Roman" w:hAnsi="Times New Roman" w:eastAsia="宋体" w:cs="Times New Roman"/>
          <w:color w:val="000000" w:themeColor="text1"/>
          <w:sz w:val="18"/>
          <w:szCs w:val="18"/>
          <w14:textFill>
            <w14:solidFill>
              <w14:schemeClr w14:val="tx1"/>
            </w14:solidFill>
          </w14:textFill>
        </w:rPr>
        <w:t>）。</w:t>
      </w:r>
    </w:p>
    <w:p w14:paraId="5F2AC6A7">
      <w:pPr>
        <w:widowControl/>
        <w:jc w:val="left"/>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eastAsia="宋体" w:cs="Times New Roman"/>
          <w:color w:val="000000" w:themeColor="text1"/>
          <w:sz w:val="18"/>
          <w:szCs w:val="18"/>
          <w14:textFill>
            <w14:solidFill>
              <w14:schemeClr w14:val="tx1"/>
            </w14:solidFill>
          </w14:textFill>
        </w:rPr>
        <w:br w:type="page"/>
      </w:r>
    </w:p>
    <w:p w14:paraId="0713D6AE">
      <w:pPr>
        <w:widowControl/>
        <w:spacing w:line="300" w:lineRule="auto"/>
        <w:jc w:val="left"/>
        <w:rPr>
          <w:rFonts w:ascii="Times New Roman" w:hAnsi="Times New Roman" w:eastAsia="宋体" w:cs="Times New Roman"/>
          <w:color w:val="000000" w:themeColor="text1"/>
          <w:kern w:val="0"/>
          <w:sz w:val="15"/>
          <w:szCs w:val="15"/>
          <w14:textFill>
            <w14:solidFill>
              <w14:schemeClr w14:val="tx1"/>
            </w14:solidFill>
          </w14:textFill>
        </w:rPr>
      </w:pPr>
      <w:r>
        <w:rPr>
          <w:rFonts w:ascii="Times New Roman" w:hAnsi="Times New Roman" w:eastAsia="宋体" w:cs="Times New Roman"/>
          <w:color w:val="000000" w:themeColor="text1"/>
          <w:kern w:val="0"/>
          <w:sz w:val="15"/>
          <w:szCs w:val="15"/>
          <w14:textFill>
            <w14:solidFill>
              <w14:schemeClr w14:val="tx1"/>
            </w14:solidFill>
          </w14:textFill>
        </w:rPr>
        <w:drawing>
          <wp:inline distT="0" distB="0" distL="114300" distR="114300">
            <wp:extent cx="5273675" cy="2738755"/>
            <wp:effectExtent l="0" t="0" r="9525" b="4445"/>
            <wp:docPr id="4" name="图片 4" descr="Fig_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_S3"/>
                    <pic:cNvPicPr>
                      <a:picLocks noChangeAspect="1"/>
                    </pic:cNvPicPr>
                  </pic:nvPicPr>
                  <pic:blipFill>
                    <a:blip r:embed="rId6"/>
                    <a:stretch>
                      <a:fillRect/>
                    </a:stretch>
                  </pic:blipFill>
                  <pic:spPr>
                    <a:xfrm>
                      <a:off x="0" y="0"/>
                      <a:ext cx="5273675" cy="2738755"/>
                    </a:xfrm>
                    <a:prstGeom prst="rect">
                      <a:avLst/>
                    </a:prstGeom>
                  </pic:spPr>
                </pic:pic>
              </a:graphicData>
            </a:graphic>
          </wp:inline>
        </w:drawing>
      </w:r>
    </w:p>
    <w:p w14:paraId="544743DB">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1F1F74CE">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图</w:t>
      </w:r>
      <w:r>
        <w:rPr>
          <w:rFonts w:ascii="Times New Roman" w:hAnsi="Times New Roman" w:eastAsia="宋体" w:cs="Times New Roman"/>
          <w:color w:val="000000" w:themeColor="text1"/>
          <w:sz w:val="18"/>
          <w:szCs w:val="18"/>
          <w14:textFill>
            <w14:solidFill>
              <w14:schemeClr w14:val="tx1"/>
            </w14:solidFill>
          </w14:textFill>
        </w:rPr>
        <w:t xml:space="preserve"> S3 </w:t>
      </w:r>
      <w:r>
        <w:rPr>
          <w:rFonts w:hint="default" w:ascii="Times New Roman" w:hAnsi="Times New Roman" w:eastAsia="宋体" w:cs="Times New Roman"/>
          <w:color w:val="000000" w:themeColor="text1"/>
          <w:sz w:val="18"/>
          <w:szCs w:val="18"/>
          <w14:textFill>
            <w14:solidFill>
              <w14:schemeClr w14:val="tx1"/>
            </w14:solidFill>
          </w14:textFill>
        </w:rPr>
        <w:t>不同风切变系数与未来不同排放情景下青藏高原风能极端高发电事件的相对变化（</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G</w:t>
      </w:r>
      <w:r>
        <w:rPr>
          <w:rFonts w:ascii="Times New Roman" w:hAnsi="Times New Roman" w:cs="Times New Roman"/>
          <w:sz w:val="18"/>
          <w:szCs w:val="18"/>
        </w:rPr>
        <w:t>–I</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hint="default" w:ascii="Times New Roman" w:hAnsi="Times New Roman" w:eastAsia="宋体" w:cs="Times New Roman"/>
          <w:color w:val="000000" w:themeColor="text1"/>
          <w:sz w:val="18"/>
          <w:szCs w:val="18"/>
          <w14:textFill>
            <w14:solidFill>
              <w14:schemeClr w14:val="tx1"/>
            </w14:solidFill>
          </w14:textFill>
        </w:rPr>
        <w:t>。）</w:t>
      </w:r>
    </w:p>
    <w:p w14:paraId="14D0C108">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imes New Roman" w:hAnsi="Times New Roman" w:eastAsia="宋体" w:cs="Times New Roman"/>
          <w:color w:val="000000" w:themeColor="text1"/>
          <w:kern w:val="0"/>
          <w:sz w:val="18"/>
          <w:szCs w:val="18"/>
          <w:lang w:val="en-GB"/>
          <w14:textFill>
            <w14:solidFill>
              <w14:schemeClr w14:val="tx1"/>
            </w14:solidFill>
          </w14:textFill>
        </w:rPr>
        <w:t>S3 Relative changes in extremely high power generation events of wind energy over the Qinghai-Tibet Plateau under different future emission scenarios with various wind shear coefficients (</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G</w:t>
      </w:r>
      <w:r>
        <w:rPr>
          <w:rFonts w:ascii="Times New Roman" w:hAnsi="Times New Roman" w:cs="Times New Roman"/>
          <w:sz w:val="18"/>
          <w:szCs w:val="18"/>
        </w:rPr>
        <w:t>–I</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ascii="Times New Roman" w:hAnsi="Times New Roman" w:eastAsia="宋体" w:cs="Times New Roman"/>
          <w:color w:val="000000" w:themeColor="text1"/>
          <w:kern w:val="0"/>
          <w:sz w:val="18"/>
          <w:szCs w:val="18"/>
          <w:lang w:val="en-GB"/>
          <w14:textFill>
            <w14:solidFill>
              <w14:schemeClr w14:val="tx1"/>
            </w14:solidFill>
          </w14:textFill>
        </w:rPr>
        <w:t>).</w:t>
      </w:r>
    </w:p>
    <w:p w14:paraId="2789FA3E">
      <w:pPr>
        <w:widowControl/>
        <w:jc w:val="left"/>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br w:type="page"/>
      </w:r>
    </w:p>
    <w:p w14:paraId="0B266981">
      <w:pPr>
        <w:pStyle w:val="12"/>
        <w:overflowPunct w:val="0"/>
        <w:spacing w:line="300" w:lineRule="auto"/>
        <w:jc w:val="both"/>
        <w:rPr>
          <w:rFonts w:ascii="Times New Roman" w:cs="Times New Roman"/>
          <w:sz w:val="15"/>
          <w:szCs w:val="15"/>
        </w:rPr>
      </w:pPr>
      <w:r>
        <w:rPr>
          <w:rFonts w:ascii="Times New Roman" w:hAnsi="Times New Roman" w:cs="Times New Roman"/>
        </w:rPr>
        <w:drawing>
          <wp:inline distT="0" distB="0" distL="114300" distR="114300">
            <wp:extent cx="5273675" cy="2713355"/>
            <wp:effectExtent l="0" t="0" r="9525" b="4445"/>
            <wp:docPr id="5" name="图片 5" descr="Fig_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_S4"/>
                    <pic:cNvPicPr>
                      <a:picLocks noChangeAspect="1"/>
                    </pic:cNvPicPr>
                  </pic:nvPicPr>
                  <pic:blipFill>
                    <a:blip r:embed="rId7"/>
                    <a:stretch>
                      <a:fillRect/>
                    </a:stretch>
                  </pic:blipFill>
                  <pic:spPr>
                    <a:xfrm>
                      <a:off x="0" y="0"/>
                      <a:ext cx="5273675" cy="2713355"/>
                    </a:xfrm>
                    <a:prstGeom prst="rect">
                      <a:avLst/>
                    </a:prstGeom>
                  </pic:spPr>
                </pic:pic>
              </a:graphicData>
            </a:graphic>
          </wp:inline>
        </w:drawing>
      </w: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7351E80C">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图</w:t>
      </w:r>
      <w:r>
        <w:rPr>
          <w:rFonts w:ascii="Times New Roman" w:hAnsi="Times New Roman" w:eastAsia="宋体" w:cs="Times New Roman"/>
          <w:color w:val="000000" w:themeColor="text1"/>
          <w:sz w:val="18"/>
          <w:szCs w:val="18"/>
          <w14:textFill>
            <w14:solidFill>
              <w14:schemeClr w14:val="tx1"/>
            </w14:solidFill>
          </w14:textFill>
        </w:rPr>
        <w:t xml:space="preserve"> S4 </w:t>
      </w:r>
      <w:r>
        <w:rPr>
          <w:rFonts w:hint="default" w:ascii="Times New Roman" w:hAnsi="Times New Roman" w:eastAsia="宋体" w:cs="Times New Roman"/>
          <w:color w:val="000000" w:themeColor="text1"/>
          <w:sz w:val="18"/>
          <w:szCs w:val="18"/>
          <w14:textFill>
            <w14:solidFill>
              <w14:schemeClr w14:val="tx1"/>
            </w14:solidFill>
          </w14:textFill>
        </w:rPr>
        <w:t>不同风切变系数与未来不同排放情景下青藏高原风能极端低发电事件的相对变化（</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 xml:space="preserve"> G</w:t>
      </w:r>
      <w:r>
        <w:rPr>
          <w:rFonts w:ascii="Times New Roman" w:hAnsi="Times New Roman" w:cs="Times New Roman"/>
          <w:sz w:val="18"/>
          <w:szCs w:val="18"/>
        </w:rPr>
        <w:t>–I</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hint="default" w:ascii="Times New Roman" w:hAnsi="Times New Roman" w:eastAsia="宋体" w:cs="Times New Roman"/>
          <w:color w:val="000000" w:themeColor="text1"/>
          <w:sz w:val="18"/>
          <w:szCs w:val="18"/>
          <w14:textFill>
            <w14:solidFill>
              <w14:schemeClr w14:val="tx1"/>
            </w14:solidFill>
          </w14:textFill>
        </w:rPr>
        <w:t>。）</w:t>
      </w:r>
    </w:p>
    <w:p w14:paraId="28401829">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imes New Roman" w:hAnsi="Times New Roman" w:eastAsia="宋体" w:cs="Times New Roman"/>
          <w:color w:val="000000" w:themeColor="text1"/>
          <w:kern w:val="0"/>
          <w:sz w:val="18"/>
          <w:szCs w:val="18"/>
          <w:lang w:val="en-GB"/>
          <w14:textFill>
            <w14:solidFill>
              <w14:schemeClr w14:val="tx1"/>
            </w14:solidFill>
          </w14:textFill>
        </w:rPr>
        <w:t>S</w:t>
      </w:r>
      <w:r>
        <w:rPr>
          <w:rFonts w:ascii="Times New Roman" w:hAnsi="Times New Roman" w:eastAsia="宋体" w:cs="Times New Roman"/>
          <w:color w:val="000000" w:themeColor="text1"/>
          <w:kern w:val="0"/>
          <w:sz w:val="18"/>
          <w:szCs w:val="18"/>
          <w14:textFill>
            <w14:solidFill>
              <w14:schemeClr w14:val="tx1"/>
            </w14:solidFill>
          </w14:textFill>
        </w:rPr>
        <w:t>4</w:t>
      </w:r>
      <w:r>
        <w:rPr>
          <w:rFonts w:ascii="Times New Roman" w:hAnsi="Times New Roman" w:eastAsia="宋体" w:cs="Times New Roman"/>
          <w:color w:val="000000" w:themeColor="text1"/>
          <w:kern w:val="0"/>
          <w:sz w:val="18"/>
          <w:szCs w:val="18"/>
          <w:lang w:val="en-GB"/>
          <w14:textFill>
            <w14:solidFill>
              <w14:schemeClr w14:val="tx1"/>
            </w14:solidFill>
          </w14:textFill>
        </w:rPr>
        <w:t xml:space="preserve"> Relative changes in extremely </w:t>
      </w:r>
      <w:r>
        <w:rPr>
          <w:rFonts w:ascii="Times New Roman" w:hAnsi="Times New Roman" w:eastAsia="宋体" w:cs="Times New Roman"/>
          <w:color w:val="000000" w:themeColor="text1"/>
          <w:kern w:val="0"/>
          <w:sz w:val="18"/>
          <w:szCs w:val="18"/>
          <w14:textFill>
            <w14:solidFill>
              <w14:schemeClr w14:val="tx1"/>
            </w14:solidFill>
          </w14:textFill>
        </w:rPr>
        <w:t xml:space="preserve">low </w:t>
      </w:r>
      <w:r>
        <w:rPr>
          <w:rFonts w:ascii="Times New Roman" w:hAnsi="Times New Roman" w:eastAsia="宋体" w:cs="Times New Roman"/>
          <w:color w:val="000000" w:themeColor="text1"/>
          <w:kern w:val="0"/>
          <w:sz w:val="18"/>
          <w:szCs w:val="18"/>
          <w:lang w:val="en-GB"/>
          <w14:textFill>
            <w14:solidFill>
              <w14:schemeClr w14:val="tx1"/>
            </w14:solidFill>
          </w14:textFill>
        </w:rPr>
        <w:t>power generation events of wind energy over the Qinghai-Tibet Plateau under different future emission scenarios with various wind shear coefficients (</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 xml:space="preserve"> G</w:t>
      </w:r>
      <w:r>
        <w:rPr>
          <w:rFonts w:ascii="Times New Roman" w:hAnsi="Times New Roman" w:cs="Times New Roman"/>
          <w:sz w:val="18"/>
          <w:szCs w:val="18"/>
        </w:rPr>
        <w:t>–I</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ascii="Times New Roman" w:hAnsi="Times New Roman" w:eastAsia="宋体" w:cs="Times New Roman"/>
          <w:color w:val="000000" w:themeColor="text1"/>
          <w:kern w:val="0"/>
          <w:sz w:val="18"/>
          <w:szCs w:val="18"/>
          <w:lang w:val="en-GB"/>
          <w14:textFill>
            <w14:solidFill>
              <w14:schemeClr w14:val="tx1"/>
            </w14:solidFill>
          </w14:textFill>
        </w:rPr>
        <w:t>).</w:t>
      </w:r>
    </w:p>
    <w:p w14:paraId="3DEBA3DA">
      <w:pPr>
        <w:widowControl/>
        <w:jc w:val="left"/>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br w:type="page"/>
      </w:r>
    </w:p>
    <w:p w14:paraId="13F9BC90">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73675" cy="2707005"/>
            <wp:effectExtent l="0" t="0" r="9525" b="10795"/>
            <wp:docPr id="7" name="图片 7" descr="Fig_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_S5"/>
                    <pic:cNvPicPr>
                      <a:picLocks noChangeAspect="1"/>
                    </pic:cNvPicPr>
                  </pic:nvPicPr>
                  <pic:blipFill>
                    <a:blip r:embed="rId8"/>
                    <a:stretch>
                      <a:fillRect/>
                    </a:stretch>
                  </pic:blipFill>
                  <pic:spPr>
                    <a:xfrm>
                      <a:off x="0" y="0"/>
                      <a:ext cx="5273675" cy="2707005"/>
                    </a:xfrm>
                    <a:prstGeom prst="rect">
                      <a:avLst/>
                    </a:prstGeom>
                  </pic:spPr>
                </pic:pic>
              </a:graphicData>
            </a:graphic>
          </wp:inline>
        </w:drawing>
      </w:r>
    </w:p>
    <w:p w14:paraId="6474FA5D">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6EC39609">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图</w:t>
      </w:r>
      <w:r>
        <w:rPr>
          <w:rFonts w:ascii="Times New Roman" w:hAnsi="Times New Roman" w:eastAsia="宋体" w:cs="Times New Roman"/>
          <w:color w:val="000000" w:themeColor="text1"/>
          <w:sz w:val="18"/>
          <w:szCs w:val="18"/>
          <w14:textFill>
            <w14:solidFill>
              <w14:schemeClr w14:val="tx1"/>
            </w14:solidFill>
          </w14:textFill>
        </w:rPr>
        <w:t xml:space="preserve"> S5 </w:t>
      </w:r>
      <w:r>
        <w:rPr>
          <w:rFonts w:hint="default" w:ascii="Times New Roman" w:hAnsi="Times New Roman" w:eastAsia="宋体" w:cs="Times New Roman"/>
          <w:color w:val="000000" w:themeColor="text1"/>
          <w:sz w:val="18"/>
          <w:szCs w:val="18"/>
          <w14:textFill>
            <w14:solidFill>
              <w14:schemeClr w14:val="tx1"/>
            </w14:solidFill>
          </w14:textFill>
        </w:rPr>
        <w:t>不同风切变系数与未来不同排放情景下青藏高原风能发电潜力急升事件的相对变化（</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 xml:space="preserve"> G</w:t>
      </w:r>
      <w:r>
        <w:rPr>
          <w:rFonts w:ascii="Times New Roman" w:hAnsi="Times New Roman" w:cs="Times New Roman"/>
          <w:sz w:val="18"/>
          <w:szCs w:val="18"/>
        </w:rPr>
        <w:t>–I</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hint="default" w:ascii="Times New Roman" w:hAnsi="Times New Roman" w:eastAsia="宋体" w:cs="Times New Roman"/>
          <w:color w:val="000000" w:themeColor="text1"/>
          <w:sz w:val="18"/>
          <w:szCs w:val="18"/>
          <w14:textFill>
            <w14:solidFill>
              <w14:schemeClr w14:val="tx1"/>
            </w14:solidFill>
          </w14:textFill>
        </w:rPr>
        <w:t>。）</w:t>
      </w:r>
    </w:p>
    <w:p w14:paraId="605FBA2C">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imes New Roman" w:hAnsi="Times New Roman" w:eastAsia="宋体" w:cs="Times New Roman"/>
          <w:color w:val="000000" w:themeColor="text1"/>
          <w:kern w:val="0"/>
          <w:sz w:val="18"/>
          <w:szCs w:val="18"/>
          <w:lang w:val="en-GB"/>
          <w14:textFill>
            <w14:solidFill>
              <w14:schemeClr w14:val="tx1"/>
            </w14:solidFill>
          </w14:textFill>
        </w:rPr>
        <w:t>S</w:t>
      </w:r>
      <w:r>
        <w:rPr>
          <w:rFonts w:ascii="Times New Roman" w:hAnsi="Times New Roman" w:eastAsia="宋体" w:cs="Times New Roman"/>
          <w:color w:val="000000" w:themeColor="text1"/>
          <w:kern w:val="0"/>
          <w:sz w:val="18"/>
          <w:szCs w:val="18"/>
          <w14:textFill>
            <w14:solidFill>
              <w14:schemeClr w14:val="tx1"/>
            </w14:solidFill>
          </w14:textFill>
        </w:rPr>
        <w:t>5</w:t>
      </w:r>
      <w:r>
        <w:rPr>
          <w:rFonts w:ascii="Times New Roman" w:hAnsi="Times New Roman" w:eastAsia="宋体" w:cs="Times New Roman"/>
          <w:color w:val="000000" w:themeColor="text1"/>
          <w:kern w:val="0"/>
          <w:sz w:val="18"/>
          <w:szCs w:val="18"/>
          <w:lang w:val="en-GB"/>
          <w14:textFill>
            <w14:solidFill>
              <w14:schemeClr w14:val="tx1"/>
            </w14:solidFill>
          </w14:textFill>
        </w:rPr>
        <w:t xml:space="preserve"> Relative changes in sharp-rise events of wind power generation potential over the Qinghai-Tibet Plateau under different future emission scenarios with various wind shear coefficients (</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 xml:space="preserve"> G</w:t>
      </w:r>
      <w:r>
        <w:rPr>
          <w:rFonts w:ascii="Times New Roman" w:hAnsi="Times New Roman" w:cs="Times New Roman"/>
          <w:sz w:val="18"/>
          <w:szCs w:val="18"/>
        </w:rPr>
        <w:t>–I</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ascii="Times New Roman" w:hAnsi="Times New Roman" w:eastAsia="宋体" w:cs="Times New Roman"/>
          <w:color w:val="000000" w:themeColor="text1"/>
          <w:kern w:val="0"/>
          <w:sz w:val="18"/>
          <w:szCs w:val="18"/>
          <w:lang w:val="en-GB"/>
          <w14:textFill>
            <w14:solidFill>
              <w14:schemeClr w14:val="tx1"/>
            </w14:solidFill>
          </w14:textFill>
        </w:rPr>
        <w:t>).</w:t>
      </w:r>
    </w:p>
    <w:p w14:paraId="53762132">
      <w:pPr>
        <w:widowControl/>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br w:type="page"/>
      </w:r>
    </w:p>
    <w:p w14:paraId="75E454A0">
      <w:pPr>
        <w:widowControl/>
        <w:spacing w:line="300" w:lineRule="auto"/>
        <w:jc w:val="lef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73675" cy="2717800"/>
            <wp:effectExtent l="0" t="0" r="9525" b="0"/>
            <wp:docPr id="8" name="图片 8" descr="Fig_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_S6"/>
                    <pic:cNvPicPr>
                      <a:picLocks noChangeAspect="1"/>
                    </pic:cNvPicPr>
                  </pic:nvPicPr>
                  <pic:blipFill>
                    <a:blip r:embed="rId9"/>
                    <a:stretch>
                      <a:fillRect/>
                    </a:stretch>
                  </pic:blipFill>
                  <pic:spPr>
                    <a:xfrm>
                      <a:off x="0" y="0"/>
                      <a:ext cx="5273675" cy="2717800"/>
                    </a:xfrm>
                    <a:prstGeom prst="rect">
                      <a:avLst/>
                    </a:prstGeom>
                  </pic:spPr>
                </pic:pic>
              </a:graphicData>
            </a:graphic>
          </wp:inline>
        </w:drawing>
      </w:r>
    </w:p>
    <w:p w14:paraId="26770FD9">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538F79AE">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图</w:t>
      </w:r>
      <w:r>
        <w:rPr>
          <w:rFonts w:ascii="Times New Roman" w:hAnsi="Times New Roman" w:eastAsia="宋体" w:cs="Times New Roman"/>
          <w:color w:val="000000" w:themeColor="text1"/>
          <w:sz w:val="18"/>
          <w:szCs w:val="18"/>
          <w14:textFill>
            <w14:solidFill>
              <w14:schemeClr w14:val="tx1"/>
            </w14:solidFill>
          </w14:textFill>
        </w:rPr>
        <w:t xml:space="preserve"> S6 </w:t>
      </w:r>
      <w:r>
        <w:rPr>
          <w:rFonts w:hint="default" w:ascii="Times New Roman" w:hAnsi="Times New Roman" w:eastAsia="宋体" w:cs="Times New Roman"/>
          <w:color w:val="000000" w:themeColor="text1"/>
          <w:sz w:val="18"/>
          <w:szCs w:val="18"/>
          <w14:textFill>
            <w14:solidFill>
              <w14:schemeClr w14:val="tx1"/>
            </w14:solidFill>
          </w14:textFill>
        </w:rPr>
        <w:t>不同风切变系数与未来不同排放情景下青藏高原风能发电潜力骤降事件的相对变化（</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 xml:space="preserve"> G</w:t>
      </w:r>
      <w:r>
        <w:rPr>
          <w:rFonts w:ascii="Times New Roman" w:hAnsi="Times New Roman" w:cs="Times New Roman"/>
          <w:sz w:val="18"/>
          <w:szCs w:val="18"/>
        </w:rPr>
        <w:t>–I</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hint="default" w:ascii="Times New Roman" w:hAnsi="Times New Roman" w:eastAsia="宋体" w:cs="Times New Roman"/>
          <w:color w:val="000000" w:themeColor="text1"/>
          <w:sz w:val="18"/>
          <w:szCs w:val="18"/>
          <w14:textFill>
            <w14:solidFill>
              <w14:schemeClr w14:val="tx1"/>
            </w14:solidFill>
          </w14:textFill>
        </w:rPr>
        <w:t>。）</w:t>
      </w:r>
    </w:p>
    <w:p w14:paraId="423BF648">
      <w:pPr>
        <w:widowControl/>
        <w:spacing w:line="30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imes New Roman" w:hAnsi="Times New Roman" w:eastAsia="宋体" w:cs="Times New Roman"/>
          <w:color w:val="000000" w:themeColor="text1"/>
          <w:kern w:val="0"/>
          <w:sz w:val="18"/>
          <w:szCs w:val="18"/>
          <w:lang w:val="en-GB"/>
          <w14:textFill>
            <w14:solidFill>
              <w14:schemeClr w14:val="tx1"/>
            </w14:solidFill>
          </w14:textFill>
        </w:rPr>
        <w:t>S6 Relative changes in sharp-drop events of wind power generation potential across the Qinghai-Tibet Plateau under different future emission scenarios for various wind shear coefficients (</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 xml:space="preserve"> G</w:t>
      </w:r>
      <w:r>
        <w:rPr>
          <w:rFonts w:ascii="Times New Roman" w:hAnsi="Times New Roman" w:cs="Times New Roman"/>
          <w:sz w:val="18"/>
          <w:szCs w:val="18"/>
        </w:rPr>
        <w:t>–I</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ascii="Times New Roman" w:hAnsi="Times New Roman" w:eastAsia="宋体" w:cs="Times New Roman"/>
          <w:color w:val="000000" w:themeColor="text1"/>
          <w:kern w:val="0"/>
          <w:sz w:val="18"/>
          <w:szCs w:val="18"/>
          <w:lang w:val="en-GB"/>
          <w14:textFill>
            <w14:solidFill>
              <w14:schemeClr w14:val="tx1"/>
            </w14:solidFill>
          </w14:textFill>
        </w:rPr>
        <w:t>).</w:t>
      </w:r>
    </w:p>
    <w:p w14:paraId="1163FB7B">
      <w:pPr>
        <w:widowControl/>
        <w:jc w:val="left"/>
        <w:rPr>
          <w:rFonts w:ascii="Times New Roman" w:hAnsi="Times New Roman" w:eastAsia="宋体" w:cs="Times New Roman"/>
          <w:color w:val="000000" w:themeColor="text1"/>
          <w:kern w:val="0"/>
          <w:sz w:val="15"/>
          <w:szCs w:val="15"/>
          <w:lang w:val="en-GB"/>
          <w14:textFill>
            <w14:solidFill>
              <w14:schemeClr w14:val="tx1"/>
            </w14:solidFill>
          </w14:textFill>
        </w:rPr>
      </w:pPr>
      <w:r>
        <w:rPr>
          <w:rFonts w:ascii="Times New Roman" w:hAnsi="Times New Roman" w:eastAsia="宋体" w:cs="Times New Roman"/>
          <w:color w:val="000000" w:themeColor="text1"/>
          <w:kern w:val="0"/>
          <w:sz w:val="15"/>
          <w:szCs w:val="15"/>
          <w:lang w:val="en-GB"/>
          <w14:textFill>
            <w14:solidFill>
              <w14:schemeClr w14:val="tx1"/>
            </w14:solidFill>
          </w14:textFill>
        </w:rPr>
        <w:br w:type="page"/>
      </w:r>
    </w:p>
    <w:p w14:paraId="43B3508F">
      <w:pPr>
        <w:widowControl/>
        <w:spacing w:line="300" w:lineRule="auto"/>
        <w:jc w:val="left"/>
        <w:rPr>
          <w:rFonts w:ascii="Times New Roman" w:hAnsi="Times New Roman" w:eastAsia="宋体" w:cs="Times New Roman"/>
          <w:color w:val="000000" w:themeColor="text1"/>
          <w:kern w:val="0"/>
          <w:sz w:val="15"/>
          <w:szCs w:val="15"/>
          <w:lang w:val="en-GB"/>
          <w14:textFill>
            <w14:solidFill>
              <w14:schemeClr w14:val="tx1"/>
            </w14:solidFill>
          </w14:textFill>
        </w:rPr>
      </w:pPr>
      <w:r>
        <w:rPr>
          <w:rFonts w:ascii="Times New Roman" w:hAnsi="Times New Roman" w:eastAsia="宋体" w:cs="Times New Roman"/>
          <w:color w:val="000000" w:themeColor="text1"/>
          <w:kern w:val="0"/>
          <w:sz w:val="15"/>
          <w:szCs w:val="15"/>
          <w14:textFill>
            <w14:solidFill>
              <w14:schemeClr w14:val="tx1"/>
            </w14:solidFill>
          </w14:textFill>
        </w:rPr>
        <w:drawing>
          <wp:inline distT="0" distB="0" distL="114300" distR="114300">
            <wp:extent cx="5273675" cy="2708275"/>
            <wp:effectExtent l="0" t="0" r="9525" b="9525"/>
            <wp:docPr id="9" name="图片 9" descr="Fig_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_S7"/>
                    <pic:cNvPicPr>
                      <a:picLocks noChangeAspect="1"/>
                    </pic:cNvPicPr>
                  </pic:nvPicPr>
                  <pic:blipFill>
                    <a:blip r:embed="rId10"/>
                    <a:stretch>
                      <a:fillRect/>
                    </a:stretch>
                  </pic:blipFill>
                  <pic:spPr>
                    <a:xfrm>
                      <a:off x="0" y="0"/>
                      <a:ext cx="5273675" cy="2708275"/>
                    </a:xfrm>
                    <a:prstGeom prst="rect">
                      <a:avLst/>
                    </a:prstGeom>
                  </pic:spPr>
                </pic:pic>
              </a:graphicData>
            </a:graphic>
          </wp:inline>
        </w:drawing>
      </w:r>
    </w:p>
    <w:p w14:paraId="26E2AF64">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5126649A">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图</w:t>
      </w:r>
      <w:r>
        <w:rPr>
          <w:rFonts w:ascii="Times New Roman" w:hAnsi="Times New Roman" w:eastAsia="宋体" w:cs="Times New Roman"/>
          <w:color w:val="000000" w:themeColor="text1"/>
          <w:sz w:val="18"/>
          <w:szCs w:val="18"/>
          <w14:textFill>
            <w14:solidFill>
              <w14:schemeClr w14:val="tx1"/>
            </w14:solidFill>
          </w14:textFill>
        </w:rPr>
        <w:t xml:space="preserve"> S7 </w:t>
      </w:r>
      <w:r>
        <w:rPr>
          <w:rFonts w:hint="default" w:ascii="Times New Roman" w:hAnsi="Times New Roman" w:eastAsia="宋体" w:cs="Times New Roman"/>
          <w:color w:val="000000" w:themeColor="text1"/>
          <w:sz w:val="18"/>
          <w:szCs w:val="18"/>
          <w14:textFill>
            <w14:solidFill>
              <w14:schemeClr w14:val="tx1"/>
            </w14:solidFill>
          </w14:textFill>
        </w:rPr>
        <w:t>不同风切变系数与未来不同排放情景下青藏高原风能发电潜力年内波动性的相对变化（</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 xml:space="preserve"> G</w:t>
      </w:r>
      <w:r>
        <w:rPr>
          <w:rFonts w:ascii="Times New Roman" w:hAnsi="Times New Roman" w:cs="Times New Roman"/>
          <w:sz w:val="18"/>
          <w:szCs w:val="18"/>
        </w:rPr>
        <w:t>–I</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hint="default" w:ascii="Times New Roman" w:hAnsi="Times New Roman" w:eastAsia="宋体" w:cs="Times New Roman"/>
          <w:color w:val="000000" w:themeColor="text1"/>
          <w:sz w:val="18"/>
          <w:szCs w:val="18"/>
          <w14:textFill>
            <w14:solidFill>
              <w14:schemeClr w14:val="tx1"/>
            </w14:solidFill>
          </w14:textFill>
        </w:rPr>
        <w:t>。）</w:t>
      </w:r>
    </w:p>
    <w:p w14:paraId="48EE3BF1">
      <w:pPr>
        <w:widowControl/>
        <w:spacing w:line="30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imes New Roman" w:hAnsi="Times New Roman" w:eastAsia="宋体" w:cs="Times New Roman"/>
          <w:color w:val="000000" w:themeColor="text1"/>
          <w:kern w:val="0"/>
          <w:sz w:val="18"/>
          <w:szCs w:val="18"/>
          <w:lang w:val="en-GB"/>
          <w14:textFill>
            <w14:solidFill>
              <w14:schemeClr w14:val="tx1"/>
            </w14:solidFill>
          </w14:textFill>
        </w:rPr>
        <w:t>S7 Relative changes in intra-annual fluctuation bias of wind power generation potential over the Qinghai-Tibet Plateau under different future emission scenarios with various wind shear coefficients (</w:t>
      </w:r>
      <w:r>
        <w:rPr>
          <w:rFonts w:ascii="Times New Roman" w:hAnsi="Times New Roman" w:eastAsia="宋体" w:cs="Times New Roman"/>
          <w:color w:val="000000" w:themeColor="text1"/>
          <w:sz w:val="18"/>
          <w:szCs w:val="18"/>
          <w14:textFill>
            <w14:solidFill>
              <w14:schemeClr w14:val="tx1"/>
            </w14:solidFill>
          </w14:textFill>
        </w:rPr>
        <w:t>A</w:t>
      </w:r>
      <w:r>
        <w:rPr>
          <w:rFonts w:ascii="Times New Roman" w:hAnsi="Times New Roman" w:cs="Times New Roman"/>
          <w:sz w:val="18"/>
          <w:szCs w:val="18"/>
        </w:rPr>
        <w:t>–C</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10</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D</w:t>
      </w:r>
      <w:r>
        <w:rPr>
          <w:rFonts w:ascii="Times New Roman" w:hAnsi="Times New Roman" w:cs="Times New Roman"/>
          <w:sz w:val="18"/>
          <w:szCs w:val="18"/>
        </w:rPr>
        <w:t>–F</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7</m:t>
            </m:r>
            <m:ctrlPr>
              <w:rPr>
                <w:rFonts w:ascii="Cambria Math" w:hAnsi="Cambria Math" w:eastAsia="宋体" w:cs="Times New Roman"/>
                <w:iCs/>
                <w:sz w:val="18"/>
                <w:szCs w:val="18"/>
              </w:rPr>
            </m:ctrlPr>
          </m:den>
        </m:f>
      </m:oMath>
      <w:r>
        <w:rPr>
          <w:rFonts w:ascii="Times New Roman" w:hAnsi="Times New Roman" w:eastAsia="宋体" w:cs="Times New Roman"/>
          <w:sz w:val="18"/>
          <w:szCs w:val="18"/>
        </w:rPr>
        <w:t xml:space="preserve"> </w:t>
      </w:r>
      <w:r>
        <w:rPr>
          <w:rFonts w:hint="default" w:ascii="Times New Roman" w:hAnsi="Times New Roman" w:eastAsia="宋体" w:cs="Times New Roman"/>
          <w:sz w:val="18"/>
          <w:szCs w:val="18"/>
        </w:rPr>
        <w:t>；</w:t>
      </w:r>
      <w:r>
        <w:rPr>
          <w:rFonts w:ascii="Times New Roman" w:hAnsi="Times New Roman" w:eastAsia="宋体" w:cs="Times New Roman"/>
          <w:sz w:val="18"/>
          <w:szCs w:val="18"/>
        </w:rPr>
        <w:t xml:space="preserve"> G</w:t>
      </w:r>
      <w:r>
        <w:rPr>
          <w:rFonts w:ascii="Times New Roman" w:hAnsi="Times New Roman" w:cs="Times New Roman"/>
          <w:sz w:val="18"/>
          <w:szCs w:val="18"/>
        </w:rPr>
        <w:t>–I</w:t>
      </w:r>
      <w:r>
        <w:rPr>
          <w:rFonts w:hint="default" w:ascii="Times New Roman" w:hAnsi="Times New Roman" w:cs="Times New Roman"/>
          <w:sz w:val="18"/>
          <w:szCs w:val="18"/>
        </w:rPr>
        <w:t>：</w:t>
      </w:r>
      <w:r>
        <w:rPr>
          <w:rFonts w:ascii="Times New Roman" w:hAnsi="Times New Roman" w:eastAsia="宋体" w:cs="Times New Roman"/>
          <w:i/>
          <w:iCs/>
          <w:sz w:val="18"/>
          <w:szCs w:val="18"/>
        </w:rPr>
        <w:t>α</w:t>
      </w:r>
      <w:r>
        <w:rPr>
          <w:rFonts w:ascii="Times New Roman" w:hAnsi="Times New Roman" w:eastAsia="宋体" w:cs="Times New Roman"/>
          <w:sz w:val="18"/>
          <w:szCs w:val="18"/>
        </w:rPr>
        <w:t xml:space="preserve"> = </w:t>
      </w:r>
      <m:oMath>
        <m:f>
          <m:fPr>
            <m:ctrlPr>
              <w:rPr>
                <w:rFonts w:ascii="Cambria Math" w:hAnsi="Cambria Math" w:eastAsia="宋体" w:cs="Times New Roman"/>
                <w:iCs/>
                <w:sz w:val="18"/>
                <w:szCs w:val="18"/>
              </w:rPr>
            </m:ctrlPr>
          </m:fPr>
          <m:num>
            <m:r>
              <m:rPr>
                <m:sty m:val="p"/>
              </m:rPr>
              <w:rPr>
                <w:rFonts w:ascii="Cambria Math" w:hAnsi="Cambria Math" w:eastAsia="宋体" w:cs="Times New Roman"/>
                <w:sz w:val="18"/>
                <w:szCs w:val="18"/>
              </w:rPr>
              <m:t>1</m:t>
            </m:r>
            <m:ctrlPr>
              <w:rPr>
                <w:rFonts w:ascii="Cambria Math" w:hAnsi="Cambria Math" w:eastAsia="宋体" w:cs="Times New Roman"/>
                <w:iCs/>
                <w:sz w:val="18"/>
                <w:szCs w:val="18"/>
              </w:rPr>
            </m:ctrlPr>
          </m:num>
          <m:den>
            <m:r>
              <m:rPr>
                <m:sty m:val="p"/>
              </m:rPr>
              <w:rPr>
                <w:rFonts w:ascii="Cambria Math" w:hAnsi="Cambria Math" w:eastAsia="宋体" w:cs="Times New Roman"/>
                <w:sz w:val="18"/>
                <w:szCs w:val="18"/>
              </w:rPr>
              <m:t>4</m:t>
            </m:r>
            <m:ctrlPr>
              <w:rPr>
                <w:rFonts w:ascii="Cambria Math" w:hAnsi="Cambria Math" w:eastAsia="宋体" w:cs="Times New Roman"/>
                <w:iCs/>
                <w:sz w:val="18"/>
                <w:szCs w:val="18"/>
              </w:rPr>
            </m:ctrlPr>
          </m:den>
        </m:f>
      </m:oMath>
      <w:r>
        <w:rPr>
          <w:rFonts w:ascii="Times New Roman" w:hAnsi="Times New Roman" w:eastAsia="宋体" w:cs="Times New Roman"/>
          <w:color w:val="000000" w:themeColor="text1"/>
          <w:kern w:val="0"/>
          <w:sz w:val="18"/>
          <w:szCs w:val="18"/>
          <w:lang w:val="en-GB"/>
          <w14:textFill>
            <w14:solidFill>
              <w14:schemeClr w14:val="tx1"/>
            </w14:solidFill>
          </w14:textFill>
        </w:rPr>
        <w:t>).</w:t>
      </w:r>
    </w:p>
    <w:p w14:paraId="767E57C7">
      <w:pPr>
        <w:widowControl/>
        <w:spacing w:line="300" w:lineRule="auto"/>
        <w:jc w:val="lef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71770" cy="5179695"/>
            <wp:effectExtent l="0" t="0" r="11430" b="1905"/>
            <wp:docPr id="29" name="图片 29" descr="Fig_S8_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_S8_黑白"/>
                    <pic:cNvPicPr>
                      <a:picLocks noChangeAspect="1"/>
                    </pic:cNvPicPr>
                  </pic:nvPicPr>
                  <pic:blipFill>
                    <a:blip r:embed="rId11"/>
                    <a:stretch>
                      <a:fillRect/>
                    </a:stretch>
                  </pic:blipFill>
                  <pic:spPr>
                    <a:xfrm>
                      <a:off x="0" y="0"/>
                      <a:ext cx="5271770" cy="5179695"/>
                    </a:xfrm>
                    <a:prstGeom prst="rect">
                      <a:avLst/>
                    </a:prstGeom>
                  </pic:spPr>
                </pic:pic>
              </a:graphicData>
            </a:graphic>
          </wp:inline>
        </w:drawing>
      </w:r>
    </w:p>
    <w:p w14:paraId="67FA5537">
      <w:pPr>
        <w:rPr>
          <w:rFonts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图</w:t>
      </w:r>
      <w:r>
        <w:rPr>
          <w:rFonts w:ascii="Times New Roman" w:hAnsi="Times New Roman" w:eastAsia="宋体" w:cs="Times New Roman"/>
          <w:color w:val="000000" w:themeColor="text1"/>
          <w:sz w:val="18"/>
          <w:szCs w:val="18"/>
          <w14:textFill>
            <w14:solidFill>
              <w14:schemeClr w14:val="tx1"/>
            </w14:solidFill>
          </w14:textFill>
        </w:rPr>
        <w:t xml:space="preserve"> S8 </w:t>
      </w:r>
      <w:r>
        <w:rPr>
          <w:rFonts w:hint="default" w:ascii="Times New Roman" w:hAnsi="Times New Roman" w:eastAsia="宋体" w:cs="Times New Roman"/>
          <w:color w:val="000000" w:themeColor="text1"/>
          <w:sz w:val="18"/>
          <w:szCs w:val="18"/>
          <w14:textFill>
            <w14:solidFill>
              <w14:schemeClr w14:val="tx1"/>
            </w14:solidFill>
          </w14:textFill>
        </w:rPr>
        <w:t>不同阈值（</w:t>
      </w:r>
      <w:r>
        <w:rPr>
          <w:rFonts w:ascii="Times New Roman" w:hAnsi="Times New Roman" w:eastAsia="宋体" w:cs="Times New Roman"/>
          <w:color w:val="000000" w:themeColor="text1"/>
          <w:sz w:val="18"/>
          <w:szCs w:val="18"/>
          <w14:textFill>
            <w14:solidFill>
              <w14:schemeClr w14:val="tx1"/>
            </w14:solidFill>
          </w14:textFill>
        </w:rPr>
        <w:t>10</w:t>
      </w:r>
      <w:r>
        <w:rPr>
          <w:rFonts w:ascii="Times New Roman" w:hAnsi="Times New Roman" w:eastAsia="宋体" w:cs="Times New Roman"/>
          <w:color w:val="000000" w:themeColor="text1"/>
          <w:sz w:val="18"/>
          <w:szCs w:val="18"/>
          <w:vertAlign w:val="superscript"/>
          <w14:textFill>
            <w14:solidFill>
              <w14:schemeClr w14:val="tx1"/>
            </w14:solidFill>
          </w14:textFill>
        </w:rPr>
        <w:t>th</w:t>
      </w:r>
      <w:r>
        <w:rPr>
          <w:rFonts w:ascii="Times New Roman" w:hAnsi="Times New Roman" w:eastAsia="宋体" w:cs="Times New Roman"/>
          <w:color w:val="000000" w:themeColor="text1"/>
          <w:sz w:val="18"/>
          <w:szCs w:val="18"/>
          <w14:textFill>
            <w14:solidFill>
              <w14:schemeClr w14:val="tx1"/>
            </w14:solidFill>
          </w14:textFill>
        </w:rPr>
        <w:t>/90</w:t>
      </w:r>
      <w:r>
        <w:rPr>
          <w:rFonts w:ascii="Times New Roman" w:hAnsi="Times New Roman" w:eastAsia="宋体" w:cs="Times New Roman"/>
          <w:color w:val="000000" w:themeColor="text1"/>
          <w:sz w:val="18"/>
          <w:szCs w:val="18"/>
          <w:vertAlign w:val="superscript"/>
          <w14:textFill>
            <w14:solidFill>
              <w14:schemeClr w14:val="tx1"/>
            </w14:solidFill>
          </w14:textFill>
        </w:rPr>
        <w:t>th</w:t>
      </w:r>
      <w:r>
        <w:rPr>
          <w:rFonts w:hint="default" w:ascii="Times New Roman" w:hAnsi="Times New Roman" w:eastAsia="宋体" w:cs="Times New Roman"/>
          <w:color w:val="000000" w:themeColor="text1"/>
          <w:sz w:val="18"/>
          <w:szCs w:val="18"/>
          <w14:textFill>
            <w14:solidFill>
              <w14:schemeClr w14:val="tx1"/>
            </w14:solidFill>
          </w14:textFill>
        </w:rPr>
        <w:t>、</w:t>
      </w:r>
      <w:r>
        <w:rPr>
          <w:rFonts w:ascii="Times New Roman" w:hAnsi="Times New Roman" w:eastAsia="宋体" w:cs="Times New Roman"/>
          <w:color w:val="000000" w:themeColor="text1"/>
          <w:sz w:val="18"/>
          <w:szCs w:val="18"/>
          <w14:textFill>
            <w14:solidFill>
              <w14:schemeClr w14:val="tx1"/>
            </w14:solidFill>
          </w14:textFill>
        </w:rPr>
        <w:t>5</w:t>
      </w:r>
      <w:r>
        <w:rPr>
          <w:rFonts w:ascii="Times New Roman" w:hAnsi="Times New Roman" w:eastAsia="宋体" w:cs="Times New Roman"/>
          <w:color w:val="000000" w:themeColor="text1"/>
          <w:sz w:val="18"/>
          <w:szCs w:val="18"/>
          <w:vertAlign w:val="superscript"/>
          <w14:textFill>
            <w14:solidFill>
              <w14:schemeClr w14:val="tx1"/>
            </w14:solidFill>
          </w14:textFill>
        </w:rPr>
        <w:t>th</w:t>
      </w:r>
      <w:r>
        <w:rPr>
          <w:rFonts w:ascii="Times New Roman" w:hAnsi="Times New Roman" w:eastAsia="宋体" w:cs="Times New Roman"/>
          <w:color w:val="000000" w:themeColor="text1"/>
          <w:sz w:val="18"/>
          <w:szCs w:val="18"/>
          <w14:textFill>
            <w14:solidFill>
              <w14:schemeClr w14:val="tx1"/>
            </w14:solidFill>
          </w14:textFill>
        </w:rPr>
        <w:t>/95</w:t>
      </w:r>
      <w:r>
        <w:rPr>
          <w:rFonts w:ascii="Times New Roman" w:hAnsi="Times New Roman" w:eastAsia="宋体" w:cs="Times New Roman"/>
          <w:color w:val="000000" w:themeColor="text1"/>
          <w:sz w:val="18"/>
          <w:szCs w:val="18"/>
          <w:vertAlign w:val="superscript"/>
          <w14:textFill>
            <w14:solidFill>
              <w14:schemeClr w14:val="tx1"/>
            </w14:solidFill>
          </w14:textFill>
        </w:rPr>
        <w:t>th</w:t>
      </w:r>
      <w:r>
        <w:rPr>
          <w:rFonts w:hint="default" w:ascii="Times New Roman" w:hAnsi="Times New Roman" w:eastAsia="宋体" w:cs="Times New Roman"/>
          <w:color w:val="000000" w:themeColor="text1"/>
          <w:sz w:val="18"/>
          <w:szCs w:val="18"/>
          <w14:textFill>
            <w14:solidFill>
              <w14:schemeClr w14:val="tx1"/>
            </w14:solidFill>
          </w14:textFill>
        </w:rPr>
        <w:t>以及</w:t>
      </w:r>
      <w:r>
        <w:rPr>
          <w:rFonts w:ascii="Times New Roman" w:hAnsi="Times New Roman" w:eastAsia="宋体" w:cs="Times New Roman"/>
          <w:color w:val="000000" w:themeColor="text1"/>
          <w:sz w:val="18"/>
          <w:szCs w:val="18"/>
          <w14:textFill>
            <w14:solidFill>
              <w14:schemeClr w14:val="tx1"/>
            </w14:solidFill>
          </w14:textFill>
        </w:rPr>
        <w:t>15</w:t>
      </w:r>
      <w:r>
        <w:rPr>
          <w:rFonts w:ascii="Times New Roman" w:hAnsi="Times New Roman" w:eastAsia="宋体" w:cs="Times New Roman"/>
          <w:color w:val="000000" w:themeColor="text1"/>
          <w:sz w:val="18"/>
          <w:szCs w:val="18"/>
          <w:vertAlign w:val="superscript"/>
          <w14:textFill>
            <w14:solidFill>
              <w14:schemeClr w14:val="tx1"/>
            </w14:solidFill>
          </w14:textFill>
        </w:rPr>
        <w:t>th</w:t>
      </w:r>
      <w:r>
        <w:rPr>
          <w:rFonts w:ascii="Times New Roman" w:hAnsi="Times New Roman" w:eastAsia="宋体" w:cs="Times New Roman"/>
          <w:color w:val="000000" w:themeColor="text1"/>
          <w:sz w:val="18"/>
          <w:szCs w:val="18"/>
          <w14:textFill>
            <w14:solidFill>
              <w14:schemeClr w14:val="tx1"/>
            </w14:solidFill>
          </w14:textFill>
        </w:rPr>
        <w:t>/85</w:t>
      </w:r>
      <w:r>
        <w:rPr>
          <w:rFonts w:ascii="Times New Roman" w:hAnsi="Times New Roman" w:eastAsia="宋体" w:cs="Times New Roman"/>
          <w:color w:val="000000" w:themeColor="text1"/>
          <w:sz w:val="18"/>
          <w:szCs w:val="18"/>
          <w:vertAlign w:val="superscript"/>
          <w14:textFill>
            <w14:solidFill>
              <w14:schemeClr w14:val="tx1"/>
            </w14:solidFill>
          </w14:textFill>
        </w:rPr>
        <w:t>th</w:t>
      </w:r>
      <w:r>
        <w:rPr>
          <w:rFonts w:hint="default" w:ascii="Times New Roman" w:hAnsi="Times New Roman" w:eastAsia="宋体" w:cs="Times New Roman"/>
          <w:color w:val="000000" w:themeColor="text1"/>
          <w:sz w:val="18"/>
          <w:szCs w:val="18"/>
          <w14:textFill>
            <w14:solidFill>
              <w14:schemeClr w14:val="tx1"/>
            </w14:solidFill>
          </w14:textFill>
        </w:rPr>
        <w:t>）与未来不同排放情景下青藏高原太阳能和风能年内极端发电事件的演变趋势。实线表示多模型集合（</w:t>
      </w:r>
      <w:r>
        <w:rPr>
          <w:rFonts w:ascii="Times New Roman" w:hAnsi="Times New Roman" w:eastAsia="宋体" w:cs="Times New Roman"/>
          <w:color w:val="000000" w:themeColor="text1"/>
          <w:sz w:val="18"/>
          <w:szCs w:val="18"/>
          <w14:textFill>
            <w14:solidFill>
              <w14:schemeClr w14:val="tx1"/>
            </w14:solidFill>
          </w14:textFill>
        </w:rPr>
        <w:t>NEX-GDDP-CMIP6</w:t>
      </w:r>
      <w:r>
        <w:rPr>
          <w:rFonts w:hint="default" w:ascii="Times New Roman" w:hAnsi="Times New Roman" w:eastAsia="宋体" w:cs="Times New Roman"/>
          <w:color w:val="000000" w:themeColor="text1"/>
          <w:sz w:val="18"/>
          <w:szCs w:val="18"/>
          <w14:textFill>
            <w14:solidFill>
              <w14:schemeClr w14:val="tx1"/>
            </w14:solidFill>
          </w14:textFill>
        </w:rPr>
        <w:t>）估计值的均值，阴影区域表示多模型集合估计值的标准差。</w:t>
      </w:r>
    </w:p>
    <w:p w14:paraId="09A41CCA">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w:t>
      </w:r>
      <w:r>
        <w:rPr>
          <w:rFonts w:ascii="Times New Roman" w:hAnsi="Times New Roman" w:eastAsia="宋体" w:cs="Times New Roman"/>
          <w:color w:val="000000" w:themeColor="text1"/>
          <w:kern w:val="0"/>
          <w:sz w:val="18"/>
          <w:szCs w:val="18"/>
          <w:lang w:val="en-GB"/>
          <w14:textFill>
            <w14:solidFill>
              <w14:schemeClr w14:val="tx1"/>
            </w14:solidFill>
          </w14:textFill>
        </w:rPr>
        <w:t xml:space="preserve"> S8 Intra-annual evolution trends of extreme solar and wind power generation events over the Qinghai-Tibet Plateau under different future emission scenarios with varying thresholds (10th/90th, 5th/95th and 15th/85th). Solid lines represent the mean values of estimates from the multi-model ensemble NEX-GDDP-CMIP6, and shaded areas denote the standard deviation of multi-model ensemble estimates.</w:t>
      </w:r>
    </w:p>
    <w:p w14:paraId="77F123E2">
      <w:pPr>
        <w:widowControl/>
        <w:spacing w:line="300" w:lineRule="auto"/>
        <w:jc w:val="left"/>
        <w:rPr>
          <w:rFonts w:ascii="Times New Roman" w:hAnsi="Times New Roman" w:eastAsia="宋体" w:cs="Times New Roman"/>
          <w:color w:val="000000" w:themeColor="text1"/>
          <w:kern w:val="0"/>
          <w:sz w:val="15"/>
          <w:szCs w:val="15"/>
          <w:lang w:val="en-GB"/>
          <w14:textFill>
            <w14:solidFill>
              <w14:schemeClr w14:val="tx1"/>
            </w14:solidFill>
          </w14:textFill>
        </w:rPr>
      </w:pPr>
    </w:p>
    <w:p w14:paraId="78FA7F46">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68595" cy="3528060"/>
            <wp:effectExtent l="0" t="0" r="1905" b="2540"/>
            <wp:docPr id="19" name="图片 19" descr="Fig_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_S9"/>
                    <pic:cNvPicPr>
                      <a:picLocks noChangeAspect="1"/>
                    </pic:cNvPicPr>
                  </pic:nvPicPr>
                  <pic:blipFill>
                    <a:blip r:embed="rId12"/>
                    <a:stretch>
                      <a:fillRect/>
                    </a:stretch>
                  </pic:blipFill>
                  <pic:spPr>
                    <a:xfrm>
                      <a:off x="0" y="0"/>
                      <a:ext cx="5268595" cy="3528060"/>
                    </a:xfrm>
                    <a:prstGeom prst="rect">
                      <a:avLst/>
                    </a:prstGeom>
                  </pic:spPr>
                </pic:pic>
              </a:graphicData>
            </a:graphic>
          </wp:inline>
        </w:drawing>
      </w:r>
    </w:p>
    <w:p w14:paraId="146DF30A">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3CF1891B">
      <w:pPr>
        <w:pStyle w:val="12"/>
        <w:overflowPunct w:val="0"/>
        <w:spacing w:line="300" w:lineRule="auto"/>
        <w:jc w:val="both"/>
        <w:rPr>
          <w:rFonts w:ascii="Times New Roman" w:cs="Times New Roman"/>
          <w:spacing w:val="14"/>
          <w:w w:val="95"/>
          <w:sz w:val="18"/>
          <w:szCs w:val="18"/>
        </w:rPr>
      </w:pPr>
      <w:r>
        <w:rPr>
          <w:rFonts w:hint="default" w:ascii="Times New Roman" w:cs="Times New Roman"/>
          <w:sz w:val="18"/>
          <w:szCs w:val="18"/>
        </w:rPr>
        <w:t>图</w:t>
      </w:r>
      <w:r>
        <w:rPr>
          <w:rFonts w:ascii="Times New Roman" w:cs="Times New Roman"/>
          <w:sz w:val="18"/>
          <w:szCs w:val="18"/>
        </w:rPr>
        <w:t xml:space="preserve"> S9 </w:t>
      </w:r>
      <w:r>
        <w:rPr>
          <w:rFonts w:hint="default" w:ascii="Times New Roman" w:cs="Times New Roman"/>
          <w:sz w:val="18"/>
          <w:szCs w:val="18"/>
        </w:rPr>
        <w:t>阈值</w:t>
      </w:r>
      <w:r>
        <w:rPr>
          <w:rFonts w:ascii="Times New Roman" w:cs="Times New Roman"/>
          <w:color w:val="000000" w:themeColor="text1"/>
          <w:sz w:val="18"/>
          <w:szCs w:val="18"/>
          <w14:textFill>
            <w14:solidFill>
              <w14:schemeClr w14:val="tx1"/>
            </w14:solidFill>
          </w14:textFill>
        </w:rPr>
        <w:t>15</w:t>
      </w:r>
      <w:r>
        <w:rPr>
          <w:rFonts w:ascii="Times New Roman" w:cs="Times New Roman"/>
          <w:color w:val="000000" w:themeColor="text1"/>
          <w:sz w:val="18"/>
          <w:szCs w:val="18"/>
          <w:vertAlign w:val="superscript"/>
          <w14:textFill>
            <w14:solidFill>
              <w14:schemeClr w14:val="tx1"/>
            </w14:solidFill>
          </w14:textFill>
        </w:rPr>
        <w:t>th</w:t>
      </w:r>
      <w:r>
        <w:rPr>
          <w:rFonts w:ascii="Times New Roman" w:cs="Times New Roman"/>
          <w:color w:val="000000" w:themeColor="text1"/>
          <w:sz w:val="18"/>
          <w:szCs w:val="18"/>
          <w14:textFill>
            <w14:solidFill>
              <w14:schemeClr w14:val="tx1"/>
            </w14:solidFill>
          </w14:textFill>
        </w:rPr>
        <w:t>/85</w:t>
      </w:r>
      <w:r>
        <w:rPr>
          <w:rFonts w:ascii="Times New Roman" w:cs="Times New Roman"/>
          <w:color w:val="000000" w:themeColor="text1"/>
          <w:sz w:val="18"/>
          <w:szCs w:val="18"/>
          <w:vertAlign w:val="superscript"/>
          <w14:textFill>
            <w14:solidFill>
              <w14:schemeClr w14:val="tx1"/>
            </w14:solidFill>
          </w14:textFill>
        </w:rPr>
        <w:t>th</w:t>
      </w:r>
      <w:r>
        <w:rPr>
          <w:rFonts w:hint="default" w:ascii="Times New Roman" w:cs="Times New Roman"/>
          <w:sz w:val="18"/>
          <w:szCs w:val="18"/>
        </w:rPr>
        <w:t>时未来不同排放情景下青藏高原极端发电事件的相对变化（</w:t>
      </w:r>
      <w:r>
        <w:rPr>
          <w:rFonts w:ascii="Times New Roman" w:cs="Times New Roman"/>
          <w:sz w:val="18"/>
          <w:szCs w:val="18"/>
        </w:rPr>
        <w:t>A</w:t>
      </w:r>
      <w:r>
        <w:rPr>
          <w:rFonts w:hint="default" w:ascii="Times New Roman" w:cs="Times New Roman"/>
          <w:sz w:val="18"/>
          <w:szCs w:val="18"/>
        </w:rPr>
        <w:t>–</w:t>
      </w:r>
      <w:r>
        <w:rPr>
          <w:rFonts w:ascii="Times New Roman" w:cs="Times New Roman"/>
          <w:sz w:val="18"/>
          <w:szCs w:val="18"/>
        </w:rPr>
        <w:t>C</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高发电潜力日频率；</w:t>
      </w:r>
      <w:r>
        <w:rPr>
          <w:rFonts w:ascii="Times New Roman" w:cs="Times New Roman"/>
          <w:sz w:val="18"/>
          <w:szCs w:val="18"/>
        </w:rPr>
        <w:t>D</w:t>
      </w:r>
      <w:r>
        <w:rPr>
          <w:rFonts w:hint="default" w:ascii="Times New Roman" w:cs="Times New Roman"/>
          <w:sz w:val="18"/>
          <w:szCs w:val="18"/>
        </w:rPr>
        <w:t>–</w:t>
      </w:r>
      <w:r>
        <w:rPr>
          <w:rFonts w:ascii="Times New Roman" w:cs="Times New Roman"/>
          <w:sz w:val="18"/>
          <w:szCs w:val="18"/>
        </w:rPr>
        <w:t>F</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高发电潜力日频率；</w:t>
      </w:r>
      <w:r>
        <w:rPr>
          <w:rFonts w:ascii="Times New Roman" w:cs="Times New Roman"/>
          <w:sz w:val="18"/>
          <w:szCs w:val="18"/>
        </w:rPr>
        <w:t>G</w:t>
      </w:r>
      <w:r>
        <w:rPr>
          <w:rFonts w:hint="default" w:ascii="Times New Roman" w:cs="Times New Roman"/>
          <w:sz w:val="18"/>
          <w:szCs w:val="18"/>
        </w:rPr>
        <w:t>–</w:t>
      </w:r>
      <w:r>
        <w:rPr>
          <w:rFonts w:ascii="Times New Roman" w:cs="Times New Roman"/>
          <w:sz w:val="18"/>
          <w:szCs w:val="18"/>
        </w:rPr>
        <w:t>I</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低发电潜力日频率；</w:t>
      </w:r>
      <w:r>
        <w:rPr>
          <w:rFonts w:ascii="Times New Roman" w:cs="Times New Roman"/>
          <w:sz w:val="18"/>
          <w:szCs w:val="18"/>
        </w:rPr>
        <w:t>J</w:t>
      </w:r>
      <w:r>
        <w:rPr>
          <w:rFonts w:hint="default" w:ascii="Times New Roman" w:cs="Times New Roman"/>
          <w:sz w:val="18"/>
          <w:szCs w:val="18"/>
        </w:rPr>
        <w:t>–</w:t>
      </w:r>
      <w:r>
        <w:rPr>
          <w:rFonts w:ascii="Times New Roman" w:cs="Times New Roman"/>
          <w:sz w:val="18"/>
          <w:szCs w:val="18"/>
        </w:rPr>
        <w:t>L</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低发电潜力日频率）。</w:t>
      </w:r>
    </w:p>
    <w:p w14:paraId="1925A136">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w:t>
      </w:r>
      <w:r>
        <w:rPr>
          <w:rFonts w:ascii="Times New Roman" w:hAnsi="Times New Roman" w:eastAsia="宋体" w:cs="Times New Roman"/>
          <w:color w:val="000000" w:themeColor="text1"/>
          <w:kern w:val="0"/>
          <w:sz w:val="18"/>
          <w:szCs w:val="18"/>
          <w:lang w:val="en-GB"/>
          <w14:textFill>
            <w14:solidFill>
              <w14:schemeClr w14:val="tx1"/>
            </w14:solidFill>
          </w14:textFill>
        </w:rPr>
        <w:t xml:space="preserve"> S9 Relative changes in extreme power generation events over the Qinghai-Tibet Plateau under different future emission scenarios at the threshold of 15</w:t>
      </w:r>
      <w:r>
        <w:rPr>
          <w:rFonts w:ascii="Times New Roman" w:hAnsi="Times New Roman" w:eastAsia="宋体" w:cs="Times New Roman"/>
          <w:color w:val="000000" w:themeColor="text1"/>
          <w:kern w:val="0"/>
          <w:sz w:val="18"/>
          <w:szCs w:val="18"/>
          <w:vertAlign w:val="superscript"/>
          <w:lang w:val="en-GB"/>
          <w14:textFill>
            <w14:solidFill>
              <w14:schemeClr w14:val="tx1"/>
            </w14:solidFill>
          </w14:textFill>
        </w:rPr>
        <w:t>th</w:t>
      </w:r>
      <w:r>
        <w:rPr>
          <w:rFonts w:ascii="Times New Roman" w:hAnsi="Times New Roman" w:eastAsia="宋体" w:cs="Times New Roman"/>
          <w:color w:val="000000" w:themeColor="text1"/>
          <w:kern w:val="0"/>
          <w:sz w:val="18"/>
          <w:szCs w:val="18"/>
          <w:lang w:val="en-GB"/>
          <w14:textFill>
            <w14:solidFill>
              <w14:schemeClr w14:val="tx1"/>
            </w14:solidFill>
          </w14:textFill>
        </w:rPr>
        <w:t>/85</w:t>
      </w:r>
      <w:r>
        <w:rPr>
          <w:rFonts w:ascii="Times New Roman" w:hAnsi="Times New Roman" w:eastAsia="宋体" w:cs="Times New Roman"/>
          <w:color w:val="000000" w:themeColor="text1"/>
          <w:kern w:val="0"/>
          <w:sz w:val="18"/>
          <w:szCs w:val="18"/>
          <w:vertAlign w:val="superscript"/>
          <w:lang w:val="en-GB"/>
          <w14:textFill>
            <w14:solidFill>
              <w14:schemeClr w14:val="tx1"/>
            </w14:solidFill>
          </w14:textFill>
        </w:rPr>
        <w:t>th</w:t>
      </w:r>
      <w:r>
        <w:rPr>
          <w:rFonts w:ascii="Times New Roman" w:hAnsi="Times New Roman" w:eastAsia="宋体" w:cs="Times New Roman"/>
          <w:color w:val="000000" w:themeColor="text1"/>
          <w:kern w:val="0"/>
          <w:sz w:val="18"/>
          <w:szCs w:val="18"/>
          <w:lang w:val="en-GB"/>
          <w14:textFill>
            <w14:solidFill>
              <w14:schemeClr w14:val="tx1"/>
            </w14:solidFill>
          </w14:textFill>
        </w:rPr>
        <w:t>. (A–C: frequency of days with extremely high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wind</w:t>
      </w:r>
      <w:r>
        <w:rPr>
          <w:rFonts w:ascii="Times New Roman" w:hAnsi="Times New Roman" w:eastAsia="宋体" w:cs="Times New Roman"/>
          <w:color w:val="000000" w:themeColor="text1"/>
          <w:kern w:val="0"/>
          <w:sz w:val="18"/>
          <w:szCs w:val="18"/>
          <w:lang w:val="en-GB"/>
          <w14:textFill>
            <w14:solidFill>
              <w14:schemeClr w14:val="tx1"/>
            </w14:solidFill>
          </w14:textFill>
        </w:rPr>
        <w:t>; D–F: frequency of days with extremely high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solar</w:t>
      </w:r>
      <w:r>
        <w:rPr>
          <w:rFonts w:ascii="Times New Roman" w:hAnsi="Times New Roman" w:eastAsia="宋体" w:cs="Times New Roman"/>
          <w:color w:val="000000" w:themeColor="text1"/>
          <w:kern w:val="0"/>
          <w:sz w:val="18"/>
          <w:szCs w:val="18"/>
          <w:lang w:val="en-GB"/>
          <w14:textFill>
            <w14:solidFill>
              <w14:schemeClr w14:val="tx1"/>
            </w14:solidFill>
          </w14:textFill>
        </w:rPr>
        <w:t>; G–I: frequency of days with extremely low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wind</w:t>
      </w:r>
      <w:r>
        <w:rPr>
          <w:rFonts w:ascii="Times New Roman" w:hAnsi="Times New Roman" w:eastAsia="宋体" w:cs="Times New Roman"/>
          <w:color w:val="000000" w:themeColor="text1"/>
          <w:kern w:val="0"/>
          <w:sz w:val="18"/>
          <w:szCs w:val="18"/>
          <w:lang w:val="en-GB"/>
          <w14:textFill>
            <w14:solidFill>
              <w14:schemeClr w14:val="tx1"/>
            </w14:solidFill>
          </w14:textFill>
        </w:rPr>
        <w:t>; J–L: frequency of days with extremely low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solar</w:t>
      </w:r>
      <w:r>
        <w:rPr>
          <w:rFonts w:ascii="Times New Roman" w:hAnsi="Times New Roman" w:eastAsia="宋体" w:cs="Times New Roman"/>
          <w:color w:val="000000" w:themeColor="text1"/>
          <w:kern w:val="0"/>
          <w:sz w:val="18"/>
          <w:szCs w:val="18"/>
          <w:lang w:val="en-GB"/>
          <w14:textFill>
            <w14:solidFill>
              <w14:schemeClr w14:val="tx1"/>
            </w14:solidFill>
          </w14:textFill>
        </w:rPr>
        <w:t xml:space="preserve">) </w:t>
      </w:r>
    </w:p>
    <w:p w14:paraId="53A64445">
      <w:pPr>
        <w:widowControl/>
        <w:jc w:val="left"/>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br w:type="page"/>
      </w:r>
    </w:p>
    <w:p w14:paraId="2C95F8FD">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69230" cy="3537585"/>
            <wp:effectExtent l="0" t="0" r="1270" b="5715"/>
            <wp:docPr id="20" name="图片 20" descr="Fig_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_S10"/>
                    <pic:cNvPicPr>
                      <a:picLocks noChangeAspect="1"/>
                    </pic:cNvPicPr>
                  </pic:nvPicPr>
                  <pic:blipFill>
                    <a:blip r:embed="rId13"/>
                    <a:stretch>
                      <a:fillRect/>
                    </a:stretch>
                  </pic:blipFill>
                  <pic:spPr>
                    <a:xfrm>
                      <a:off x="0" y="0"/>
                      <a:ext cx="5269230" cy="3537585"/>
                    </a:xfrm>
                    <a:prstGeom prst="rect">
                      <a:avLst/>
                    </a:prstGeom>
                  </pic:spPr>
                </pic:pic>
              </a:graphicData>
            </a:graphic>
          </wp:inline>
        </w:drawing>
      </w:r>
    </w:p>
    <w:p w14:paraId="6B0CEAD5">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107DC74C">
      <w:pPr>
        <w:pStyle w:val="12"/>
        <w:overflowPunct w:val="0"/>
        <w:spacing w:line="300" w:lineRule="auto"/>
        <w:jc w:val="both"/>
        <w:rPr>
          <w:rFonts w:ascii="Times New Roman" w:cs="Times New Roman"/>
          <w:spacing w:val="14"/>
          <w:w w:val="95"/>
          <w:sz w:val="18"/>
          <w:szCs w:val="18"/>
        </w:rPr>
      </w:pPr>
      <w:r>
        <w:rPr>
          <w:rFonts w:hint="default" w:ascii="Times New Roman" w:cs="Times New Roman"/>
          <w:sz w:val="18"/>
          <w:szCs w:val="18"/>
        </w:rPr>
        <w:t>图</w:t>
      </w:r>
      <w:r>
        <w:rPr>
          <w:rFonts w:ascii="Times New Roman" w:cs="Times New Roman"/>
          <w:sz w:val="18"/>
          <w:szCs w:val="18"/>
        </w:rPr>
        <w:t xml:space="preserve"> S10 </w:t>
      </w:r>
      <w:r>
        <w:rPr>
          <w:rFonts w:hint="default" w:ascii="Times New Roman" w:cs="Times New Roman"/>
          <w:sz w:val="18"/>
          <w:szCs w:val="18"/>
        </w:rPr>
        <w:t>阈值</w:t>
      </w:r>
      <w:r>
        <w:rPr>
          <w:rFonts w:ascii="Times New Roman" w:cs="Times New Roman"/>
          <w:color w:val="000000" w:themeColor="text1"/>
          <w:sz w:val="18"/>
          <w:szCs w:val="18"/>
          <w14:textFill>
            <w14:solidFill>
              <w14:schemeClr w14:val="tx1"/>
            </w14:solidFill>
          </w14:textFill>
        </w:rPr>
        <w:t>10</w:t>
      </w:r>
      <w:r>
        <w:rPr>
          <w:rFonts w:ascii="Times New Roman" w:cs="Times New Roman"/>
          <w:color w:val="000000" w:themeColor="text1"/>
          <w:sz w:val="18"/>
          <w:szCs w:val="18"/>
          <w:vertAlign w:val="superscript"/>
          <w14:textFill>
            <w14:solidFill>
              <w14:schemeClr w14:val="tx1"/>
            </w14:solidFill>
          </w14:textFill>
        </w:rPr>
        <w:t>th</w:t>
      </w:r>
      <w:r>
        <w:rPr>
          <w:rFonts w:ascii="Times New Roman" w:cs="Times New Roman"/>
          <w:color w:val="000000" w:themeColor="text1"/>
          <w:sz w:val="18"/>
          <w:szCs w:val="18"/>
          <w14:textFill>
            <w14:solidFill>
              <w14:schemeClr w14:val="tx1"/>
            </w14:solidFill>
          </w14:textFill>
        </w:rPr>
        <w:t>/90</w:t>
      </w:r>
      <w:r>
        <w:rPr>
          <w:rFonts w:ascii="Times New Roman" w:cs="Times New Roman"/>
          <w:color w:val="000000" w:themeColor="text1"/>
          <w:sz w:val="18"/>
          <w:szCs w:val="18"/>
          <w:vertAlign w:val="superscript"/>
          <w14:textFill>
            <w14:solidFill>
              <w14:schemeClr w14:val="tx1"/>
            </w14:solidFill>
          </w14:textFill>
        </w:rPr>
        <w:t>th</w:t>
      </w:r>
      <w:r>
        <w:rPr>
          <w:rFonts w:hint="default" w:ascii="Times New Roman" w:cs="Times New Roman"/>
          <w:sz w:val="18"/>
          <w:szCs w:val="18"/>
        </w:rPr>
        <w:t>时未来不同排放情景下青藏高原极端发电事件的相对变化（</w:t>
      </w:r>
      <w:r>
        <w:rPr>
          <w:rFonts w:ascii="Times New Roman" w:cs="Times New Roman"/>
          <w:sz w:val="18"/>
          <w:szCs w:val="18"/>
        </w:rPr>
        <w:t>A</w:t>
      </w:r>
      <w:r>
        <w:rPr>
          <w:rFonts w:hint="default" w:ascii="Times New Roman" w:cs="Times New Roman"/>
          <w:sz w:val="18"/>
          <w:szCs w:val="18"/>
        </w:rPr>
        <w:t>–</w:t>
      </w:r>
      <w:r>
        <w:rPr>
          <w:rFonts w:ascii="Times New Roman" w:cs="Times New Roman"/>
          <w:sz w:val="18"/>
          <w:szCs w:val="18"/>
        </w:rPr>
        <w:t>C</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高发电潜力日频率；</w:t>
      </w:r>
      <w:r>
        <w:rPr>
          <w:rFonts w:ascii="Times New Roman" w:cs="Times New Roman"/>
          <w:sz w:val="18"/>
          <w:szCs w:val="18"/>
        </w:rPr>
        <w:t>D</w:t>
      </w:r>
      <w:r>
        <w:rPr>
          <w:rFonts w:hint="default" w:ascii="Times New Roman" w:cs="Times New Roman"/>
          <w:sz w:val="18"/>
          <w:szCs w:val="18"/>
        </w:rPr>
        <w:t>–</w:t>
      </w:r>
      <w:r>
        <w:rPr>
          <w:rFonts w:ascii="Times New Roman" w:cs="Times New Roman"/>
          <w:sz w:val="18"/>
          <w:szCs w:val="18"/>
        </w:rPr>
        <w:t>F</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高发电潜力日频率；</w:t>
      </w:r>
      <w:r>
        <w:rPr>
          <w:rFonts w:ascii="Times New Roman" w:cs="Times New Roman"/>
          <w:sz w:val="18"/>
          <w:szCs w:val="18"/>
        </w:rPr>
        <w:t>G</w:t>
      </w:r>
      <w:r>
        <w:rPr>
          <w:rFonts w:hint="default" w:ascii="Times New Roman" w:cs="Times New Roman"/>
          <w:sz w:val="18"/>
          <w:szCs w:val="18"/>
        </w:rPr>
        <w:t>–</w:t>
      </w:r>
      <w:r>
        <w:rPr>
          <w:rFonts w:ascii="Times New Roman" w:cs="Times New Roman"/>
          <w:sz w:val="18"/>
          <w:szCs w:val="18"/>
        </w:rPr>
        <w:t>I</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低发电潜力日频率；</w:t>
      </w:r>
      <w:r>
        <w:rPr>
          <w:rFonts w:ascii="Times New Roman" w:cs="Times New Roman"/>
          <w:sz w:val="18"/>
          <w:szCs w:val="18"/>
        </w:rPr>
        <w:t>J</w:t>
      </w:r>
      <w:r>
        <w:rPr>
          <w:rFonts w:hint="default" w:ascii="Times New Roman" w:cs="Times New Roman"/>
          <w:sz w:val="18"/>
          <w:szCs w:val="18"/>
        </w:rPr>
        <w:t>–</w:t>
      </w:r>
      <w:r>
        <w:rPr>
          <w:rFonts w:ascii="Times New Roman" w:cs="Times New Roman"/>
          <w:sz w:val="18"/>
          <w:szCs w:val="18"/>
        </w:rPr>
        <w:t>L</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低发电潜力日频率）。</w:t>
      </w:r>
    </w:p>
    <w:p w14:paraId="445369BA">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w:t>
      </w:r>
      <w:r>
        <w:rPr>
          <w:rFonts w:ascii="Times New Roman" w:hAnsi="Times New Roman" w:eastAsia="宋体" w:cs="Times New Roman"/>
          <w:color w:val="000000" w:themeColor="text1"/>
          <w:kern w:val="0"/>
          <w:sz w:val="18"/>
          <w:szCs w:val="18"/>
          <w:lang w:val="en-GB"/>
          <w14:textFill>
            <w14:solidFill>
              <w14:schemeClr w14:val="tx1"/>
            </w14:solidFill>
          </w14:textFill>
        </w:rPr>
        <w:t xml:space="preserve"> S10 Relative changes in extreme power generation events over the Qinghai-Tibet Plateau under different future emission scenarios at the threshold of </w:t>
      </w:r>
      <w:r>
        <w:rPr>
          <w:rFonts w:ascii="Times New Roman" w:hAnsi="Times New Roman" w:eastAsia="宋体" w:cs="Times New Roman"/>
          <w:color w:val="000000" w:themeColor="text1"/>
          <w:kern w:val="0"/>
          <w:sz w:val="18"/>
          <w:szCs w:val="18"/>
          <w14:textFill>
            <w14:solidFill>
              <w14:schemeClr w14:val="tx1"/>
            </w14:solidFill>
          </w14:textFill>
        </w:rPr>
        <w:t>10</w:t>
      </w:r>
      <w:r>
        <w:rPr>
          <w:rFonts w:ascii="Times New Roman" w:hAnsi="Times New Roman" w:eastAsia="宋体" w:cs="Times New Roman"/>
          <w:color w:val="000000" w:themeColor="text1"/>
          <w:kern w:val="0"/>
          <w:sz w:val="18"/>
          <w:szCs w:val="18"/>
          <w:vertAlign w:val="superscript"/>
          <w:lang w:val="en-GB"/>
          <w14:textFill>
            <w14:solidFill>
              <w14:schemeClr w14:val="tx1"/>
            </w14:solidFill>
          </w14:textFill>
        </w:rPr>
        <w:t>th</w:t>
      </w:r>
      <w:r>
        <w:rPr>
          <w:rFonts w:ascii="Times New Roman" w:hAnsi="Times New Roman" w:eastAsia="宋体" w:cs="Times New Roman"/>
          <w:color w:val="000000" w:themeColor="text1"/>
          <w:kern w:val="0"/>
          <w:sz w:val="18"/>
          <w:szCs w:val="18"/>
          <w:lang w:val="en-GB"/>
          <w14:textFill>
            <w14:solidFill>
              <w14:schemeClr w14:val="tx1"/>
            </w14:solidFill>
          </w14:textFill>
        </w:rPr>
        <w:t>/</w:t>
      </w:r>
      <w:r>
        <w:rPr>
          <w:rFonts w:ascii="Times New Roman" w:hAnsi="Times New Roman" w:eastAsia="宋体" w:cs="Times New Roman"/>
          <w:color w:val="000000" w:themeColor="text1"/>
          <w:kern w:val="0"/>
          <w:sz w:val="18"/>
          <w:szCs w:val="18"/>
          <w14:textFill>
            <w14:solidFill>
              <w14:schemeClr w14:val="tx1"/>
            </w14:solidFill>
          </w14:textFill>
        </w:rPr>
        <w:t>90</w:t>
      </w:r>
      <w:r>
        <w:rPr>
          <w:rFonts w:ascii="Times New Roman" w:hAnsi="Times New Roman" w:eastAsia="宋体" w:cs="Times New Roman"/>
          <w:color w:val="000000" w:themeColor="text1"/>
          <w:kern w:val="0"/>
          <w:sz w:val="18"/>
          <w:szCs w:val="18"/>
          <w:vertAlign w:val="superscript"/>
          <w:lang w:val="en-GB"/>
          <w14:textFill>
            <w14:solidFill>
              <w14:schemeClr w14:val="tx1"/>
            </w14:solidFill>
          </w14:textFill>
        </w:rPr>
        <w:t>th</w:t>
      </w:r>
      <w:r>
        <w:rPr>
          <w:rFonts w:ascii="Times New Roman" w:hAnsi="Times New Roman" w:eastAsia="宋体" w:cs="Times New Roman"/>
          <w:color w:val="000000" w:themeColor="text1"/>
          <w:kern w:val="0"/>
          <w:sz w:val="18"/>
          <w:szCs w:val="18"/>
          <w:lang w:val="en-GB"/>
          <w14:textFill>
            <w14:solidFill>
              <w14:schemeClr w14:val="tx1"/>
            </w14:solidFill>
          </w14:textFill>
        </w:rPr>
        <w:t>. (A–C: frequency of days with extremely high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wind</w:t>
      </w:r>
      <w:r>
        <w:rPr>
          <w:rFonts w:ascii="Times New Roman" w:hAnsi="Times New Roman" w:eastAsia="宋体" w:cs="Times New Roman"/>
          <w:color w:val="000000" w:themeColor="text1"/>
          <w:kern w:val="0"/>
          <w:sz w:val="18"/>
          <w:szCs w:val="18"/>
          <w:lang w:val="en-GB"/>
          <w14:textFill>
            <w14:solidFill>
              <w14:schemeClr w14:val="tx1"/>
            </w14:solidFill>
          </w14:textFill>
        </w:rPr>
        <w:t>; D–F: frequency of days with extremely high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solar</w:t>
      </w:r>
      <w:r>
        <w:rPr>
          <w:rFonts w:ascii="Times New Roman" w:hAnsi="Times New Roman" w:eastAsia="宋体" w:cs="Times New Roman"/>
          <w:color w:val="000000" w:themeColor="text1"/>
          <w:kern w:val="0"/>
          <w:sz w:val="18"/>
          <w:szCs w:val="18"/>
          <w:lang w:val="en-GB"/>
          <w14:textFill>
            <w14:solidFill>
              <w14:schemeClr w14:val="tx1"/>
            </w14:solidFill>
          </w14:textFill>
        </w:rPr>
        <w:t>; G–I: frequency of days with extremely low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wind</w:t>
      </w:r>
      <w:r>
        <w:rPr>
          <w:rFonts w:ascii="Times New Roman" w:hAnsi="Times New Roman" w:eastAsia="宋体" w:cs="Times New Roman"/>
          <w:color w:val="000000" w:themeColor="text1"/>
          <w:kern w:val="0"/>
          <w:sz w:val="18"/>
          <w:szCs w:val="18"/>
          <w:lang w:val="en-GB"/>
          <w14:textFill>
            <w14:solidFill>
              <w14:schemeClr w14:val="tx1"/>
            </w14:solidFill>
          </w14:textFill>
        </w:rPr>
        <w:t>; J–L: frequency of days with extremely low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solar</w:t>
      </w:r>
      <w:r>
        <w:rPr>
          <w:rFonts w:ascii="Times New Roman" w:hAnsi="Times New Roman" w:eastAsia="宋体" w:cs="Times New Roman"/>
          <w:color w:val="000000" w:themeColor="text1"/>
          <w:kern w:val="0"/>
          <w:sz w:val="18"/>
          <w:szCs w:val="18"/>
          <w:lang w:val="en-GB"/>
          <w14:textFill>
            <w14:solidFill>
              <w14:schemeClr w14:val="tx1"/>
            </w14:solidFill>
          </w14:textFill>
        </w:rPr>
        <w:t xml:space="preserve">) </w:t>
      </w:r>
    </w:p>
    <w:p w14:paraId="172EFEFF">
      <w:pPr>
        <w:rPr>
          <w:rFonts w:ascii="Times New Roman" w:hAnsi="Times New Roman" w:eastAsia="宋体" w:cs="Times New Roman"/>
          <w:sz w:val="24"/>
          <w:szCs w:val="24"/>
        </w:rPr>
      </w:pPr>
    </w:p>
    <w:p w14:paraId="00F94AB7">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67960" cy="3515995"/>
            <wp:effectExtent l="0" t="0" r="2540" b="1905"/>
            <wp:docPr id="21" name="图片 21" descr="Fig_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_S11"/>
                    <pic:cNvPicPr>
                      <a:picLocks noChangeAspect="1"/>
                    </pic:cNvPicPr>
                  </pic:nvPicPr>
                  <pic:blipFill>
                    <a:blip r:embed="rId14"/>
                    <a:stretch>
                      <a:fillRect/>
                    </a:stretch>
                  </pic:blipFill>
                  <pic:spPr>
                    <a:xfrm>
                      <a:off x="0" y="0"/>
                      <a:ext cx="5267960" cy="3515995"/>
                    </a:xfrm>
                    <a:prstGeom prst="rect">
                      <a:avLst/>
                    </a:prstGeom>
                  </pic:spPr>
                </pic:pic>
              </a:graphicData>
            </a:graphic>
          </wp:inline>
        </w:drawing>
      </w:r>
    </w:p>
    <w:p w14:paraId="4AE8D5C0">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76B40C4B">
      <w:pPr>
        <w:pStyle w:val="12"/>
        <w:overflowPunct w:val="0"/>
        <w:spacing w:line="300" w:lineRule="auto"/>
        <w:jc w:val="both"/>
        <w:rPr>
          <w:rFonts w:ascii="Times New Roman" w:cs="Times New Roman"/>
          <w:spacing w:val="14"/>
          <w:w w:val="95"/>
          <w:sz w:val="18"/>
          <w:szCs w:val="18"/>
        </w:rPr>
      </w:pPr>
      <w:r>
        <w:rPr>
          <w:rFonts w:hint="default" w:ascii="Times New Roman" w:cs="Times New Roman"/>
          <w:sz w:val="18"/>
          <w:szCs w:val="18"/>
        </w:rPr>
        <w:t>图</w:t>
      </w:r>
      <w:r>
        <w:rPr>
          <w:rFonts w:ascii="Times New Roman" w:cs="Times New Roman"/>
          <w:sz w:val="18"/>
          <w:szCs w:val="18"/>
        </w:rPr>
        <w:t xml:space="preserve"> S11 </w:t>
      </w:r>
      <w:r>
        <w:rPr>
          <w:rFonts w:hint="default" w:ascii="Times New Roman" w:cs="Times New Roman"/>
          <w:sz w:val="18"/>
          <w:szCs w:val="18"/>
        </w:rPr>
        <w:t>阈值</w:t>
      </w:r>
      <w:r>
        <w:rPr>
          <w:rFonts w:ascii="Times New Roman" w:cs="Times New Roman"/>
          <w:sz w:val="18"/>
          <w:szCs w:val="18"/>
        </w:rPr>
        <w:t>5</w:t>
      </w:r>
      <w:r>
        <w:rPr>
          <w:rFonts w:ascii="Times New Roman" w:cs="Times New Roman"/>
          <w:color w:val="000000" w:themeColor="text1"/>
          <w:sz w:val="18"/>
          <w:szCs w:val="18"/>
          <w:vertAlign w:val="superscript"/>
          <w14:textFill>
            <w14:solidFill>
              <w14:schemeClr w14:val="tx1"/>
            </w14:solidFill>
          </w14:textFill>
        </w:rPr>
        <w:t>th</w:t>
      </w:r>
      <w:r>
        <w:rPr>
          <w:rFonts w:ascii="Times New Roman" w:cs="Times New Roman"/>
          <w:color w:val="000000" w:themeColor="text1"/>
          <w:sz w:val="18"/>
          <w:szCs w:val="18"/>
          <w14:textFill>
            <w14:solidFill>
              <w14:schemeClr w14:val="tx1"/>
            </w14:solidFill>
          </w14:textFill>
        </w:rPr>
        <w:t>/95</w:t>
      </w:r>
      <w:r>
        <w:rPr>
          <w:rFonts w:ascii="Times New Roman" w:cs="Times New Roman"/>
          <w:color w:val="000000" w:themeColor="text1"/>
          <w:sz w:val="18"/>
          <w:szCs w:val="18"/>
          <w:vertAlign w:val="superscript"/>
          <w14:textFill>
            <w14:solidFill>
              <w14:schemeClr w14:val="tx1"/>
            </w14:solidFill>
          </w14:textFill>
        </w:rPr>
        <w:t>th</w:t>
      </w:r>
      <w:r>
        <w:rPr>
          <w:rFonts w:hint="default" w:ascii="Times New Roman" w:cs="Times New Roman"/>
          <w:sz w:val="18"/>
          <w:szCs w:val="18"/>
        </w:rPr>
        <w:t>时未来不同排放情景下青藏高原极端发电事件的相对变化（</w:t>
      </w:r>
      <w:r>
        <w:rPr>
          <w:rFonts w:ascii="Times New Roman" w:cs="Times New Roman"/>
          <w:sz w:val="18"/>
          <w:szCs w:val="18"/>
        </w:rPr>
        <w:t>A</w:t>
      </w:r>
      <w:r>
        <w:rPr>
          <w:rFonts w:hint="default" w:ascii="Times New Roman" w:cs="Times New Roman"/>
          <w:sz w:val="18"/>
          <w:szCs w:val="18"/>
        </w:rPr>
        <w:t>–</w:t>
      </w:r>
      <w:r>
        <w:rPr>
          <w:rFonts w:ascii="Times New Roman" w:cs="Times New Roman"/>
          <w:sz w:val="18"/>
          <w:szCs w:val="18"/>
        </w:rPr>
        <w:t>C</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高发电潜力日频率；</w:t>
      </w:r>
      <w:r>
        <w:rPr>
          <w:rFonts w:ascii="Times New Roman" w:cs="Times New Roman"/>
          <w:sz w:val="18"/>
          <w:szCs w:val="18"/>
        </w:rPr>
        <w:t>D</w:t>
      </w:r>
      <w:r>
        <w:rPr>
          <w:rFonts w:hint="default" w:ascii="Times New Roman" w:cs="Times New Roman"/>
          <w:sz w:val="18"/>
          <w:szCs w:val="18"/>
        </w:rPr>
        <w:t>–</w:t>
      </w:r>
      <w:r>
        <w:rPr>
          <w:rFonts w:ascii="Times New Roman" w:cs="Times New Roman"/>
          <w:sz w:val="18"/>
          <w:szCs w:val="18"/>
        </w:rPr>
        <w:t>F</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高发电潜力日频率；</w:t>
      </w:r>
      <w:r>
        <w:rPr>
          <w:rFonts w:ascii="Times New Roman" w:cs="Times New Roman"/>
          <w:sz w:val="18"/>
          <w:szCs w:val="18"/>
        </w:rPr>
        <w:t>G</w:t>
      </w:r>
      <w:r>
        <w:rPr>
          <w:rFonts w:hint="default" w:ascii="Times New Roman" w:cs="Times New Roman"/>
          <w:sz w:val="18"/>
          <w:szCs w:val="18"/>
        </w:rPr>
        <w:t>–</w:t>
      </w:r>
      <w:r>
        <w:rPr>
          <w:rFonts w:ascii="Times New Roman" w:cs="Times New Roman"/>
          <w:sz w:val="18"/>
          <w:szCs w:val="18"/>
        </w:rPr>
        <w:t>I</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低发电潜力日频率；</w:t>
      </w:r>
      <w:r>
        <w:rPr>
          <w:rFonts w:ascii="Times New Roman" w:cs="Times New Roman"/>
          <w:sz w:val="18"/>
          <w:szCs w:val="18"/>
        </w:rPr>
        <w:t>J</w:t>
      </w:r>
      <w:r>
        <w:rPr>
          <w:rFonts w:hint="default" w:ascii="Times New Roman" w:cs="Times New Roman"/>
          <w:sz w:val="18"/>
          <w:szCs w:val="18"/>
        </w:rPr>
        <w:t>–</w:t>
      </w:r>
      <w:r>
        <w:rPr>
          <w:rFonts w:ascii="Times New Roman" w:cs="Times New Roman"/>
          <w:sz w:val="18"/>
          <w:szCs w:val="18"/>
        </w:rPr>
        <w:t>L</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低发电潜力日频率）。</w:t>
      </w:r>
    </w:p>
    <w:p w14:paraId="744893D4">
      <w:pPr>
        <w:widowControl/>
        <w:spacing w:line="300" w:lineRule="auto"/>
        <w:rPr>
          <w:rFonts w:ascii="Times New Roman" w:hAnsi="Times New Roman" w:eastAsia="宋体" w:cs="Times New Roman"/>
          <w:color w:val="000000" w:themeColor="text1"/>
          <w:kern w:val="0"/>
          <w:sz w:val="18"/>
          <w:szCs w:val="18"/>
          <w:lang w:val="en-GB"/>
          <w14:textFill>
            <w14:solidFill>
              <w14:schemeClr w14:val="tx1"/>
            </w14:solidFill>
          </w14:textFill>
        </w:rPr>
      </w:pPr>
      <w:r>
        <w:rPr>
          <w:rFonts w:ascii="Times New Roman" w:hAnsi="Times New Roman" w:eastAsia="宋体" w:cs="Times New Roman"/>
          <w:color w:val="000000" w:themeColor="text1"/>
          <w:kern w:val="0"/>
          <w:sz w:val="18"/>
          <w:szCs w:val="18"/>
          <w:lang w:val="en-GB"/>
          <w14:textFill>
            <w14:solidFill>
              <w14:schemeClr w14:val="tx1"/>
            </w14:solidFill>
          </w14:textFill>
        </w:rPr>
        <w:t>Fig</w:t>
      </w:r>
      <w:r>
        <w:rPr>
          <w:rFonts w:ascii="Times New Roman" w:hAnsi="Times New Roman" w:eastAsia="宋体" w:cs="Times New Roman"/>
          <w:color w:val="000000" w:themeColor="text1"/>
          <w:kern w:val="0"/>
          <w:sz w:val="18"/>
          <w:szCs w:val="18"/>
          <w14:textFill>
            <w14:solidFill>
              <w14:schemeClr w14:val="tx1"/>
            </w14:solidFill>
          </w14:textFill>
        </w:rPr>
        <w:t>.</w:t>
      </w:r>
      <w:r>
        <w:rPr>
          <w:rFonts w:ascii="Times New Roman" w:hAnsi="Times New Roman" w:eastAsia="宋体" w:cs="Times New Roman"/>
          <w:color w:val="000000" w:themeColor="text1"/>
          <w:kern w:val="0"/>
          <w:sz w:val="18"/>
          <w:szCs w:val="18"/>
          <w:lang w:val="en-GB"/>
          <w14:textFill>
            <w14:solidFill>
              <w14:schemeClr w14:val="tx1"/>
            </w14:solidFill>
          </w14:textFill>
        </w:rPr>
        <w:t xml:space="preserve"> S11 Relative changes in extreme power generation events over the Qinghai-Tibet Plateau under different future emission scenarios at the threshold of </w:t>
      </w:r>
      <w:r>
        <w:rPr>
          <w:rFonts w:ascii="Times New Roman" w:hAnsi="Times New Roman" w:eastAsia="宋体" w:cs="Times New Roman"/>
          <w:color w:val="000000" w:themeColor="text1"/>
          <w:kern w:val="0"/>
          <w:sz w:val="18"/>
          <w:szCs w:val="18"/>
          <w14:textFill>
            <w14:solidFill>
              <w14:schemeClr w14:val="tx1"/>
            </w14:solidFill>
          </w14:textFill>
        </w:rPr>
        <w:t>5</w:t>
      </w:r>
      <w:r>
        <w:rPr>
          <w:rFonts w:ascii="Times New Roman" w:hAnsi="Times New Roman" w:eastAsia="宋体" w:cs="Times New Roman"/>
          <w:color w:val="000000" w:themeColor="text1"/>
          <w:kern w:val="0"/>
          <w:sz w:val="18"/>
          <w:szCs w:val="18"/>
          <w:vertAlign w:val="superscript"/>
          <w:lang w:val="en-GB"/>
          <w14:textFill>
            <w14:solidFill>
              <w14:schemeClr w14:val="tx1"/>
            </w14:solidFill>
          </w14:textFill>
        </w:rPr>
        <w:t>th</w:t>
      </w:r>
      <w:r>
        <w:rPr>
          <w:rFonts w:ascii="Times New Roman" w:hAnsi="Times New Roman" w:eastAsia="宋体" w:cs="Times New Roman"/>
          <w:color w:val="000000" w:themeColor="text1"/>
          <w:kern w:val="0"/>
          <w:sz w:val="18"/>
          <w:szCs w:val="18"/>
          <w:lang w:val="en-GB"/>
          <w14:textFill>
            <w14:solidFill>
              <w14:schemeClr w14:val="tx1"/>
            </w14:solidFill>
          </w14:textFill>
        </w:rPr>
        <w:t>/</w:t>
      </w:r>
      <w:r>
        <w:rPr>
          <w:rFonts w:ascii="Times New Roman" w:hAnsi="Times New Roman" w:eastAsia="宋体" w:cs="Times New Roman"/>
          <w:color w:val="000000" w:themeColor="text1"/>
          <w:kern w:val="0"/>
          <w:sz w:val="18"/>
          <w:szCs w:val="18"/>
          <w14:textFill>
            <w14:solidFill>
              <w14:schemeClr w14:val="tx1"/>
            </w14:solidFill>
          </w14:textFill>
        </w:rPr>
        <w:t>95</w:t>
      </w:r>
      <w:r>
        <w:rPr>
          <w:rFonts w:ascii="Times New Roman" w:hAnsi="Times New Roman" w:eastAsia="宋体" w:cs="Times New Roman"/>
          <w:color w:val="000000" w:themeColor="text1"/>
          <w:kern w:val="0"/>
          <w:sz w:val="18"/>
          <w:szCs w:val="18"/>
          <w:vertAlign w:val="superscript"/>
          <w:lang w:val="en-GB"/>
          <w14:textFill>
            <w14:solidFill>
              <w14:schemeClr w14:val="tx1"/>
            </w14:solidFill>
          </w14:textFill>
        </w:rPr>
        <w:t>th</w:t>
      </w:r>
      <w:r>
        <w:rPr>
          <w:rFonts w:ascii="Times New Roman" w:hAnsi="Times New Roman" w:eastAsia="宋体" w:cs="Times New Roman"/>
          <w:color w:val="000000" w:themeColor="text1"/>
          <w:kern w:val="0"/>
          <w:sz w:val="18"/>
          <w:szCs w:val="18"/>
          <w:lang w:val="en-GB"/>
          <w14:textFill>
            <w14:solidFill>
              <w14:schemeClr w14:val="tx1"/>
            </w14:solidFill>
          </w14:textFill>
        </w:rPr>
        <w:t>.</w:t>
      </w:r>
      <w:r>
        <w:rPr>
          <w:rFonts w:ascii="Times New Roman" w:hAnsi="Times New Roman" w:cs="Times New Roman"/>
          <w:sz w:val="18"/>
          <w:szCs w:val="18"/>
        </w:rPr>
        <w:t xml:space="preserve"> </w:t>
      </w:r>
      <w:r>
        <w:rPr>
          <w:rFonts w:ascii="Times New Roman" w:hAnsi="Times New Roman" w:eastAsia="宋体" w:cs="Times New Roman"/>
          <w:color w:val="000000" w:themeColor="text1"/>
          <w:kern w:val="0"/>
          <w:sz w:val="18"/>
          <w:szCs w:val="18"/>
          <w:lang w:val="en-GB"/>
          <w14:textFill>
            <w14:solidFill>
              <w14:schemeClr w14:val="tx1"/>
            </w14:solidFill>
          </w14:textFill>
        </w:rPr>
        <w:t>(A–C: frequency of days with extremely high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wind</w:t>
      </w:r>
      <w:r>
        <w:rPr>
          <w:rFonts w:ascii="Times New Roman" w:hAnsi="Times New Roman" w:eastAsia="宋体" w:cs="Times New Roman"/>
          <w:color w:val="000000" w:themeColor="text1"/>
          <w:kern w:val="0"/>
          <w:sz w:val="18"/>
          <w:szCs w:val="18"/>
          <w:lang w:val="en-GB"/>
          <w14:textFill>
            <w14:solidFill>
              <w14:schemeClr w14:val="tx1"/>
            </w14:solidFill>
          </w14:textFill>
        </w:rPr>
        <w:t>; D–F: frequency of days with extremely high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solar</w:t>
      </w:r>
      <w:r>
        <w:rPr>
          <w:rFonts w:ascii="Times New Roman" w:hAnsi="Times New Roman" w:eastAsia="宋体" w:cs="Times New Roman"/>
          <w:color w:val="000000" w:themeColor="text1"/>
          <w:kern w:val="0"/>
          <w:sz w:val="18"/>
          <w:szCs w:val="18"/>
          <w:lang w:val="en-GB"/>
          <w14:textFill>
            <w14:solidFill>
              <w14:schemeClr w14:val="tx1"/>
            </w14:solidFill>
          </w14:textFill>
        </w:rPr>
        <w:t>; G–I: frequency of days with extremely low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wind</w:t>
      </w:r>
      <w:r>
        <w:rPr>
          <w:rFonts w:ascii="Times New Roman" w:hAnsi="Times New Roman" w:eastAsia="宋体" w:cs="Times New Roman"/>
          <w:color w:val="000000" w:themeColor="text1"/>
          <w:kern w:val="0"/>
          <w:sz w:val="18"/>
          <w:szCs w:val="18"/>
          <w:lang w:val="en-GB"/>
          <w14:textFill>
            <w14:solidFill>
              <w14:schemeClr w14:val="tx1"/>
            </w14:solidFill>
          </w14:textFill>
        </w:rPr>
        <w:t>; J–L: frequency of days with extremely low P</w:t>
      </w:r>
      <w:r>
        <w:rPr>
          <w:rFonts w:ascii="Times New Roman" w:hAnsi="Times New Roman" w:eastAsia="宋体" w:cs="Times New Roman"/>
          <w:color w:val="000000" w:themeColor="text1"/>
          <w:kern w:val="0"/>
          <w:sz w:val="18"/>
          <w:szCs w:val="18"/>
          <w:vertAlign w:val="subscript"/>
          <w:lang w:val="en-GB"/>
          <w14:textFill>
            <w14:solidFill>
              <w14:schemeClr w14:val="tx1"/>
            </w14:solidFill>
          </w14:textFill>
        </w:rPr>
        <w:t>solar</w:t>
      </w:r>
      <w:r>
        <w:rPr>
          <w:rFonts w:ascii="Times New Roman" w:hAnsi="Times New Roman" w:eastAsia="宋体" w:cs="Times New Roman"/>
          <w:color w:val="000000" w:themeColor="text1"/>
          <w:kern w:val="0"/>
          <w:sz w:val="18"/>
          <w:szCs w:val="18"/>
          <w:lang w:val="en-GB"/>
          <w14:textFill>
            <w14:solidFill>
              <w14:schemeClr w14:val="tx1"/>
            </w14:solidFill>
          </w14:textFill>
        </w:rPr>
        <w:t>)</w:t>
      </w:r>
    </w:p>
    <w:p w14:paraId="1F5C17B1">
      <w:pPr>
        <w:rPr>
          <w:rFonts w:ascii="Times New Roman" w:hAnsi="Times New Roman" w:eastAsia="宋体" w:cs="Times New Roman"/>
          <w:sz w:val="24"/>
          <w:szCs w:val="24"/>
        </w:rPr>
      </w:pPr>
    </w:p>
    <w:p w14:paraId="2B059587">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104626AD">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71135" cy="3052445"/>
            <wp:effectExtent l="0" t="0" r="12065" b="8255"/>
            <wp:docPr id="22" name="图片 22" descr="Fig_S12_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ig_S12_黑白"/>
                    <pic:cNvPicPr>
                      <a:picLocks noChangeAspect="1"/>
                    </pic:cNvPicPr>
                  </pic:nvPicPr>
                  <pic:blipFill>
                    <a:blip r:embed="rId15"/>
                    <a:stretch>
                      <a:fillRect/>
                    </a:stretch>
                  </pic:blipFill>
                  <pic:spPr>
                    <a:xfrm>
                      <a:off x="0" y="0"/>
                      <a:ext cx="5271135" cy="3052445"/>
                    </a:xfrm>
                    <a:prstGeom prst="rect">
                      <a:avLst/>
                    </a:prstGeom>
                  </pic:spPr>
                </pic:pic>
              </a:graphicData>
            </a:graphic>
          </wp:inline>
        </w:drawing>
      </w:r>
    </w:p>
    <w:p w14:paraId="6E466B06">
      <w:pPr>
        <w:pStyle w:val="12"/>
        <w:overflowPunct w:val="0"/>
        <w:spacing w:line="300" w:lineRule="auto"/>
        <w:jc w:val="both"/>
        <w:rPr>
          <w:rFonts w:ascii="Times New Roman" w:cs="Times New Roman"/>
          <w:sz w:val="18"/>
          <w:szCs w:val="18"/>
        </w:rPr>
      </w:pPr>
      <w:r>
        <w:rPr>
          <w:rFonts w:hint="default" w:ascii="Times New Roman" w:cs="Times New Roman"/>
          <w:sz w:val="18"/>
          <w:szCs w:val="18"/>
        </w:rPr>
        <w:t>图</w:t>
      </w:r>
      <w:r>
        <w:rPr>
          <w:rFonts w:ascii="Times New Roman" w:cs="Times New Roman"/>
          <w:sz w:val="18"/>
          <w:szCs w:val="18"/>
        </w:rPr>
        <w:t xml:space="preserve"> S12 </w:t>
      </w:r>
      <w:r>
        <w:rPr>
          <w:rFonts w:hint="default" w:ascii="Times New Roman" w:cs="Times New Roman"/>
          <w:sz w:val="18"/>
          <w:szCs w:val="18"/>
        </w:rPr>
        <w:t>阈值</w:t>
      </w:r>
      <w:r>
        <w:rPr>
          <w:rFonts w:ascii="Times New Roman" w:cs="Times New Roman"/>
          <w:sz w:val="18"/>
          <w:szCs w:val="18"/>
        </w:rPr>
        <w:t>15</w:t>
      </w:r>
      <w:r>
        <w:rPr>
          <w:rFonts w:ascii="Times New Roman" w:cs="Times New Roman"/>
          <w:color w:val="000000" w:themeColor="text1"/>
          <w:sz w:val="18"/>
          <w:szCs w:val="18"/>
          <w:vertAlign w:val="superscript"/>
          <w14:textFill>
            <w14:solidFill>
              <w14:schemeClr w14:val="tx1"/>
            </w14:solidFill>
          </w14:textFill>
        </w:rPr>
        <w:t>th</w:t>
      </w:r>
      <w:r>
        <w:rPr>
          <w:rFonts w:ascii="Times New Roman" w:cs="Times New Roman"/>
          <w:color w:val="000000" w:themeColor="text1"/>
          <w:sz w:val="18"/>
          <w:szCs w:val="18"/>
          <w14:textFill>
            <w14:solidFill>
              <w14:schemeClr w14:val="tx1"/>
            </w14:solidFill>
          </w14:textFill>
        </w:rPr>
        <w:t>/85</w:t>
      </w:r>
      <w:r>
        <w:rPr>
          <w:rFonts w:ascii="Times New Roman" w:cs="Times New Roman"/>
          <w:color w:val="000000" w:themeColor="text1"/>
          <w:sz w:val="18"/>
          <w:szCs w:val="18"/>
          <w:vertAlign w:val="superscript"/>
          <w14:textFill>
            <w14:solidFill>
              <w14:schemeClr w14:val="tx1"/>
            </w14:solidFill>
          </w14:textFill>
        </w:rPr>
        <w:t>th</w:t>
      </w:r>
      <w:r>
        <w:rPr>
          <w:rFonts w:hint="default" w:ascii="Times New Roman" w:cs="Times New Roman"/>
          <w:sz w:val="18"/>
          <w:szCs w:val="18"/>
        </w:rPr>
        <w:t>时未来不同排放情景下青藏高原风能与太阳能发电潜力日际急升与骤降事件频率的相对变化。误差棒表示基于多气候模式（</w:t>
      </w:r>
      <w:r>
        <w:rPr>
          <w:rFonts w:ascii="Times New Roman" w:cs="Times New Roman"/>
          <w:sz w:val="18"/>
          <w:szCs w:val="18"/>
        </w:rPr>
        <w:t>NEX-GDDP-CMIP6</w:t>
      </w:r>
      <w:r>
        <w:rPr>
          <w:rFonts w:hint="default" w:ascii="Times New Roman" w:cs="Times New Roman"/>
          <w:sz w:val="18"/>
          <w:szCs w:val="18"/>
        </w:rPr>
        <w:t>）集合模拟结果的标准差，星号（</w:t>
      </w:r>
      <w:r>
        <w:rPr>
          <w:rFonts w:ascii="Times New Roman" w:cs="Times New Roman"/>
          <w:sz w:val="18"/>
          <w:szCs w:val="18"/>
        </w:rPr>
        <w:t>*</w:t>
      </w:r>
      <w:r>
        <w:rPr>
          <w:rFonts w:hint="default" w:ascii="Times New Roman" w:cs="Times New Roman"/>
          <w:sz w:val="18"/>
          <w:szCs w:val="18"/>
        </w:rPr>
        <w:t>）表示与历史时期相比每个变量相对变化的统计显著性（</w:t>
      </w:r>
      <w:r>
        <w:rPr>
          <w:rFonts w:ascii="Times New Roman" w:cs="Times New Roman"/>
          <w:i/>
          <w:iCs/>
          <w:sz w:val="18"/>
          <w:szCs w:val="18"/>
        </w:rPr>
        <w:t>P</w:t>
      </w:r>
      <w:r>
        <w:rPr>
          <w:rFonts w:ascii="Times New Roman" w:cs="Times New Roman"/>
          <w:sz w:val="18"/>
          <w:szCs w:val="18"/>
        </w:rPr>
        <w:t xml:space="preserve"> &lt; 0.05</w:t>
      </w:r>
      <w:r>
        <w:rPr>
          <w:rFonts w:hint="default" w:ascii="Times New Roman" w:cs="Times New Roman"/>
          <w:sz w:val="18"/>
          <w:szCs w:val="18"/>
        </w:rPr>
        <w:t>）。</w:t>
      </w:r>
    </w:p>
    <w:p w14:paraId="1E84BD84">
      <w:pPr>
        <w:pStyle w:val="12"/>
        <w:overflowPunct w:val="0"/>
        <w:spacing w:line="300" w:lineRule="auto"/>
        <w:jc w:val="both"/>
        <w:rPr>
          <w:rFonts w:ascii="Times New Roman" w:cs="Times New Roman"/>
          <w:sz w:val="18"/>
          <w:szCs w:val="18"/>
        </w:rPr>
      </w:pPr>
      <w:r>
        <w:rPr>
          <w:rFonts w:ascii="Times New Roman" w:cs="Times New Roman"/>
          <w:sz w:val="18"/>
          <w:szCs w:val="18"/>
        </w:rPr>
        <w:t xml:space="preserve">Fig. S12 Relative changes in the day-to-day fluctuations of wind and solar power generation potential over the Qinghai-Tibet Plateau under different emission scenarios </w:t>
      </w:r>
      <w:r>
        <w:rPr>
          <w:rFonts w:ascii="Times New Roman" w:cs="Times New Roman"/>
          <w:color w:val="000000" w:themeColor="text1"/>
          <w:sz w:val="18"/>
          <w:szCs w:val="18"/>
          <w:lang w:val="en-GB"/>
          <w14:textFill>
            <w14:solidFill>
              <w14:schemeClr w14:val="tx1"/>
            </w14:solidFill>
          </w14:textFill>
        </w:rPr>
        <w:t xml:space="preserve">at the threshold of </w:t>
      </w:r>
      <w:r>
        <w:rPr>
          <w:rFonts w:ascii="Times New Roman" w:cs="Times New Roman"/>
          <w:color w:val="000000" w:themeColor="text1"/>
          <w:sz w:val="18"/>
          <w:szCs w:val="18"/>
          <w14:textFill>
            <w14:solidFill>
              <w14:schemeClr w14:val="tx1"/>
            </w14:solidFill>
          </w14:textFill>
        </w:rPr>
        <w:t>15</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color w:val="000000" w:themeColor="text1"/>
          <w:sz w:val="18"/>
          <w:szCs w:val="18"/>
          <w:lang w:val="en-GB"/>
          <w14:textFill>
            <w14:solidFill>
              <w14:schemeClr w14:val="tx1"/>
            </w14:solidFill>
          </w14:textFill>
        </w:rPr>
        <w:t>/</w:t>
      </w:r>
      <w:r>
        <w:rPr>
          <w:rFonts w:ascii="Times New Roman" w:cs="Times New Roman"/>
          <w:color w:val="000000" w:themeColor="text1"/>
          <w:sz w:val="18"/>
          <w:szCs w:val="18"/>
          <w14:textFill>
            <w14:solidFill>
              <w14:schemeClr w14:val="tx1"/>
            </w14:solidFill>
          </w14:textFill>
        </w:rPr>
        <w:t>85</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sz w:val="18"/>
          <w:szCs w:val="18"/>
        </w:rPr>
        <w:t>. Errorbars represent the standard error in ensemble estimates based on climate forcings from different NEX-GDDP-CMIP6 models. Asterisks (*) indicate statistical significance of changes in each variable (</w:t>
      </w:r>
      <w:r>
        <w:rPr>
          <w:rFonts w:ascii="Times New Roman" w:cs="Times New Roman"/>
          <w:i/>
          <w:iCs/>
          <w:sz w:val="18"/>
          <w:szCs w:val="18"/>
        </w:rPr>
        <w:t>P</w:t>
      </w:r>
      <w:r>
        <w:rPr>
          <w:rFonts w:ascii="Times New Roman" w:cs="Times New Roman"/>
          <w:sz w:val="18"/>
          <w:szCs w:val="18"/>
        </w:rPr>
        <w:t xml:space="preserve"> &lt; 0.05).</w:t>
      </w:r>
    </w:p>
    <w:p w14:paraId="65674000">
      <w:pPr>
        <w:widowControl/>
        <w:jc w:val="left"/>
        <w:rPr>
          <w:rFonts w:ascii="Times New Roman" w:hAnsi="Times New Roman" w:eastAsia="宋体" w:cs="Times New Roman"/>
          <w:sz w:val="18"/>
          <w:szCs w:val="18"/>
        </w:rPr>
      </w:pPr>
      <w:r>
        <w:rPr>
          <w:rFonts w:ascii="Times New Roman" w:hAnsi="Times New Roman" w:eastAsia="宋体" w:cs="Times New Roman"/>
          <w:sz w:val="18"/>
          <w:szCs w:val="18"/>
        </w:rPr>
        <w:br w:type="page"/>
      </w:r>
    </w:p>
    <w:p w14:paraId="450F320A">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73675" cy="3013075"/>
            <wp:effectExtent l="0" t="0" r="9525" b="9525"/>
            <wp:docPr id="23" name="图片 23" descr="Fig_S13_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_S13_黑白"/>
                    <pic:cNvPicPr>
                      <a:picLocks noChangeAspect="1"/>
                    </pic:cNvPicPr>
                  </pic:nvPicPr>
                  <pic:blipFill>
                    <a:blip r:embed="rId16"/>
                    <a:stretch>
                      <a:fillRect/>
                    </a:stretch>
                  </pic:blipFill>
                  <pic:spPr>
                    <a:xfrm>
                      <a:off x="0" y="0"/>
                      <a:ext cx="5273675" cy="3013075"/>
                    </a:xfrm>
                    <a:prstGeom prst="rect">
                      <a:avLst/>
                    </a:prstGeom>
                  </pic:spPr>
                </pic:pic>
              </a:graphicData>
            </a:graphic>
          </wp:inline>
        </w:drawing>
      </w:r>
      <w:bookmarkStart w:id="13" w:name="_GoBack"/>
      <w:bookmarkEnd w:id="13"/>
    </w:p>
    <w:p w14:paraId="72FF9501">
      <w:pPr>
        <w:pStyle w:val="12"/>
        <w:overflowPunct w:val="0"/>
        <w:spacing w:line="300" w:lineRule="auto"/>
        <w:jc w:val="both"/>
        <w:rPr>
          <w:rFonts w:ascii="Times New Roman" w:cs="Times New Roman"/>
          <w:sz w:val="18"/>
          <w:szCs w:val="18"/>
        </w:rPr>
      </w:pPr>
      <w:r>
        <w:rPr>
          <w:rFonts w:hint="default" w:ascii="Times New Roman" w:cs="Times New Roman"/>
          <w:sz w:val="18"/>
          <w:szCs w:val="18"/>
        </w:rPr>
        <w:t>图</w:t>
      </w:r>
      <w:r>
        <w:rPr>
          <w:rFonts w:ascii="Times New Roman" w:cs="Times New Roman"/>
          <w:sz w:val="18"/>
          <w:szCs w:val="18"/>
        </w:rPr>
        <w:t xml:space="preserve"> S13 </w:t>
      </w:r>
      <w:r>
        <w:rPr>
          <w:rFonts w:hint="default" w:ascii="Times New Roman" w:cs="Times New Roman"/>
          <w:sz w:val="18"/>
          <w:szCs w:val="18"/>
        </w:rPr>
        <w:t>阈值</w:t>
      </w:r>
      <w:r>
        <w:rPr>
          <w:rFonts w:ascii="Times New Roman" w:cs="Times New Roman"/>
          <w:sz w:val="18"/>
          <w:szCs w:val="18"/>
        </w:rPr>
        <w:t>10</w:t>
      </w:r>
      <w:r>
        <w:rPr>
          <w:rFonts w:ascii="Times New Roman" w:cs="Times New Roman"/>
          <w:color w:val="000000" w:themeColor="text1"/>
          <w:sz w:val="18"/>
          <w:szCs w:val="18"/>
          <w:vertAlign w:val="superscript"/>
          <w14:textFill>
            <w14:solidFill>
              <w14:schemeClr w14:val="tx1"/>
            </w14:solidFill>
          </w14:textFill>
        </w:rPr>
        <w:t>th</w:t>
      </w:r>
      <w:r>
        <w:rPr>
          <w:rFonts w:ascii="Times New Roman" w:cs="Times New Roman"/>
          <w:color w:val="000000" w:themeColor="text1"/>
          <w:sz w:val="18"/>
          <w:szCs w:val="18"/>
          <w14:textFill>
            <w14:solidFill>
              <w14:schemeClr w14:val="tx1"/>
            </w14:solidFill>
          </w14:textFill>
        </w:rPr>
        <w:t>/90</w:t>
      </w:r>
      <w:r>
        <w:rPr>
          <w:rFonts w:ascii="Times New Roman" w:cs="Times New Roman"/>
          <w:color w:val="000000" w:themeColor="text1"/>
          <w:sz w:val="18"/>
          <w:szCs w:val="18"/>
          <w:vertAlign w:val="superscript"/>
          <w14:textFill>
            <w14:solidFill>
              <w14:schemeClr w14:val="tx1"/>
            </w14:solidFill>
          </w14:textFill>
        </w:rPr>
        <w:t>th</w:t>
      </w:r>
      <w:r>
        <w:rPr>
          <w:rFonts w:hint="default" w:ascii="Times New Roman" w:cs="Times New Roman"/>
          <w:sz w:val="18"/>
          <w:szCs w:val="18"/>
        </w:rPr>
        <w:t>时未来不同排放情景下青藏高原风能与太阳能发电潜力日际急升与骤降事件频率的相对变化。误差棒表示基于多气候模式（</w:t>
      </w:r>
      <w:r>
        <w:rPr>
          <w:rFonts w:ascii="Times New Roman" w:cs="Times New Roman"/>
          <w:sz w:val="18"/>
          <w:szCs w:val="18"/>
        </w:rPr>
        <w:t>NEX-GDDP-CMIP6</w:t>
      </w:r>
      <w:r>
        <w:rPr>
          <w:rFonts w:hint="default" w:ascii="Times New Roman" w:cs="Times New Roman"/>
          <w:sz w:val="18"/>
          <w:szCs w:val="18"/>
        </w:rPr>
        <w:t>）集合模拟结果的标准差，星号（</w:t>
      </w:r>
      <w:r>
        <w:rPr>
          <w:rFonts w:ascii="Times New Roman" w:cs="Times New Roman"/>
          <w:sz w:val="18"/>
          <w:szCs w:val="18"/>
        </w:rPr>
        <w:t>*</w:t>
      </w:r>
      <w:r>
        <w:rPr>
          <w:rFonts w:hint="default" w:ascii="Times New Roman" w:cs="Times New Roman"/>
          <w:sz w:val="18"/>
          <w:szCs w:val="18"/>
        </w:rPr>
        <w:t>）表示与历史时期相比每个变量相对变化的统计显著性（</w:t>
      </w:r>
      <w:r>
        <w:rPr>
          <w:rFonts w:ascii="Times New Roman" w:cs="Times New Roman"/>
          <w:i/>
          <w:iCs/>
          <w:sz w:val="18"/>
          <w:szCs w:val="18"/>
        </w:rPr>
        <w:t>P</w:t>
      </w:r>
      <w:r>
        <w:rPr>
          <w:rFonts w:ascii="Times New Roman" w:cs="Times New Roman"/>
          <w:sz w:val="18"/>
          <w:szCs w:val="18"/>
        </w:rPr>
        <w:t xml:space="preserve"> &lt; 0.05</w:t>
      </w:r>
      <w:r>
        <w:rPr>
          <w:rFonts w:hint="default" w:ascii="Times New Roman" w:cs="Times New Roman"/>
          <w:sz w:val="18"/>
          <w:szCs w:val="18"/>
        </w:rPr>
        <w:t>）。</w:t>
      </w:r>
    </w:p>
    <w:p w14:paraId="52042C5E">
      <w:pPr>
        <w:pStyle w:val="12"/>
        <w:overflowPunct w:val="0"/>
        <w:spacing w:line="300" w:lineRule="auto"/>
        <w:jc w:val="both"/>
        <w:rPr>
          <w:rFonts w:ascii="Times New Roman" w:cs="Times New Roman"/>
          <w:sz w:val="18"/>
          <w:szCs w:val="18"/>
        </w:rPr>
      </w:pPr>
      <w:r>
        <w:rPr>
          <w:rFonts w:ascii="Times New Roman" w:cs="Times New Roman"/>
          <w:sz w:val="18"/>
          <w:szCs w:val="18"/>
        </w:rPr>
        <w:t xml:space="preserve">Fig. S13 Relative changes in the day-to-day fluctuations of wind and solar power generation potential over the Qinghai-Tibet Plateau under different emission scenarios </w:t>
      </w:r>
      <w:r>
        <w:rPr>
          <w:rFonts w:ascii="Times New Roman" w:cs="Times New Roman"/>
          <w:color w:val="000000" w:themeColor="text1"/>
          <w:sz w:val="18"/>
          <w:szCs w:val="18"/>
          <w:lang w:val="en-GB"/>
          <w14:textFill>
            <w14:solidFill>
              <w14:schemeClr w14:val="tx1"/>
            </w14:solidFill>
          </w14:textFill>
        </w:rPr>
        <w:t xml:space="preserve">at the threshold of </w:t>
      </w:r>
      <w:r>
        <w:rPr>
          <w:rFonts w:ascii="Times New Roman" w:cs="Times New Roman"/>
          <w:color w:val="000000" w:themeColor="text1"/>
          <w:sz w:val="18"/>
          <w:szCs w:val="18"/>
          <w14:textFill>
            <w14:solidFill>
              <w14:schemeClr w14:val="tx1"/>
            </w14:solidFill>
          </w14:textFill>
        </w:rPr>
        <w:t>10</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color w:val="000000" w:themeColor="text1"/>
          <w:sz w:val="18"/>
          <w:szCs w:val="18"/>
          <w:lang w:val="en-GB"/>
          <w14:textFill>
            <w14:solidFill>
              <w14:schemeClr w14:val="tx1"/>
            </w14:solidFill>
          </w14:textFill>
        </w:rPr>
        <w:t>/</w:t>
      </w:r>
      <w:r>
        <w:rPr>
          <w:rFonts w:ascii="Times New Roman" w:cs="Times New Roman"/>
          <w:color w:val="000000" w:themeColor="text1"/>
          <w:sz w:val="18"/>
          <w:szCs w:val="18"/>
          <w14:textFill>
            <w14:solidFill>
              <w14:schemeClr w14:val="tx1"/>
            </w14:solidFill>
          </w14:textFill>
        </w:rPr>
        <w:t>90</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sz w:val="18"/>
          <w:szCs w:val="18"/>
        </w:rPr>
        <w:t>. Errorbars represent the standard error in ensemble estimates based on climate forcings from different NEX-GDDP-CMIP6 models. Asterisks (*) indicate statistical significance of changes in each variable (</w:t>
      </w:r>
      <w:r>
        <w:rPr>
          <w:rFonts w:ascii="Times New Roman" w:cs="Times New Roman"/>
          <w:i/>
          <w:iCs/>
          <w:sz w:val="18"/>
          <w:szCs w:val="18"/>
        </w:rPr>
        <w:t>P</w:t>
      </w:r>
      <w:r>
        <w:rPr>
          <w:rFonts w:ascii="Times New Roman" w:cs="Times New Roman"/>
          <w:sz w:val="18"/>
          <w:szCs w:val="18"/>
        </w:rPr>
        <w:t xml:space="preserve"> &lt; 0.05).</w:t>
      </w:r>
    </w:p>
    <w:p w14:paraId="0526E64C">
      <w:pPr>
        <w:rPr>
          <w:rFonts w:ascii="Times New Roman" w:hAnsi="Times New Roman" w:eastAsia="宋体" w:cs="Times New Roman"/>
          <w:sz w:val="24"/>
          <w:szCs w:val="24"/>
        </w:rPr>
      </w:pPr>
    </w:p>
    <w:p w14:paraId="405DA469">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63792FD3">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69865" cy="2998470"/>
            <wp:effectExtent l="0" t="0" r="635" b="11430"/>
            <wp:docPr id="24" name="图片 24" descr="Fig_S14_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_S14_黑白"/>
                    <pic:cNvPicPr>
                      <a:picLocks noChangeAspect="1"/>
                    </pic:cNvPicPr>
                  </pic:nvPicPr>
                  <pic:blipFill>
                    <a:blip r:embed="rId17"/>
                    <a:stretch>
                      <a:fillRect/>
                    </a:stretch>
                  </pic:blipFill>
                  <pic:spPr>
                    <a:xfrm>
                      <a:off x="0" y="0"/>
                      <a:ext cx="5269865" cy="2998470"/>
                    </a:xfrm>
                    <a:prstGeom prst="rect">
                      <a:avLst/>
                    </a:prstGeom>
                  </pic:spPr>
                </pic:pic>
              </a:graphicData>
            </a:graphic>
          </wp:inline>
        </w:drawing>
      </w:r>
    </w:p>
    <w:p w14:paraId="3B2CB022">
      <w:pPr>
        <w:pStyle w:val="12"/>
        <w:overflowPunct w:val="0"/>
        <w:spacing w:line="300" w:lineRule="auto"/>
        <w:jc w:val="both"/>
        <w:rPr>
          <w:rFonts w:ascii="Times New Roman" w:cs="Times New Roman"/>
          <w:sz w:val="18"/>
          <w:szCs w:val="18"/>
        </w:rPr>
      </w:pPr>
      <w:r>
        <w:rPr>
          <w:rFonts w:hint="default" w:ascii="Times New Roman" w:cs="Times New Roman"/>
          <w:sz w:val="18"/>
          <w:szCs w:val="18"/>
        </w:rPr>
        <w:t>图</w:t>
      </w:r>
      <w:r>
        <w:rPr>
          <w:rFonts w:ascii="Times New Roman" w:cs="Times New Roman"/>
          <w:sz w:val="18"/>
          <w:szCs w:val="18"/>
        </w:rPr>
        <w:t xml:space="preserve"> S14 </w:t>
      </w:r>
      <w:r>
        <w:rPr>
          <w:rFonts w:hint="default" w:ascii="Times New Roman" w:cs="Times New Roman"/>
          <w:sz w:val="18"/>
          <w:szCs w:val="18"/>
        </w:rPr>
        <w:t>阈值</w:t>
      </w:r>
      <w:r>
        <w:rPr>
          <w:rFonts w:ascii="Times New Roman" w:cs="Times New Roman"/>
          <w:sz w:val="18"/>
          <w:szCs w:val="18"/>
        </w:rPr>
        <w:t>5</w:t>
      </w:r>
      <w:r>
        <w:rPr>
          <w:rFonts w:ascii="Times New Roman" w:cs="Times New Roman"/>
          <w:color w:val="000000" w:themeColor="text1"/>
          <w:sz w:val="18"/>
          <w:szCs w:val="18"/>
          <w:vertAlign w:val="superscript"/>
          <w14:textFill>
            <w14:solidFill>
              <w14:schemeClr w14:val="tx1"/>
            </w14:solidFill>
          </w14:textFill>
        </w:rPr>
        <w:t>th</w:t>
      </w:r>
      <w:r>
        <w:rPr>
          <w:rFonts w:ascii="Times New Roman" w:cs="Times New Roman"/>
          <w:color w:val="000000" w:themeColor="text1"/>
          <w:sz w:val="18"/>
          <w:szCs w:val="18"/>
          <w14:textFill>
            <w14:solidFill>
              <w14:schemeClr w14:val="tx1"/>
            </w14:solidFill>
          </w14:textFill>
        </w:rPr>
        <w:t>/95</w:t>
      </w:r>
      <w:r>
        <w:rPr>
          <w:rFonts w:ascii="Times New Roman" w:cs="Times New Roman"/>
          <w:color w:val="000000" w:themeColor="text1"/>
          <w:sz w:val="18"/>
          <w:szCs w:val="18"/>
          <w:vertAlign w:val="superscript"/>
          <w14:textFill>
            <w14:solidFill>
              <w14:schemeClr w14:val="tx1"/>
            </w14:solidFill>
          </w14:textFill>
        </w:rPr>
        <w:t>th</w:t>
      </w:r>
      <w:r>
        <w:rPr>
          <w:rFonts w:hint="default" w:ascii="Times New Roman" w:cs="Times New Roman"/>
          <w:sz w:val="18"/>
          <w:szCs w:val="18"/>
        </w:rPr>
        <w:t>时未来不同排放情景下青藏高原风能与太阳能发电潜力日际急升与骤降事件频率的相对变化。误差棒表示基于多气候模式（</w:t>
      </w:r>
      <w:r>
        <w:rPr>
          <w:rFonts w:ascii="Times New Roman" w:cs="Times New Roman"/>
          <w:sz w:val="18"/>
          <w:szCs w:val="18"/>
        </w:rPr>
        <w:t>NEX-GDDP-CMIP6</w:t>
      </w:r>
      <w:r>
        <w:rPr>
          <w:rFonts w:hint="default" w:ascii="Times New Roman" w:cs="Times New Roman"/>
          <w:sz w:val="18"/>
          <w:szCs w:val="18"/>
        </w:rPr>
        <w:t>）集合模拟结果的标准差，星号（</w:t>
      </w:r>
      <w:r>
        <w:rPr>
          <w:rFonts w:ascii="Times New Roman" w:cs="Times New Roman"/>
          <w:sz w:val="18"/>
          <w:szCs w:val="18"/>
        </w:rPr>
        <w:t>*</w:t>
      </w:r>
      <w:r>
        <w:rPr>
          <w:rFonts w:hint="default" w:ascii="Times New Roman" w:cs="Times New Roman"/>
          <w:sz w:val="18"/>
          <w:szCs w:val="18"/>
        </w:rPr>
        <w:t>）表示与历史时期相比每个变量相对变化的统计显著性（</w:t>
      </w:r>
      <w:r>
        <w:rPr>
          <w:rFonts w:ascii="Times New Roman" w:cs="Times New Roman"/>
          <w:i/>
          <w:iCs/>
          <w:sz w:val="18"/>
          <w:szCs w:val="18"/>
        </w:rPr>
        <w:t>P</w:t>
      </w:r>
      <w:r>
        <w:rPr>
          <w:rFonts w:ascii="Times New Roman" w:cs="Times New Roman"/>
          <w:sz w:val="18"/>
          <w:szCs w:val="18"/>
        </w:rPr>
        <w:t xml:space="preserve"> &lt; 0.05</w:t>
      </w:r>
      <w:r>
        <w:rPr>
          <w:rFonts w:hint="default" w:ascii="Times New Roman" w:cs="Times New Roman"/>
          <w:sz w:val="18"/>
          <w:szCs w:val="18"/>
        </w:rPr>
        <w:t>）。</w:t>
      </w:r>
    </w:p>
    <w:p w14:paraId="3C6DD335">
      <w:pPr>
        <w:pStyle w:val="12"/>
        <w:overflowPunct w:val="0"/>
        <w:spacing w:line="300" w:lineRule="auto"/>
        <w:jc w:val="both"/>
        <w:rPr>
          <w:rFonts w:ascii="Times New Roman" w:cs="Times New Roman"/>
          <w:sz w:val="18"/>
          <w:szCs w:val="18"/>
        </w:rPr>
      </w:pPr>
      <w:r>
        <w:rPr>
          <w:rFonts w:ascii="Times New Roman" w:cs="Times New Roman"/>
          <w:sz w:val="18"/>
          <w:szCs w:val="18"/>
        </w:rPr>
        <w:t xml:space="preserve">Fig. S14 Relative changes in the day-to-day fluctuations of wind and solar power generation potential over the Qinghai-Tibet Plateau under different emission scenarios </w:t>
      </w:r>
      <w:r>
        <w:rPr>
          <w:rFonts w:ascii="Times New Roman" w:cs="Times New Roman"/>
          <w:color w:val="000000" w:themeColor="text1"/>
          <w:sz w:val="18"/>
          <w:szCs w:val="18"/>
          <w:lang w:val="en-GB"/>
          <w14:textFill>
            <w14:solidFill>
              <w14:schemeClr w14:val="tx1"/>
            </w14:solidFill>
          </w14:textFill>
        </w:rPr>
        <w:t xml:space="preserve">at the threshold of </w:t>
      </w:r>
      <w:r>
        <w:rPr>
          <w:rFonts w:ascii="Times New Roman" w:cs="Times New Roman"/>
          <w:color w:val="000000" w:themeColor="text1"/>
          <w:sz w:val="18"/>
          <w:szCs w:val="18"/>
          <w14:textFill>
            <w14:solidFill>
              <w14:schemeClr w14:val="tx1"/>
            </w14:solidFill>
          </w14:textFill>
        </w:rPr>
        <w:t>5</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color w:val="000000" w:themeColor="text1"/>
          <w:sz w:val="18"/>
          <w:szCs w:val="18"/>
          <w:lang w:val="en-GB"/>
          <w14:textFill>
            <w14:solidFill>
              <w14:schemeClr w14:val="tx1"/>
            </w14:solidFill>
          </w14:textFill>
        </w:rPr>
        <w:t>/</w:t>
      </w:r>
      <w:r>
        <w:rPr>
          <w:rFonts w:ascii="Times New Roman" w:cs="Times New Roman"/>
          <w:color w:val="000000" w:themeColor="text1"/>
          <w:sz w:val="18"/>
          <w:szCs w:val="18"/>
          <w14:textFill>
            <w14:solidFill>
              <w14:schemeClr w14:val="tx1"/>
            </w14:solidFill>
          </w14:textFill>
        </w:rPr>
        <w:t>95</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sz w:val="18"/>
          <w:szCs w:val="18"/>
        </w:rPr>
        <w:t>. Errorbars represent the standard error in ensemble estimates based on climate forcings from different NEX-GDDP-CMIP6 models. Asterisks (*) indicate statistical significance of changes in each variable (</w:t>
      </w:r>
      <w:r>
        <w:rPr>
          <w:rFonts w:ascii="Times New Roman" w:cs="Times New Roman"/>
          <w:i/>
          <w:iCs/>
          <w:sz w:val="18"/>
          <w:szCs w:val="18"/>
        </w:rPr>
        <w:t>P</w:t>
      </w:r>
      <w:r>
        <w:rPr>
          <w:rFonts w:ascii="Times New Roman" w:cs="Times New Roman"/>
          <w:sz w:val="18"/>
          <w:szCs w:val="18"/>
        </w:rPr>
        <w:t xml:space="preserve"> &lt; 0.05).</w:t>
      </w:r>
    </w:p>
    <w:p w14:paraId="5C4C5D56">
      <w:pPr>
        <w:widowControl/>
        <w:jc w:val="left"/>
        <w:rPr>
          <w:rFonts w:ascii="Times New Roman" w:hAnsi="Times New Roman" w:eastAsia="宋体" w:cs="Times New Roman"/>
          <w:sz w:val="18"/>
          <w:szCs w:val="18"/>
        </w:rPr>
      </w:pPr>
      <w:r>
        <w:rPr>
          <w:rFonts w:ascii="Times New Roman" w:hAnsi="Times New Roman" w:eastAsia="宋体" w:cs="Times New Roman"/>
          <w:sz w:val="18"/>
          <w:szCs w:val="18"/>
        </w:rPr>
        <w:br w:type="page"/>
      </w:r>
    </w:p>
    <w:p w14:paraId="78A59836">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69230" cy="3540125"/>
            <wp:effectExtent l="0" t="0" r="1270" b="3175"/>
            <wp:docPr id="25" name="图片 25" descr="Fig_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_S15"/>
                    <pic:cNvPicPr>
                      <a:picLocks noChangeAspect="1"/>
                    </pic:cNvPicPr>
                  </pic:nvPicPr>
                  <pic:blipFill>
                    <a:blip r:embed="rId18"/>
                    <a:stretch>
                      <a:fillRect/>
                    </a:stretch>
                  </pic:blipFill>
                  <pic:spPr>
                    <a:xfrm>
                      <a:off x="0" y="0"/>
                      <a:ext cx="5269230" cy="3540125"/>
                    </a:xfrm>
                    <a:prstGeom prst="rect">
                      <a:avLst/>
                    </a:prstGeom>
                  </pic:spPr>
                </pic:pic>
              </a:graphicData>
            </a:graphic>
          </wp:inline>
        </w:drawing>
      </w:r>
    </w:p>
    <w:p w14:paraId="5BDC2D04">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03CD4602">
      <w:pPr>
        <w:pStyle w:val="12"/>
        <w:overflowPunct w:val="0"/>
        <w:spacing w:line="300" w:lineRule="auto"/>
        <w:jc w:val="both"/>
        <w:rPr>
          <w:rFonts w:ascii="Times New Roman" w:cs="Times New Roman"/>
          <w:spacing w:val="14"/>
          <w:w w:val="95"/>
          <w:sz w:val="18"/>
          <w:szCs w:val="18"/>
        </w:rPr>
      </w:pPr>
      <w:r>
        <w:rPr>
          <w:rFonts w:hint="default" w:ascii="Times New Roman" w:cs="Times New Roman"/>
          <w:sz w:val="18"/>
          <w:szCs w:val="18"/>
        </w:rPr>
        <w:t>图</w:t>
      </w:r>
      <w:r>
        <w:rPr>
          <w:rFonts w:ascii="Times New Roman" w:cs="Times New Roman"/>
          <w:sz w:val="18"/>
          <w:szCs w:val="18"/>
        </w:rPr>
        <w:t xml:space="preserve"> S15 </w:t>
      </w:r>
      <w:r>
        <w:rPr>
          <w:rFonts w:hint="default" w:ascii="Times New Roman" w:cs="Times New Roman"/>
          <w:sz w:val="18"/>
          <w:szCs w:val="18"/>
        </w:rPr>
        <w:t>阈值</w:t>
      </w:r>
      <w:r>
        <w:rPr>
          <w:rFonts w:ascii="Times New Roman" w:cs="Times New Roman"/>
          <w:sz w:val="18"/>
          <w:szCs w:val="18"/>
        </w:rPr>
        <w:t>15</w:t>
      </w:r>
      <w:r>
        <w:rPr>
          <w:rFonts w:ascii="Times New Roman" w:cs="Times New Roman"/>
          <w:color w:val="000000" w:themeColor="text1"/>
          <w:sz w:val="18"/>
          <w:szCs w:val="18"/>
          <w:vertAlign w:val="superscript"/>
          <w14:textFill>
            <w14:solidFill>
              <w14:schemeClr w14:val="tx1"/>
            </w14:solidFill>
          </w14:textFill>
        </w:rPr>
        <w:t>th</w:t>
      </w:r>
      <w:r>
        <w:rPr>
          <w:rFonts w:ascii="Times New Roman" w:cs="Times New Roman"/>
          <w:color w:val="000000" w:themeColor="text1"/>
          <w:sz w:val="18"/>
          <w:szCs w:val="18"/>
          <w14:textFill>
            <w14:solidFill>
              <w14:schemeClr w14:val="tx1"/>
            </w14:solidFill>
          </w14:textFill>
        </w:rPr>
        <w:t>/85</w:t>
      </w:r>
      <w:r>
        <w:rPr>
          <w:rFonts w:ascii="Times New Roman" w:cs="Times New Roman"/>
          <w:color w:val="000000" w:themeColor="text1"/>
          <w:sz w:val="18"/>
          <w:szCs w:val="18"/>
          <w:vertAlign w:val="superscript"/>
          <w14:textFill>
            <w14:solidFill>
              <w14:schemeClr w14:val="tx1"/>
            </w14:solidFill>
          </w14:textFill>
        </w:rPr>
        <w:t>th</w:t>
      </w:r>
      <w:r>
        <w:rPr>
          <w:rFonts w:hint="default" w:ascii="Times New Roman" w:cs="Times New Roman"/>
          <w:sz w:val="18"/>
          <w:szCs w:val="18"/>
        </w:rPr>
        <w:t>时未来不同排放情景下青藏高原风能与太阳能发电潜力日际急升和骤降事件的相对变化。（</w:t>
      </w:r>
      <w:r>
        <w:rPr>
          <w:rFonts w:ascii="Times New Roman" w:cs="Times New Roman"/>
          <w:sz w:val="18"/>
          <w:szCs w:val="18"/>
        </w:rPr>
        <w:t>A</w:t>
      </w:r>
      <w:r>
        <w:rPr>
          <w:rFonts w:hint="default" w:ascii="Times New Roman" w:cs="Times New Roman"/>
          <w:sz w:val="18"/>
          <w:szCs w:val="18"/>
        </w:rPr>
        <w:t>–</w:t>
      </w:r>
      <w:r>
        <w:rPr>
          <w:rFonts w:ascii="Times New Roman" w:cs="Times New Roman"/>
          <w:sz w:val="18"/>
          <w:szCs w:val="18"/>
        </w:rPr>
        <w:t>C</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急升事件频率；</w:t>
      </w:r>
      <w:r>
        <w:rPr>
          <w:rFonts w:ascii="Times New Roman" w:cs="Times New Roman"/>
          <w:sz w:val="18"/>
          <w:szCs w:val="18"/>
        </w:rPr>
        <w:t>D</w:t>
      </w:r>
      <w:r>
        <w:rPr>
          <w:rFonts w:hint="default" w:ascii="Times New Roman" w:cs="Times New Roman"/>
          <w:sz w:val="18"/>
          <w:szCs w:val="18"/>
        </w:rPr>
        <w:t>–</w:t>
      </w:r>
      <w:r>
        <w:rPr>
          <w:rFonts w:ascii="Times New Roman" w:cs="Times New Roman"/>
          <w:sz w:val="18"/>
          <w:szCs w:val="18"/>
        </w:rPr>
        <w:t>F</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急升事件频率；</w:t>
      </w:r>
      <w:r>
        <w:rPr>
          <w:rFonts w:ascii="Times New Roman" w:cs="Times New Roman"/>
          <w:sz w:val="18"/>
          <w:szCs w:val="18"/>
        </w:rPr>
        <w:t>G</w:t>
      </w:r>
      <w:r>
        <w:rPr>
          <w:rFonts w:hint="default" w:ascii="Times New Roman" w:cs="Times New Roman"/>
          <w:sz w:val="18"/>
          <w:szCs w:val="18"/>
        </w:rPr>
        <w:t>–</w:t>
      </w:r>
      <w:r>
        <w:rPr>
          <w:rFonts w:ascii="Times New Roman" w:cs="Times New Roman"/>
          <w:sz w:val="18"/>
          <w:szCs w:val="18"/>
        </w:rPr>
        <w:t>I</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骤降事件频率；</w:t>
      </w:r>
      <w:r>
        <w:rPr>
          <w:rFonts w:ascii="Times New Roman" w:cs="Times New Roman"/>
          <w:sz w:val="18"/>
          <w:szCs w:val="18"/>
        </w:rPr>
        <w:t>J</w:t>
      </w:r>
      <w:r>
        <w:rPr>
          <w:rFonts w:hint="default" w:ascii="Times New Roman" w:cs="Times New Roman"/>
          <w:sz w:val="18"/>
          <w:szCs w:val="18"/>
        </w:rPr>
        <w:t>–</w:t>
      </w:r>
      <w:r>
        <w:rPr>
          <w:rFonts w:ascii="Times New Roman" w:cs="Times New Roman"/>
          <w:sz w:val="18"/>
          <w:szCs w:val="18"/>
        </w:rPr>
        <w:t>L</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骤降事件频率）。</w:t>
      </w:r>
    </w:p>
    <w:p w14:paraId="75036DE6">
      <w:pPr>
        <w:pStyle w:val="12"/>
        <w:widowControl/>
        <w:overflowPunct w:val="0"/>
        <w:spacing w:line="300" w:lineRule="auto"/>
        <w:jc w:val="both"/>
        <w:rPr>
          <w:rFonts w:ascii="Times New Roman" w:cs="Times New Roman"/>
          <w:sz w:val="18"/>
          <w:szCs w:val="18"/>
          <w:lang w:bidi="ar"/>
        </w:rPr>
      </w:pPr>
      <w:r>
        <w:rPr>
          <w:rFonts w:ascii="Times New Roman" w:cs="Times New Roman"/>
          <w:sz w:val="18"/>
          <w:szCs w:val="18"/>
        </w:rPr>
        <w:t xml:space="preserve">Fig. S15 Relative changes in sharp rise and sharp drop events of wind and solar photovoltaic power generation potential </w:t>
      </w:r>
      <w:r>
        <w:rPr>
          <w:rFonts w:ascii="Times New Roman" w:cs="Times New Roman"/>
          <w:sz w:val="18"/>
          <w:szCs w:val="18"/>
          <w:lang w:bidi="ar"/>
        </w:rPr>
        <w:t>over</w:t>
      </w:r>
      <w:r>
        <w:rPr>
          <w:rFonts w:ascii="Times New Roman" w:cs="Times New Roman"/>
          <w:sz w:val="18"/>
          <w:szCs w:val="18"/>
        </w:rPr>
        <w:t xml:space="preserve"> the Qinghai–Tibet Plateau under different emission scenarios </w:t>
      </w:r>
      <w:r>
        <w:rPr>
          <w:rFonts w:ascii="Times New Roman" w:cs="Times New Roman"/>
          <w:color w:val="000000" w:themeColor="text1"/>
          <w:sz w:val="18"/>
          <w:szCs w:val="18"/>
          <w:lang w:val="en-GB"/>
          <w14:textFill>
            <w14:solidFill>
              <w14:schemeClr w14:val="tx1"/>
            </w14:solidFill>
          </w14:textFill>
        </w:rPr>
        <w:t xml:space="preserve">at the threshold of </w:t>
      </w:r>
      <w:r>
        <w:rPr>
          <w:rFonts w:ascii="Times New Roman" w:cs="Times New Roman"/>
          <w:color w:val="000000" w:themeColor="text1"/>
          <w:sz w:val="18"/>
          <w:szCs w:val="18"/>
          <w14:textFill>
            <w14:solidFill>
              <w14:schemeClr w14:val="tx1"/>
            </w14:solidFill>
          </w14:textFill>
        </w:rPr>
        <w:t>15</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color w:val="000000" w:themeColor="text1"/>
          <w:sz w:val="18"/>
          <w:szCs w:val="18"/>
          <w:lang w:val="en-GB"/>
          <w14:textFill>
            <w14:solidFill>
              <w14:schemeClr w14:val="tx1"/>
            </w14:solidFill>
          </w14:textFill>
        </w:rPr>
        <w:t>/</w:t>
      </w:r>
      <w:r>
        <w:rPr>
          <w:rFonts w:ascii="Times New Roman" w:cs="Times New Roman"/>
          <w:color w:val="000000" w:themeColor="text1"/>
          <w:sz w:val="18"/>
          <w:szCs w:val="18"/>
          <w14:textFill>
            <w14:solidFill>
              <w14:schemeClr w14:val="tx1"/>
            </w14:solidFill>
          </w14:textFill>
        </w:rPr>
        <w:t>85</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sz w:val="18"/>
          <w:szCs w:val="18"/>
        </w:rPr>
        <w:t>.</w:t>
      </w:r>
      <w:r>
        <w:rPr>
          <w:rFonts w:ascii="Times New Roman" w:cs="Times New Roman"/>
          <w:sz w:val="18"/>
          <w:szCs w:val="18"/>
          <w:lang w:bidi="ar"/>
        </w:rPr>
        <w:t xml:space="preserve"> (A–C: frequency of sharp rise events for P</w:t>
      </w:r>
      <w:r>
        <w:rPr>
          <w:rFonts w:ascii="Times New Roman" w:cs="Times New Roman"/>
          <w:sz w:val="18"/>
          <w:szCs w:val="18"/>
          <w:vertAlign w:val="subscript"/>
          <w:lang w:bidi="ar"/>
        </w:rPr>
        <w:t>wind</w:t>
      </w:r>
      <w:r>
        <w:rPr>
          <w:rFonts w:ascii="Times New Roman" w:cs="Times New Roman"/>
          <w:sz w:val="18"/>
          <w:szCs w:val="18"/>
          <w:lang w:bidi="ar"/>
        </w:rPr>
        <w:t>; D–F: frequency of sharp rise events for P</w:t>
      </w:r>
      <w:r>
        <w:rPr>
          <w:rFonts w:ascii="Times New Roman" w:cs="Times New Roman"/>
          <w:sz w:val="18"/>
          <w:szCs w:val="18"/>
          <w:vertAlign w:val="subscript"/>
          <w:lang w:bidi="ar"/>
        </w:rPr>
        <w:t>solar</w:t>
      </w:r>
      <w:r>
        <w:rPr>
          <w:rFonts w:ascii="Times New Roman" w:cs="Times New Roman"/>
          <w:sz w:val="18"/>
          <w:szCs w:val="18"/>
          <w:lang w:bidi="ar"/>
        </w:rPr>
        <w:t>; G–I: frequency of sharp drop events for P</w:t>
      </w:r>
      <w:r>
        <w:rPr>
          <w:rFonts w:ascii="Times New Roman" w:cs="Times New Roman"/>
          <w:sz w:val="18"/>
          <w:szCs w:val="18"/>
          <w:vertAlign w:val="subscript"/>
          <w:lang w:bidi="ar"/>
        </w:rPr>
        <w:t>wind</w:t>
      </w:r>
      <w:r>
        <w:rPr>
          <w:rFonts w:ascii="Times New Roman" w:cs="Times New Roman"/>
          <w:sz w:val="18"/>
          <w:szCs w:val="18"/>
          <w:lang w:bidi="ar"/>
        </w:rPr>
        <w:t>; J–L: frequency of sharp drop events for P</w:t>
      </w:r>
      <w:r>
        <w:rPr>
          <w:rFonts w:ascii="Times New Roman" w:cs="Times New Roman"/>
          <w:sz w:val="18"/>
          <w:szCs w:val="18"/>
          <w:vertAlign w:val="subscript"/>
          <w:lang w:bidi="ar"/>
        </w:rPr>
        <w:t>solar</w:t>
      </w:r>
      <w:r>
        <w:rPr>
          <w:rFonts w:ascii="Times New Roman" w:cs="Times New Roman"/>
          <w:sz w:val="18"/>
          <w:szCs w:val="18"/>
          <w:lang w:bidi="ar"/>
        </w:rPr>
        <w:t xml:space="preserve">) </w:t>
      </w:r>
    </w:p>
    <w:p w14:paraId="1F9C1315">
      <w:pPr>
        <w:rPr>
          <w:rFonts w:ascii="Times New Roman" w:hAnsi="Times New Roman" w:eastAsia="宋体" w:cs="Times New Roman"/>
          <w:sz w:val="24"/>
          <w:szCs w:val="24"/>
        </w:rPr>
      </w:pPr>
    </w:p>
    <w:p w14:paraId="4194D04A">
      <w:pPr>
        <w:rPr>
          <w:rFonts w:ascii="Times New Roman" w:hAnsi="Times New Roman" w:eastAsia="宋体" w:cs="Times New Roman"/>
          <w:sz w:val="24"/>
          <w:szCs w:val="24"/>
        </w:rPr>
      </w:pPr>
    </w:p>
    <w:p w14:paraId="0507818D">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68595" cy="3523615"/>
            <wp:effectExtent l="0" t="0" r="1905" b="6985"/>
            <wp:docPr id="26" name="图片 26" descr="Fig_S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_S16"/>
                    <pic:cNvPicPr>
                      <a:picLocks noChangeAspect="1"/>
                    </pic:cNvPicPr>
                  </pic:nvPicPr>
                  <pic:blipFill>
                    <a:blip r:embed="rId19"/>
                    <a:stretch>
                      <a:fillRect/>
                    </a:stretch>
                  </pic:blipFill>
                  <pic:spPr>
                    <a:xfrm>
                      <a:off x="0" y="0"/>
                      <a:ext cx="5268595" cy="3523615"/>
                    </a:xfrm>
                    <a:prstGeom prst="rect">
                      <a:avLst/>
                    </a:prstGeom>
                  </pic:spPr>
                </pic:pic>
              </a:graphicData>
            </a:graphic>
          </wp:inline>
        </w:drawing>
      </w:r>
    </w:p>
    <w:p w14:paraId="01600C31">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0C01A976">
      <w:pPr>
        <w:pStyle w:val="12"/>
        <w:overflowPunct w:val="0"/>
        <w:spacing w:line="300" w:lineRule="auto"/>
        <w:jc w:val="both"/>
        <w:rPr>
          <w:rFonts w:ascii="Times New Roman" w:cs="Times New Roman"/>
          <w:spacing w:val="14"/>
          <w:w w:val="95"/>
          <w:sz w:val="18"/>
          <w:szCs w:val="18"/>
        </w:rPr>
      </w:pPr>
      <w:r>
        <w:rPr>
          <w:rFonts w:hint="default" w:ascii="Times New Roman" w:cs="Times New Roman"/>
          <w:sz w:val="18"/>
          <w:szCs w:val="18"/>
        </w:rPr>
        <w:t>图</w:t>
      </w:r>
      <w:r>
        <w:rPr>
          <w:rFonts w:ascii="Times New Roman" w:cs="Times New Roman"/>
          <w:sz w:val="18"/>
          <w:szCs w:val="18"/>
        </w:rPr>
        <w:t xml:space="preserve"> S16 </w:t>
      </w:r>
      <w:r>
        <w:rPr>
          <w:rFonts w:hint="default" w:ascii="Times New Roman" w:cs="Times New Roman"/>
          <w:sz w:val="18"/>
          <w:szCs w:val="18"/>
        </w:rPr>
        <w:t>阈值</w:t>
      </w:r>
      <w:r>
        <w:rPr>
          <w:rFonts w:ascii="Times New Roman" w:cs="Times New Roman"/>
          <w:sz w:val="18"/>
          <w:szCs w:val="18"/>
        </w:rPr>
        <w:t>10</w:t>
      </w:r>
      <w:r>
        <w:rPr>
          <w:rFonts w:ascii="Times New Roman" w:cs="Times New Roman"/>
          <w:color w:val="000000" w:themeColor="text1"/>
          <w:sz w:val="18"/>
          <w:szCs w:val="18"/>
          <w:vertAlign w:val="superscript"/>
          <w14:textFill>
            <w14:solidFill>
              <w14:schemeClr w14:val="tx1"/>
            </w14:solidFill>
          </w14:textFill>
        </w:rPr>
        <w:t>th</w:t>
      </w:r>
      <w:r>
        <w:rPr>
          <w:rFonts w:ascii="Times New Roman" w:cs="Times New Roman"/>
          <w:color w:val="000000" w:themeColor="text1"/>
          <w:sz w:val="18"/>
          <w:szCs w:val="18"/>
          <w14:textFill>
            <w14:solidFill>
              <w14:schemeClr w14:val="tx1"/>
            </w14:solidFill>
          </w14:textFill>
        </w:rPr>
        <w:t>/90</w:t>
      </w:r>
      <w:r>
        <w:rPr>
          <w:rFonts w:ascii="Times New Roman" w:cs="Times New Roman"/>
          <w:color w:val="000000" w:themeColor="text1"/>
          <w:sz w:val="18"/>
          <w:szCs w:val="18"/>
          <w:vertAlign w:val="superscript"/>
          <w14:textFill>
            <w14:solidFill>
              <w14:schemeClr w14:val="tx1"/>
            </w14:solidFill>
          </w14:textFill>
        </w:rPr>
        <w:t>th</w:t>
      </w:r>
      <w:r>
        <w:rPr>
          <w:rFonts w:hint="default" w:ascii="Times New Roman" w:cs="Times New Roman"/>
          <w:sz w:val="18"/>
          <w:szCs w:val="18"/>
        </w:rPr>
        <w:t>时未来不同排放情景下青藏高原风能与太阳能发电潜力急升和骤降事件的相对变化。（</w:t>
      </w:r>
      <w:r>
        <w:rPr>
          <w:rFonts w:ascii="Times New Roman" w:cs="Times New Roman"/>
          <w:sz w:val="18"/>
          <w:szCs w:val="18"/>
        </w:rPr>
        <w:t>A</w:t>
      </w:r>
      <w:r>
        <w:rPr>
          <w:rFonts w:hint="default" w:ascii="Times New Roman" w:cs="Times New Roman"/>
          <w:sz w:val="18"/>
          <w:szCs w:val="18"/>
        </w:rPr>
        <w:t>–</w:t>
      </w:r>
      <w:r>
        <w:rPr>
          <w:rFonts w:ascii="Times New Roman" w:cs="Times New Roman"/>
          <w:sz w:val="18"/>
          <w:szCs w:val="18"/>
        </w:rPr>
        <w:t>C</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急升事件频率；</w:t>
      </w:r>
      <w:r>
        <w:rPr>
          <w:rFonts w:ascii="Times New Roman" w:cs="Times New Roman"/>
          <w:sz w:val="18"/>
          <w:szCs w:val="18"/>
        </w:rPr>
        <w:t>D</w:t>
      </w:r>
      <w:r>
        <w:rPr>
          <w:rFonts w:hint="default" w:ascii="Times New Roman" w:cs="Times New Roman"/>
          <w:sz w:val="18"/>
          <w:szCs w:val="18"/>
        </w:rPr>
        <w:t>–</w:t>
      </w:r>
      <w:r>
        <w:rPr>
          <w:rFonts w:ascii="Times New Roman" w:cs="Times New Roman"/>
          <w:sz w:val="18"/>
          <w:szCs w:val="18"/>
        </w:rPr>
        <w:t>F</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急升事件频率；</w:t>
      </w:r>
      <w:r>
        <w:rPr>
          <w:rFonts w:ascii="Times New Roman" w:cs="Times New Roman"/>
          <w:sz w:val="18"/>
          <w:szCs w:val="18"/>
        </w:rPr>
        <w:t>G</w:t>
      </w:r>
      <w:r>
        <w:rPr>
          <w:rFonts w:hint="default" w:ascii="Times New Roman" w:cs="Times New Roman"/>
          <w:sz w:val="18"/>
          <w:szCs w:val="18"/>
        </w:rPr>
        <w:t>–</w:t>
      </w:r>
      <w:r>
        <w:rPr>
          <w:rFonts w:ascii="Times New Roman" w:cs="Times New Roman"/>
          <w:sz w:val="18"/>
          <w:szCs w:val="18"/>
        </w:rPr>
        <w:t>I</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骤降事件频率；</w:t>
      </w:r>
      <w:r>
        <w:rPr>
          <w:rFonts w:ascii="Times New Roman" w:cs="Times New Roman"/>
          <w:sz w:val="18"/>
          <w:szCs w:val="18"/>
        </w:rPr>
        <w:t>J</w:t>
      </w:r>
      <w:r>
        <w:rPr>
          <w:rFonts w:hint="default" w:ascii="Times New Roman" w:cs="Times New Roman"/>
          <w:sz w:val="18"/>
          <w:szCs w:val="18"/>
        </w:rPr>
        <w:t>–</w:t>
      </w:r>
      <w:r>
        <w:rPr>
          <w:rFonts w:ascii="Times New Roman" w:cs="Times New Roman"/>
          <w:sz w:val="18"/>
          <w:szCs w:val="18"/>
        </w:rPr>
        <w:t>L</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骤降事件频率）</w:t>
      </w:r>
    </w:p>
    <w:p w14:paraId="36CEBFED">
      <w:pPr>
        <w:pStyle w:val="12"/>
        <w:widowControl/>
        <w:overflowPunct w:val="0"/>
        <w:spacing w:line="300" w:lineRule="auto"/>
        <w:jc w:val="both"/>
        <w:rPr>
          <w:rFonts w:ascii="Times New Roman" w:cs="Times New Roman"/>
          <w:sz w:val="18"/>
          <w:szCs w:val="18"/>
          <w:lang w:bidi="ar"/>
        </w:rPr>
      </w:pPr>
      <w:r>
        <w:rPr>
          <w:rFonts w:ascii="Times New Roman" w:cs="Times New Roman"/>
          <w:sz w:val="18"/>
          <w:szCs w:val="18"/>
        </w:rPr>
        <w:t xml:space="preserve">Fig. S16 Relative changes in sharp rise and sharp drop events of wind and solar photovoltaic power generation potential </w:t>
      </w:r>
      <w:r>
        <w:rPr>
          <w:rFonts w:ascii="Times New Roman" w:cs="Times New Roman"/>
          <w:sz w:val="18"/>
          <w:szCs w:val="18"/>
          <w:lang w:bidi="ar"/>
        </w:rPr>
        <w:t>over</w:t>
      </w:r>
      <w:r>
        <w:rPr>
          <w:rFonts w:ascii="Times New Roman" w:cs="Times New Roman"/>
          <w:sz w:val="18"/>
          <w:szCs w:val="18"/>
        </w:rPr>
        <w:t xml:space="preserve"> the Qinghai–Tibet Plateau under different emission scenarios </w:t>
      </w:r>
      <w:r>
        <w:rPr>
          <w:rFonts w:ascii="Times New Roman" w:cs="Times New Roman"/>
          <w:color w:val="000000" w:themeColor="text1"/>
          <w:sz w:val="18"/>
          <w:szCs w:val="18"/>
          <w:lang w:val="en-GB"/>
          <w14:textFill>
            <w14:solidFill>
              <w14:schemeClr w14:val="tx1"/>
            </w14:solidFill>
          </w14:textFill>
        </w:rPr>
        <w:t xml:space="preserve">at the threshold of </w:t>
      </w:r>
      <w:r>
        <w:rPr>
          <w:rFonts w:ascii="Times New Roman" w:cs="Times New Roman"/>
          <w:color w:val="000000" w:themeColor="text1"/>
          <w:sz w:val="18"/>
          <w:szCs w:val="18"/>
          <w14:textFill>
            <w14:solidFill>
              <w14:schemeClr w14:val="tx1"/>
            </w14:solidFill>
          </w14:textFill>
        </w:rPr>
        <w:t>10</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color w:val="000000" w:themeColor="text1"/>
          <w:sz w:val="18"/>
          <w:szCs w:val="18"/>
          <w:lang w:val="en-GB"/>
          <w14:textFill>
            <w14:solidFill>
              <w14:schemeClr w14:val="tx1"/>
            </w14:solidFill>
          </w14:textFill>
        </w:rPr>
        <w:t>/</w:t>
      </w:r>
      <w:r>
        <w:rPr>
          <w:rFonts w:ascii="Times New Roman" w:cs="Times New Roman"/>
          <w:color w:val="000000" w:themeColor="text1"/>
          <w:sz w:val="18"/>
          <w:szCs w:val="18"/>
          <w14:textFill>
            <w14:solidFill>
              <w14:schemeClr w14:val="tx1"/>
            </w14:solidFill>
          </w14:textFill>
        </w:rPr>
        <w:t>90</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sz w:val="18"/>
          <w:szCs w:val="18"/>
        </w:rPr>
        <w:t>.</w:t>
      </w:r>
      <w:r>
        <w:rPr>
          <w:rFonts w:ascii="Times New Roman" w:cs="Times New Roman"/>
          <w:sz w:val="18"/>
          <w:szCs w:val="18"/>
          <w:lang w:bidi="ar"/>
        </w:rPr>
        <w:t xml:space="preserve"> (A–C: frequency of sharp rise events for P</w:t>
      </w:r>
      <w:r>
        <w:rPr>
          <w:rFonts w:ascii="Times New Roman" w:cs="Times New Roman"/>
          <w:sz w:val="18"/>
          <w:szCs w:val="18"/>
          <w:vertAlign w:val="subscript"/>
          <w:lang w:bidi="ar"/>
        </w:rPr>
        <w:t>wind</w:t>
      </w:r>
      <w:r>
        <w:rPr>
          <w:rFonts w:ascii="Times New Roman" w:cs="Times New Roman"/>
          <w:sz w:val="18"/>
          <w:szCs w:val="18"/>
          <w:lang w:bidi="ar"/>
        </w:rPr>
        <w:t>; D–F: frequency of sharp rise events for P</w:t>
      </w:r>
      <w:r>
        <w:rPr>
          <w:rFonts w:ascii="Times New Roman" w:cs="Times New Roman"/>
          <w:sz w:val="18"/>
          <w:szCs w:val="18"/>
          <w:vertAlign w:val="subscript"/>
          <w:lang w:bidi="ar"/>
        </w:rPr>
        <w:t>solar</w:t>
      </w:r>
      <w:r>
        <w:rPr>
          <w:rFonts w:ascii="Times New Roman" w:cs="Times New Roman"/>
          <w:sz w:val="18"/>
          <w:szCs w:val="18"/>
          <w:lang w:bidi="ar"/>
        </w:rPr>
        <w:t>; G–I: frequency of sharp drop events for P</w:t>
      </w:r>
      <w:r>
        <w:rPr>
          <w:rFonts w:ascii="Times New Roman" w:cs="Times New Roman"/>
          <w:sz w:val="18"/>
          <w:szCs w:val="18"/>
          <w:vertAlign w:val="subscript"/>
          <w:lang w:bidi="ar"/>
        </w:rPr>
        <w:t>wind</w:t>
      </w:r>
      <w:r>
        <w:rPr>
          <w:rFonts w:ascii="Times New Roman" w:cs="Times New Roman"/>
          <w:sz w:val="18"/>
          <w:szCs w:val="18"/>
          <w:lang w:bidi="ar"/>
        </w:rPr>
        <w:t>; J–L: frequency of sharp drop events for P</w:t>
      </w:r>
      <w:r>
        <w:rPr>
          <w:rFonts w:ascii="Times New Roman" w:cs="Times New Roman"/>
          <w:sz w:val="18"/>
          <w:szCs w:val="18"/>
          <w:vertAlign w:val="subscript"/>
          <w:lang w:bidi="ar"/>
        </w:rPr>
        <w:t>solar</w:t>
      </w:r>
      <w:r>
        <w:rPr>
          <w:rFonts w:ascii="Times New Roman" w:cs="Times New Roman"/>
          <w:sz w:val="18"/>
          <w:szCs w:val="18"/>
          <w:lang w:bidi="ar"/>
        </w:rPr>
        <w:t xml:space="preserve">) </w:t>
      </w:r>
    </w:p>
    <w:p w14:paraId="34A5B972">
      <w:pPr>
        <w:rPr>
          <w:rFonts w:ascii="Times New Roman" w:hAnsi="Times New Roman" w:eastAsia="宋体" w:cs="Times New Roman"/>
          <w:sz w:val="24"/>
          <w:szCs w:val="24"/>
        </w:rPr>
      </w:pPr>
    </w:p>
    <w:p w14:paraId="54C815CA">
      <w:pPr>
        <w:rPr>
          <w:rFonts w:ascii="Times New Roman" w:hAnsi="Times New Roman" w:eastAsia="宋体" w:cs="Times New Roman"/>
          <w:sz w:val="24"/>
          <w:szCs w:val="24"/>
        </w:rPr>
      </w:pPr>
    </w:p>
    <w:p w14:paraId="1AF8DC3F">
      <w:pP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5267960" cy="3500120"/>
            <wp:effectExtent l="0" t="0" r="2540" b="5080"/>
            <wp:docPr id="27" name="图片 27" descr="Fig_S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_S17"/>
                    <pic:cNvPicPr>
                      <a:picLocks noChangeAspect="1"/>
                    </pic:cNvPicPr>
                  </pic:nvPicPr>
                  <pic:blipFill>
                    <a:blip r:embed="rId20"/>
                    <a:stretch>
                      <a:fillRect/>
                    </a:stretch>
                  </pic:blipFill>
                  <pic:spPr>
                    <a:xfrm>
                      <a:off x="0" y="0"/>
                      <a:ext cx="5267960" cy="3500120"/>
                    </a:xfrm>
                    <a:prstGeom prst="rect">
                      <a:avLst/>
                    </a:prstGeom>
                  </pic:spPr>
                </pic:pic>
              </a:graphicData>
            </a:graphic>
          </wp:inline>
        </w:drawing>
      </w:r>
    </w:p>
    <w:p w14:paraId="4CD406F7">
      <w:pPr>
        <w:pStyle w:val="12"/>
        <w:overflowPunct w:val="0"/>
        <w:spacing w:line="300" w:lineRule="auto"/>
        <w:jc w:val="both"/>
        <w:rPr>
          <w:rFonts w:ascii="Times New Roman" w:cs="Times New Roman"/>
          <w:sz w:val="15"/>
          <w:szCs w:val="15"/>
        </w:rPr>
      </w:pP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58262C03">
      <w:pPr>
        <w:pStyle w:val="12"/>
        <w:overflowPunct w:val="0"/>
        <w:spacing w:line="300" w:lineRule="auto"/>
        <w:jc w:val="both"/>
        <w:rPr>
          <w:rFonts w:ascii="Times New Roman" w:cs="Times New Roman"/>
          <w:spacing w:val="14"/>
          <w:w w:val="95"/>
          <w:sz w:val="18"/>
          <w:szCs w:val="18"/>
        </w:rPr>
      </w:pPr>
      <w:r>
        <w:rPr>
          <w:rFonts w:hint="default" w:ascii="Times New Roman" w:cs="Times New Roman"/>
          <w:sz w:val="18"/>
          <w:szCs w:val="18"/>
        </w:rPr>
        <w:t>图</w:t>
      </w:r>
      <w:r>
        <w:rPr>
          <w:rFonts w:ascii="Times New Roman" w:cs="Times New Roman"/>
          <w:sz w:val="18"/>
          <w:szCs w:val="18"/>
        </w:rPr>
        <w:t xml:space="preserve"> S17 </w:t>
      </w:r>
      <w:r>
        <w:rPr>
          <w:rFonts w:hint="default" w:ascii="Times New Roman" w:cs="Times New Roman"/>
          <w:sz w:val="18"/>
          <w:szCs w:val="18"/>
        </w:rPr>
        <w:t>阈值</w:t>
      </w:r>
      <w:r>
        <w:rPr>
          <w:rFonts w:ascii="Times New Roman" w:cs="Times New Roman"/>
          <w:sz w:val="18"/>
          <w:szCs w:val="18"/>
        </w:rPr>
        <w:t>5</w:t>
      </w:r>
      <w:r>
        <w:rPr>
          <w:rFonts w:ascii="Times New Roman" w:cs="Times New Roman"/>
          <w:color w:val="000000" w:themeColor="text1"/>
          <w:sz w:val="18"/>
          <w:szCs w:val="18"/>
          <w:vertAlign w:val="superscript"/>
          <w14:textFill>
            <w14:solidFill>
              <w14:schemeClr w14:val="tx1"/>
            </w14:solidFill>
          </w14:textFill>
        </w:rPr>
        <w:t>th</w:t>
      </w:r>
      <w:r>
        <w:rPr>
          <w:rFonts w:ascii="Times New Roman" w:cs="Times New Roman"/>
          <w:color w:val="000000" w:themeColor="text1"/>
          <w:sz w:val="18"/>
          <w:szCs w:val="18"/>
          <w14:textFill>
            <w14:solidFill>
              <w14:schemeClr w14:val="tx1"/>
            </w14:solidFill>
          </w14:textFill>
        </w:rPr>
        <w:t>/95</w:t>
      </w:r>
      <w:r>
        <w:rPr>
          <w:rFonts w:ascii="Times New Roman" w:cs="Times New Roman"/>
          <w:color w:val="000000" w:themeColor="text1"/>
          <w:sz w:val="18"/>
          <w:szCs w:val="18"/>
          <w:vertAlign w:val="superscript"/>
          <w14:textFill>
            <w14:solidFill>
              <w14:schemeClr w14:val="tx1"/>
            </w14:solidFill>
          </w14:textFill>
        </w:rPr>
        <w:t>th</w:t>
      </w:r>
      <w:r>
        <w:rPr>
          <w:rFonts w:hint="default" w:ascii="Times New Roman" w:cs="Times New Roman"/>
          <w:sz w:val="18"/>
          <w:szCs w:val="18"/>
        </w:rPr>
        <w:t>时未来不同排放情景下青藏高原风能与太阳能发电潜力急升和骤降事件的相对变化。（</w:t>
      </w:r>
      <w:r>
        <w:rPr>
          <w:rFonts w:ascii="Times New Roman" w:cs="Times New Roman"/>
          <w:sz w:val="18"/>
          <w:szCs w:val="18"/>
        </w:rPr>
        <w:t>A</w:t>
      </w:r>
      <w:r>
        <w:rPr>
          <w:rFonts w:hint="default" w:ascii="Times New Roman" w:cs="Times New Roman"/>
          <w:sz w:val="18"/>
          <w:szCs w:val="18"/>
        </w:rPr>
        <w:t>–</w:t>
      </w:r>
      <w:r>
        <w:rPr>
          <w:rFonts w:ascii="Times New Roman" w:cs="Times New Roman"/>
          <w:sz w:val="18"/>
          <w:szCs w:val="18"/>
        </w:rPr>
        <w:t>C</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急升事件频率；</w:t>
      </w:r>
      <w:r>
        <w:rPr>
          <w:rFonts w:ascii="Times New Roman" w:cs="Times New Roman"/>
          <w:sz w:val="18"/>
          <w:szCs w:val="18"/>
        </w:rPr>
        <w:t>D</w:t>
      </w:r>
      <w:r>
        <w:rPr>
          <w:rFonts w:hint="default" w:ascii="Times New Roman" w:cs="Times New Roman"/>
          <w:sz w:val="18"/>
          <w:szCs w:val="18"/>
        </w:rPr>
        <w:t>–</w:t>
      </w:r>
      <w:r>
        <w:rPr>
          <w:rFonts w:ascii="Times New Roman" w:cs="Times New Roman"/>
          <w:sz w:val="18"/>
          <w:szCs w:val="18"/>
        </w:rPr>
        <w:t>F</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急升事件频率；</w:t>
      </w:r>
      <w:r>
        <w:rPr>
          <w:rFonts w:ascii="Times New Roman" w:cs="Times New Roman"/>
          <w:sz w:val="18"/>
          <w:szCs w:val="18"/>
        </w:rPr>
        <w:t>G</w:t>
      </w:r>
      <w:r>
        <w:rPr>
          <w:rFonts w:hint="default" w:ascii="Times New Roman" w:cs="Times New Roman"/>
          <w:sz w:val="18"/>
          <w:szCs w:val="18"/>
        </w:rPr>
        <w:t>–</w:t>
      </w:r>
      <w:r>
        <w:rPr>
          <w:rFonts w:ascii="Times New Roman" w:cs="Times New Roman"/>
          <w:sz w:val="18"/>
          <w:szCs w:val="18"/>
        </w:rPr>
        <w:t>I</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wind</w:t>
      </w:r>
      <w:r>
        <w:rPr>
          <w:rFonts w:hint="default" w:ascii="Times New Roman" w:cs="Times New Roman"/>
          <w:sz w:val="18"/>
          <w:szCs w:val="18"/>
        </w:rPr>
        <w:t>骤降事件频率；</w:t>
      </w:r>
      <w:r>
        <w:rPr>
          <w:rFonts w:ascii="Times New Roman" w:cs="Times New Roman"/>
          <w:sz w:val="18"/>
          <w:szCs w:val="18"/>
        </w:rPr>
        <w:t>J</w:t>
      </w:r>
      <w:r>
        <w:rPr>
          <w:rFonts w:hint="default" w:ascii="Times New Roman" w:cs="Times New Roman"/>
          <w:sz w:val="18"/>
          <w:szCs w:val="18"/>
        </w:rPr>
        <w:t>–</w:t>
      </w:r>
      <w:r>
        <w:rPr>
          <w:rFonts w:ascii="Times New Roman" w:cs="Times New Roman"/>
          <w:sz w:val="18"/>
          <w:szCs w:val="18"/>
        </w:rPr>
        <w:t>L</w:t>
      </w:r>
      <w:r>
        <w:rPr>
          <w:rFonts w:hint="default" w:ascii="Times New Roman" w:cs="Times New Roman"/>
          <w:sz w:val="18"/>
          <w:szCs w:val="18"/>
        </w:rPr>
        <w:t>：</w:t>
      </w:r>
      <w:r>
        <w:rPr>
          <w:rFonts w:ascii="Times New Roman" w:cs="Times New Roman"/>
          <w:sz w:val="18"/>
          <w:szCs w:val="18"/>
        </w:rPr>
        <w:t>P</w:t>
      </w:r>
      <w:r>
        <w:rPr>
          <w:rFonts w:ascii="Times New Roman" w:cs="Times New Roman"/>
          <w:sz w:val="18"/>
          <w:szCs w:val="18"/>
          <w:vertAlign w:val="subscript"/>
        </w:rPr>
        <w:t>solar</w:t>
      </w:r>
      <w:r>
        <w:rPr>
          <w:rFonts w:hint="default" w:ascii="Times New Roman" w:cs="Times New Roman"/>
          <w:sz w:val="18"/>
          <w:szCs w:val="18"/>
        </w:rPr>
        <w:t>骤降事件频率）</w:t>
      </w:r>
    </w:p>
    <w:p w14:paraId="4B7341BC">
      <w:pPr>
        <w:pStyle w:val="12"/>
        <w:widowControl/>
        <w:overflowPunct w:val="0"/>
        <w:spacing w:line="300" w:lineRule="auto"/>
        <w:jc w:val="both"/>
        <w:rPr>
          <w:rFonts w:ascii="Times New Roman" w:cs="Times New Roman"/>
          <w:sz w:val="18"/>
          <w:szCs w:val="18"/>
          <w:lang w:bidi="ar"/>
        </w:rPr>
      </w:pPr>
      <w:r>
        <w:rPr>
          <w:rFonts w:ascii="Times New Roman" w:cs="Times New Roman"/>
          <w:sz w:val="18"/>
          <w:szCs w:val="18"/>
        </w:rPr>
        <w:t xml:space="preserve">Fig. S17 Relative changes in sharp rise and sharp drop events of wind and solar photovoltaic power generation potential </w:t>
      </w:r>
      <w:r>
        <w:rPr>
          <w:rFonts w:ascii="Times New Roman" w:cs="Times New Roman"/>
          <w:sz w:val="18"/>
          <w:szCs w:val="18"/>
          <w:lang w:bidi="ar"/>
        </w:rPr>
        <w:t>over</w:t>
      </w:r>
      <w:r>
        <w:rPr>
          <w:rFonts w:ascii="Times New Roman" w:cs="Times New Roman"/>
          <w:sz w:val="18"/>
          <w:szCs w:val="18"/>
        </w:rPr>
        <w:t xml:space="preserve"> the Qinghai–Tibet Plateau under different emission scenarios </w:t>
      </w:r>
      <w:r>
        <w:rPr>
          <w:rFonts w:ascii="Times New Roman" w:cs="Times New Roman"/>
          <w:color w:val="000000" w:themeColor="text1"/>
          <w:sz w:val="18"/>
          <w:szCs w:val="18"/>
          <w:lang w:val="en-GB"/>
          <w14:textFill>
            <w14:solidFill>
              <w14:schemeClr w14:val="tx1"/>
            </w14:solidFill>
          </w14:textFill>
        </w:rPr>
        <w:t xml:space="preserve">at the threshold of </w:t>
      </w:r>
      <w:r>
        <w:rPr>
          <w:rFonts w:ascii="Times New Roman" w:cs="Times New Roman"/>
          <w:color w:val="000000" w:themeColor="text1"/>
          <w:sz w:val="18"/>
          <w:szCs w:val="18"/>
          <w14:textFill>
            <w14:solidFill>
              <w14:schemeClr w14:val="tx1"/>
            </w14:solidFill>
          </w14:textFill>
        </w:rPr>
        <w:t>5</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color w:val="000000" w:themeColor="text1"/>
          <w:sz w:val="18"/>
          <w:szCs w:val="18"/>
          <w:lang w:val="en-GB"/>
          <w14:textFill>
            <w14:solidFill>
              <w14:schemeClr w14:val="tx1"/>
            </w14:solidFill>
          </w14:textFill>
        </w:rPr>
        <w:t>/</w:t>
      </w:r>
      <w:r>
        <w:rPr>
          <w:rFonts w:ascii="Times New Roman" w:cs="Times New Roman"/>
          <w:color w:val="000000" w:themeColor="text1"/>
          <w:sz w:val="18"/>
          <w:szCs w:val="18"/>
          <w14:textFill>
            <w14:solidFill>
              <w14:schemeClr w14:val="tx1"/>
            </w14:solidFill>
          </w14:textFill>
        </w:rPr>
        <w:t>95</w:t>
      </w:r>
      <w:r>
        <w:rPr>
          <w:rFonts w:ascii="Times New Roman" w:cs="Times New Roman"/>
          <w:color w:val="000000" w:themeColor="text1"/>
          <w:sz w:val="18"/>
          <w:szCs w:val="18"/>
          <w:vertAlign w:val="superscript"/>
          <w:lang w:val="en-GB"/>
          <w14:textFill>
            <w14:solidFill>
              <w14:schemeClr w14:val="tx1"/>
            </w14:solidFill>
          </w14:textFill>
        </w:rPr>
        <w:t>th</w:t>
      </w:r>
      <w:r>
        <w:rPr>
          <w:rFonts w:ascii="Times New Roman" w:cs="Times New Roman"/>
          <w:sz w:val="18"/>
          <w:szCs w:val="18"/>
        </w:rPr>
        <w:t>.</w:t>
      </w:r>
      <w:r>
        <w:rPr>
          <w:rFonts w:ascii="Times New Roman" w:cs="Times New Roman"/>
          <w:sz w:val="18"/>
          <w:szCs w:val="18"/>
          <w:lang w:bidi="ar"/>
        </w:rPr>
        <w:t xml:space="preserve"> (A–C: frequency of sharp rise events for Pwind; D–F: frequency of sharp rise events for Psolar; G–I: frequency of sharp drop events for Pwind; J–L: frequency of sharp drop events for Psolar) </w:t>
      </w:r>
    </w:p>
    <w:p w14:paraId="1FADB08D">
      <w:pPr>
        <w:rPr>
          <w:rFonts w:ascii="Times New Roman" w:hAnsi="Times New Roman" w:eastAsia="宋体" w:cs="Times New Roman"/>
          <w:sz w:val="24"/>
          <w:szCs w:val="24"/>
        </w:rPr>
      </w:pPr>
    </w:p>
    <w:p w14:paraId="655AD03C">
      <w:pPr>
        <w:rPr>
          <w:rFonts w:ascii="Times New Roman" w:hAnsi="Times New Roman" w:eastAsia="宋体" w:cs="Times New Roman"/>
          <w:sz w:val="24"/>
          <w:szCs w:val="24"/>
        </w:rPr>
      </w:pPr>
    </w:p>
    <w:p w14:paraId="67F384C8">
      <w:pPr>
        <w:widowControl/>
        <w:jc w:val="left"/>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732D1D0B">
      <w:pPr>
        <w:pStyle w:val="12"/>
        <w:overflowPunct w:val="0"/>
        <w:spacing w:line="300" w:lineRule="auto"/>
        <w:jc w:val="both"/>
        <w:rPr>
          <w:rFonts w:ascii="Times New Roman" w:cs="Times New Roman"/>
          <w:sz w:val="15"/>
          <w:szCs w:val="15"/>
        </w:rPr>
      </w:pPr>
      <w:r>
        <w:rPr>
          <w:rFonts w:ascii="Times New Roman" w:hAnsi="Times New Roman" w:eastAsia="宋体" w:cs="Times New Roman"/>
          <w:sz w:val="24"/>
          <w:szCs w:val="24"/>
        </w:rPr>
        <w:drawing>
          <wp:inline distT="0" distB="0" distL="114300" distR="114300">
            <wp:extent cx="5268595" cy="1866265"/>
            <wp:effectExtent l="0" t="0" r="1905" b="635"/>
            <wp:docPr id="28" name="图片 28" descr="Fig_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_S18"/>
                    <pic:cNvPicPr>
                      <a:picLocks noChangeAspect="1"/>
                    </pic:cNvPicPr>
                  </pic:nvPicPr>
                  <pic:blipFill>
                    <a:blip r:embed="rId21"/>
                    <a:stretch>
                      <a:fillRect/>
                    </a:stretch>
                  </pic:blipFill>
                  <pic:spPr>
                    <a:xfrm>
                      <a:off x="0" y="0"/>
                      <a:ext cx="5268595" cy="1866265"/>
                    </a:xfrm>
                    <a:prstGeom prst="rect">
                      <a:avLst/>
                    </a:prstGeom>
                  </pic:spPr>
                </pic:pic>
              </a:graphicData>
            </a:graphic>
          </wp:inline>
        </w:drawing>
      </w:r>
      <w:r>
        <w:rPr>
          <w:rFonts w:ascii="宋体" w:hAnsi="宋体" w:eastAsia="宋体" w:cs="宋体"/>
          <w:sz w:val="15"/>
          <w:szCs w:val="15"/>
        </w:rPr>
        <w:t>注：基于自然资源部标准地图服务网站审图号</w:t>
      </w:r>
      <w:r>
        <w:rPr>
          <w:rFonts w:hint="eastAsia" w:ascii="宋体" w:hAnsi="宋体" w:eastAsia="宋体" w:cs="宋体"/>
          <w:sz w:val="15"/>
          <w:szCs w:val="15"/>
        </w:rPr>
        <w:t>GS(2023)2767</w:t>
      </w:r>
      <w:r>
        <w:rPr>
          <w:rFonts w:ascii="宋体" w:hAnsi="宋体" w:eastAsia="宋体" w:cs="宋体"/>
          <w:sz w:val="15"/>
          <w:szCs w:val="15"/>
        </w:rPr>
        <w:t>号标准地图制作，底图无修改</w:t>
      </w:r>
    </w:p>
    <w:p w14:paraId="0439D795">
      <w:pPr>
        <w:rPr>
          <w:rFonts w:ascii="Times New Roman" w:hAnsi="Times New Roman" w:eastAsia="宋体" w:cs="Times New Roman"/>
          <w:sz w:val="18"/>
          <w:szCs w:val="18"/>
        </w:rPr>
      </w:pPr>
      <w:r>
        <w:rPr>
          <w:rFonts w:ascii="Times New Roman" w:hAnsi="Times New Roman" w:eastAsia="宋体" w:cs="Times New Roman"/>
          <w:sz w:val="18"/>
          <w:szCs w:val="18"/>
        </w:rPr>
        <w:t xml:space="preserve">图 S18 </w:t>
      </w:r>
      <w:r>
        <w:rPr>
          <w:rFonts w:hint="default" w:ascii="Times New Roman" w:hAnsi="Times New Roman" w:eastAsia="宋体" w:cs="Times New Roman"/>
          <w:sz w:val="18"/>
          <w:szCs w:val="18"/>
        </w:rPr>
        <w:t>未来不同排放情景下青藏高原风速与辐射的相对变化。（</w:t>
      </w:r>
      <w:r>
        <w:rPr>
          <w:rFonts w:ascii="Times New Roman" w:hAnsi="Times New Roman" w:eastAsia="宋体" w:cs="Times New Roman"/>
          <w:sz w:val="18"/>
          <w:szCs w:val="18"/>
        </w:rPr>
        <w:t>A–C：风速相对变化；D–F：辐射相对变化）</w:t>
      </w:r>
    </w:p>
    <w:p w14:paraId="3A102A53">
      <w:pPr>
        <w:pStyle w:val="12"/>
        <w:widowControl/>
        <w:overflowPunct w:val="0"/>
        <w:spacing w:line="300" w:lineRule="auto"/>
        <w:rPr>
          <w:rFonts w:ascii="Times New Roman" w:cs="Times New Roman"/>
          <w:sz w:val="18"/>
          <w:szCs w:val="18"/>
        </w:rPr>
      </w:pPr>
      <w:r>
        <w:rPr>
          <w:rFonts w:ascii="Times New Roman" w:cs="Times New Roman"/>
          <w:sz w:val="18"/>
          <w:szCs w:val="18"/>
        </w:rPr>
        <w:t>Fig. S18 Relative changes in wind speed and radiation over the Qinghai-Tibet Plateau under different future emission scenarios. (A–C: relative changes in wind speed; D–F: relative changes in radiation)</w:t>
      </w:r>
    </w:p>
    <w:p w14:paraId="193478AA">
      <w:pPr>
        <w:widowControl/>
        <w:jc w:val="left"/>
        <w:rPr>
          <w:rFonts w:ascii="Times New Roman" w:hAnsi="Times New Roman" w:eastAsia="宋体" w:cs="Times New Roman"/>
          <w:kern w:val="0"/>
          <w:sz w:val="18"/>
          <w:szCs w:val="18"/>
        </w:rPr>
      </w:pPr>
      <w:r>
        <w:rPr>
          <w:rFonts w:ascii="Times New Roman" w:hAnsi="Times New Roman" w:cs="Times New Roman"/>
          <w:sz w:val="18"/>
          <w:szCs w:val="18"/>
        </w:rPr>
        <w:br w:type="page"/>
      </w:r>
    </w:p>
    <w:p w14:paraId="0D05C251">
      <w:pPr>
        <w:pStyle w:val="57"/>
        <w:ind w:left="0" w:right="630"/>
        <w:jc w:val="both"/>
        <w:rPr>
          <w:sz w:val="28"/>
          <w:szCs w:val="28"/>
        </w:rPr>
      </w:pPr>
      <w:r>
        <w:rPr>
          <w:rFonts w:hint="default"/>
          <w:sz w:val="28"/>
          <w:szCs w:val="28"/>
        </w:rPr>
        <w:t>补充参考文献：</w:t>
      </w:r>
    </w:p>
    <w:p w14:paraId="30FC4583">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fldChar w:fldCharType="begin"/>
      </w:r>
      <w:r>
        <w:rPr>
          <w:rFonts w:ascii="Times New Roman" w:hAnsi="Times New Roman" w:eastAsia="宋体" w:cs="Times New Roman"/>
          <w:kern w:val="0"/>
          <w:szCs w:val="21"/>
        </w:rPr>
        <w:instrText xml:space="preserve"> ADDIN ZOTERO_BIBL {"uncited":[],"omitted":[],"custom":[]} CSL_BIBLIOGRAPHY </w:instrText>
      </w:r>
      <w:r>
        <w:rPr>
          <w:rFonts w:ascii="Times New Roman" w:hAnsi="Times New Roman" w:eastAsia="宋体" w:cs="Times New Roman"/>
          <w:kern w:val="0"/>
          <w:szCs w:val="21"/>
        </w:rPr>
        <w:fldChar w:fldCharType="separate"/>
      </w:r>
      <w:r>
        <w:rPr>
          <w:rFonts w:ascii="Times New Roman" w:hAnsi="Times New Roman" w:eastAsia="宋体" w:cs="Times New Roman"/>
          <w:kern w:val="0"/>
          <w:szCs w:val="21"/>
        </w:rPr>
        <w:t>[1]</w:t>
      </w:r>
      <w:r>
        <w:rPr>
          <w:rFonts w:ascii="Times New Roman" w:hAnsi="Times New Roman" w:eastAsia="宋体" w:cs="Times New Roman"/>
          <w:kern w:val="0"/>
          <w:szCs w:val="21"/>
        </w:rPr>
        <w:tab/>
      </w:r>
      <w:r>
        <w:rPr>
          <w:rFonts w:ascii="Times New Roman" w:hAnsi="Times New Roman" w:eastAsia="宋体" w:cs="Times New Roman"/>
          <w:kern w:val="0"/>
          <w:szCs w:val="21"/>
        </w:rPr>
        <w:t>Chen S, Lu X, Miao Y, et al. The potential of photovoltaics to power the belt and road initiative[J]. Joule, 2019, 3(8): 1895-1912.</w:t>
      </w:r>
    </w:p>
    <w:p w14:paraId="5903933F">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w:t>
      </w:r>
      <w:r>
        <w:rPr>
          <w:rFonts w:ascii="Times New Roman" w:hAnsi="Times New Roman" w:eastAsia="宋体" w:cs="Times New Roman"/>
          <w:kern w:val="0"/>
          <w:szCs w:val="21"/>
        </w:rPr>
        <w:tab/>
      </w:r>
      <w:r>
        <w:rPr>
          <w:rFonts w:ascii="Times New Roman" w:hAnsi="Times New Roman" w:eastAsia="宋体" w:cs="Times New Roman"/>
          <w:kern w:val="0"/>
          <w:szCs w:val="21"/>
        </w:rPr>
        <w:t>Qiu T, Wang L, Lu Y, et al. Potential assessment of photovoltaic power generation in China[J]. Renewable and Sustainable Energy Reviews, 2022, 154: 111900.</w:t>
      </w:r>
    </w:p>
    <w:p w14:paraId="7934BDDC">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[3]</w:t>
      </w:r>
      <w:r>
        <w:rPr>
          <w:rFonts w:ascii="Times New Roman" w:hAnsi="Times New Roman" w:eastAsia="宋体" w:cs="Times New Roman"/>
          <w:kern w:val="0"/>
          <w:szCs w:val="21"/>
        </w:rPr>
        <w:tab/>
      </w:r>
      <w:r>
        <w:rPr>
          <w:rFonts w:ascii="Times New Roman" w:hAnsi="Times New Roman" w:eastAsia="宋体" w:cs="Times New Roman"/>
          <w:kern w:val="0"/>
          <w:szCs w:val="21"/>
        </w:rPr>
        <w:t>Friedl M, Damien S M. MODIS/Terra+Aqua Land Cover Type Yearly L3 Global 500m SIN Grid V061.[DS/OL]. NASA Land Processes Distributed Active Archive Center, 2022. https://www.earthdata.nasa.gov/data/catalog/lpcloud-mod17a2hgf-061.</w:t>
      </w:r>
    </w:p>
    <w:p w14:paraId="7764A94A">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[4]</w:t>
      </w:r>
      <w:r>
        <w:rPr>
          <w:rFonts w:ascii="Times New Roman" w:hAnsi="Times New Roman" w:eastAsia="宋体" w:cs="Times New Roman"/>
          <w:kern w:val="0"/>
          <w:szCs w:val="21"/>
        </w:rPr>
        <w:tab/>
      </w:r>
      <w:r>
        <w:rPr>
          <w:rFonts w:ascii="Times New Roman" w:hAnsi="Times New Roman" w:eastAsia="宋体" w:cs="Times New Roman"/>
          <w:kern w:val="0"/>
          <w:szCs w:val="21"/>
        </w:rPr>
        <w:t xml:space="preserve">Thrasher B, Maurer E P, McKellar C, </w:t>
      </w:r>
      <w:r>
        <w:rPr>
          <w:rFonts w:hint="eastAsia" w:ascii="Times New Roman" w:hAnsi="Times New Roman" w:eastAsia="宋体" w:cs="Times New Roman"/>
          <w:kern w:val="0"/>
          <w:szCs w:val="21"/>
        </w:rPr>
        <w:t>等</w:t>
      </w:r>
      <w:r>
        <w:rPr>
          <w:rFonts w:ascii="Times New Roman" w:hAnsi="Times New Roman" w:eastAsia="宋体" w:cs="Times New Roman"/>
          <w:kern w:val="0"/>
          <w:szCs w:val="21"/>
        </w:rPr>
        <w:t>. Technical Note: Bias correcting climate model simulated daily temperature extremes with quantile mapping[J]. Hydrology and Earth System Sciences, 2012, 16(9): 3309-3314.</w:t>
      </w:r>
    </w:p>
    <w:p w14:paraId="6BBF6C33">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[5]</w:t>
      </w:r>
      <w:r>
        <w:rPr>
          <w:rFonts w:ascii="Times New Roman" w:hAnsi="Times New Roman" w:eastAsia="宋体" w:cs="Times New Roman"/>
          <w:kern w:val="0"/>
          <w:szCs w:val="21"/>
        </w:rPr>
        <w:tab/>
      </w:r>
      <w:r>
        <w:rPr>
          <w:rFonts w:ascii="Times New Roman" w:hAnsi="Times New Roman" w:eastAsia="宋体" w:cs="Times New Roman"/>
          <w:kern w:val="0"/>
          <w:szCs w:val="21"/>
        </w:rPr>
        <w:t xml:space="preserve">Reicosky D C, Winkelman L J, Baker J M, </w:t>
      </w:r>
      <w:r>
        <w:rPr>
          <w:rFonts w:hint="eastAsia" w:ascii="Times New Roman" w:hAnsi="Times New Roman" w:eastAsia="宋体" w:cs="Times New Roman"/>
          <w:kern w:val="0"/>
          <w:szCs w:val="21"/>
        </w:rPr>
        <w:t>等</w:t>
      </w:r>
      <w:r>
        <w:rPr>
          <w:rFonts w:ascii="Times New Roman" w:hAnsi="Times New Roman" w:eastAsia="宋体" w:cs="Times New Roman"/>
          <w:kern w:val="0"/>
          <w:szCs w:val="21"/>
        </w:rPr>
        <w:t>. Accuracy of hourly air temperatures calculated from daily minima and maxima[J]. Agricultural and Forest Meteorology, 1989, 46(3): 193-209.</w:t>
      </w:r>
    </w:p>
    <w:p w14:paraId="29A6C528">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[6]</w:t>
      </w:r>
      <w:r>
        <w:rPr>
          <w:rFonts w:ascii="Times New Roman" w:hAnsi="Times New Roman" w:eastAsia="宋体" w:cs="Times New Roman"/>
          <w:kern w:val="0"/>
          <w:szCs w:val="21"/>
        </w:rPr>
        <w:tab/>
      </w:r>
      <w:r>
        <w:rPr>
          <w:rFonts w:ascii="Times New Roman" w:hAnsi="Times New Roman" w:eastAsia="宋体" w:cs="Times New Roman"/>
          <w:kern w:val="0"/>
          <w:szCs w:val="21"/>
        </w:rPr>
        <w:t>Masters G M. Renewable and Efficient Electric Power Systems[M]. 2004.</w:t>
      </w:r>
    </w:p>
    <w:p w14:paraId="7DE66745">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[7]</w:t>
      </w:r>
      <w:r>
        <w:rPr>
          <w:rFonts w:ascii="Times New Roman" w:hAnsi="Times New Roman" w:eastAsia="宋体" w:cs="Times New Roman"/>
          <w:kern w:val="0"/>
          <w:szCs w:val="21"/>
        </w:rPr>
        <w:tab/>
      </w:r>
      <w:r>
        <w:rPr>
          <w:rFonts w:ascii="Times New Roman" w:hAnsi="Times New Roman" w:eastAsia="宋体" w:cs="Times New Roman"/>
          <w:kern w:val="0"/>
          <w:szCs w:val="21"/>
        </w:rPr>
        <w:t>Collares-Pereira M, Rabl A. The average distribution of solar radiation-correlations between diffuse and hemispherical and between daily and hourly insolation values[J]. Solar Energy, 1979, 22(2): 155-164.</w:t>
      </w:r>
    </w:p>
    <w:p w14:paraId="0B14B6CF">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[8]</w:t>
      </w:r>
      <w:r>
        <w:rPr>
          <w:rFonts w:ascii="Times New Roman" w:hAnsi="Times New Roman" w:eastAsia="宋体" w:cs="Times New Roman"/>
          <w:kern w:val="0"/>
          <w:szCs w:val="21"/>
        </w:rPr>
        <w:tab/>
      </w:r>
      <w:r>
        <w:rPr>
          <w:rFonts w:ascii="Times New Roman" w:hAnsi="Times New Roman" w:eastAsia="宋体" w:cs="Times New Roman"/>
          <w:kern w:val="0"/>
          <w:szCs w:val="21"/>
        </w:rPr>
        <w:t>Kawajiri K, Oozeki T, Genchi Y. Effect of Temperature on PV Potential in the World[J]. Environmental Science &amp; Technology, 2011, 45(20): 9030-9035.</w:t>
      </w:r>
    </w:p>
    <w:p w14:paraId="34B5D6AD">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[9]</w:t>
      </w:r>
      <w:r>
        <w:rPr>
          <w:rFonts w:ascii="Times New Roman" w:hAnsi="Times New Roman" w:eastAsia="宋体" w:cs="Times New Roman"/>
          <w:kern w:val="0"/>
          <w:szCs w:val="21"/>
        </w:rPr>
        <w:tab/>
      </w:r>
      <w:r>
        <w:rPr>
          <w:rFonts w:ascii="Times New Roman" w:hAnsi="Times New Roman" w:eastAsia="宋体" w:cs="Times New Roman"/>
          <w:kern w:val="0"/>
          <w:szCs w:val="21"/>
        </w:rPr>
        <w:t>Skoplaki E, Palyvos J A. On the temperature dependence of photovoltaic module electrical performance: A review of efficiency/power correlations[J]. Solar Energy, 2009, 83(5): 614-624.</w:t>
      </w:r>
    </w:p>
    <w:p w14:paraId="3EF97C85">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[10]</w:t>
      </w:r>
      <w:r>
        <w:rPr>
          <w:rFonts w:ascii="Times New Roman" w:hAnsi="Times New Roman" w:eastAsia="宋体" w:cs="Times New Roman"/>
          <w:kern w:val="0"/>
          <w:szCs w:val="21"/>
        </w:rPr>
        <w:tab/>
      </w:r>
      <w:r>
        <w:rPr>
          <w:rFonts w:ascii="Times New Roman" w:hAnsi="Times New Roman" w:eastAsia="宋体" w:cs="Times New Roman"/>
          <w:kern w:val="0"/>
          <w:szCs w:val="21"/>
        </w:rPr>
        <w:t>Zheng D, Tong D, Davis S J, et al. Climate change impacts on the extreme power shortage events of wind-solar supply systems worldwide during 1980–2022[J]. Nature Communications, 2024, 15(1): 5225.</w:t>
      </w:r>
    </w:p>
    <w:p w14:paraId="042AD3B6">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[11]</w:t>
      </w:r>
      <w:r>
        <w:rPr>
          <w:rFonts w:ascii="Times New Roman" w:hAnsi="Times New Roman" w:eastAsia="宋体" w:cs="Times New Roman"/>
          <w:kern w:val="0"/>
          <w:szCs w:val="21"/>
        </w:rPr>
        <w:tab/>
      </w:r>
      <w:r>
        <w:rPr>
          <w:rFonts w:ascii="Times New Roman" w:hAnsi="Times New Roman" w:eastAsia="宋体" w:cs="Times New Roman"/>
          <w:kern w:val="0"/>
          <w:szCs w:val="21"/>
        </w:rPr>
        <w:t>Peterson E W, Hennessey J P. On the Use of Power Laws for Estimates of Wind Power Potential[J]. Journal of Applied Meteorology and Climatology, 1978, 17(3): 390-394.</w:t>
      </w:r>
    </w:p>
    <w:p w14:paraId="7A0894FA">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[12]</w:t>
      </w:r>
      <w:r>
        <w:rPr>
          <w:rFonts w:ascii="Times New Roman" w:hAnsi="Times New Roman" w:eastAsia="宋体" w:cs="Times New Roman"/>
          <w:kern w:val="0"/>
          <w:szCs w:val="21"/>
        </w:rPr>
        <w:tab/>
      </w:r>
      <w:r>
        <w:rPr>
          <w:rFonts w:ascii="Times New Roman" w:hAnsi="Times New Roman" w:eastAsia="宋体" w:cs="Times New Roman"/>
          <w:kern w:val="0"/>
          <w:szCs w:val="21"/>
        </w:rPr>
        <w:t>John M. Wallace, Peter V. Hobbs. Atmospheric Science[M]. Elsevier, 2006.</w:t>
      </w:r>
    </w:p>
    <w:p w14:paraId="36482CF0">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[13]</w:t>
      </w:r>
      <w:r>
        <w:rPr>
          <w:rFonts w:ascii="Times New Roman" w:hAnsi="Times New Roman" w:eastAsia="宋体" w:cs="Times New Roman"/>
          <w:kern w:val="0"/>
          <w:szCs w:val="21"/>
        </w:rPr>
        <w:tab/>
      </w:r>
      <w:r>
        <w:rPr>
          <w:rFonts w:ascii="Times New Roman" w:hAnsi="Times New Roman" w:eastAsia="宋体" w:cs="Times New Roman"/>
          <w:kern w:val="0"/>
          <w:szCs w:val="21"/>
        </w:rPr>
        <w:t>Turbines—Part W. 12-1: Power Performance Measurements of Electricity Producing Wind Turbines[J]. British Standard, IEC, 2005: 61400-61412.</w:t>
      </w:r>
    </w:p>
    <w:p w14:paraId="09F0BF3E">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[14]</w:t>
      </w:r>
      <w:r>
        <w:rPr>
          <w:rFonts w:ascii="Times New Roman" w:hAnsi="Times New Roman" w:eastAsia="宋体" w:cs="Times New Roman"/>
          <w:kern w:val="0"/>
          <w:szCs w:val="21"/>
        </w:rPr>
        <w:tab/>
      </w:r>
      <w:r>
        <w:rPr>
          <w:rFonts w:ascii="Times New Roman" w:hAnsi="Times New Roman" w:eastAsia="宋体" w:cs="Times New Roman"/>
          <w:kern w:val="0"/>
          <w:szCs w:val="21"/>
        </w:rPr>
        <w:t>Manwell J F, McGowan J G, Rogers A L. Wind Energy Explained: Theory, Design and Application[M]. John Wiley &amp; Sons, 2010.</w:t>
      </w:r>
    </w:p>
    <w:p w14:paraId="73E56F02">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[15]</w:t>
      </w:r>
      <w:r>
        <w:rPr>
          <w:rFonts w:ascii="Times New Roman" w:hAnsi="Times New Roman" w:eastAsia="宋体" w:cs="Times New Roman"/>
          <w:kern w:val="0"/>
          <w:szCs w:val="21"/>
        </w:rPr>
        <w:tab/>
      </w:r>
      <w:r>
        <w:rPr>
          <w:rFonts w:ascii="Times New Roman" w:hAnsi="Times New Roman" w:eastAsia="宋体" w:cs="Times New Roman"/>
          <w:kern w:val="0"/>
          <w:szCs w:val="21"/>
        </w:rPr>
        <w:t>Pryor S C, Barthelmie R J, Bukovsky M S, et al. Climate change impacts on wind power generation[J]. Nature Reviews Earth &amp; Environment, 2020, 1(12): 627-643.</w:t>
      </w:r>
    </w:p>
    <w:p w14:paraId="43E0967D">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[16]</w:t>
      </w:r>
      <w:r>
        <w:rPr>
          <w:rFonts w:ascii="Times New Roman" w:hAnsi="Times New Roman" w:eastAsia="宋体" w:cs="Times New Roman"/>
          <w:kern w:val="0"/>
          <w:szCs w:val="21"/>
        </w:rPr>
        <w:tab/>
      </w:r>
      <w:r>
        <w:rPr>
          <w:rFonts w:ascii="Times New Roman" w:hAnsi="Times New Roman" w:eastAsia="宋体" w:cs="Times New Roman"/>
          <w:kern w:val="0"/>
          <w:szCs w:val="21"/>
        </w:rPr>
        <w:t>Carta J A, Ramírez P, Velázquez S. A review of wind speed probability distributions used in wind energy analysis: Case studies in the Canary Islands[J]. Renewable and Sustainable Energy Reviews, 2009, 13(5): 933-955.</w:t>
      </w:r>
    </w:p>
    <w:p w14:paraId="19FA0F81">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[17]</w:t>
      </w:r>
      <w:r>
        <w:rPr>
          <w:rFonts w:ascii="Times New Roman" w:hAnsi="Times New Roman" w:eastAsia="宋体" w:cs="Times New Roman"/>
          <w:kern w:val="0"/>
          <w:szCs w:val="21"/>
        </w:rPr>
        <w:tab/>
      </w:r>
      <w:r>
        <w:rPr>
          <w:rFonts w:ascii="Times New Roman" w:hAnsi="Times New Roman" w:eastAsia="宋体" w:cs="Times New Roman"/>
          <w:kern w:val="0"/>
          <w:szCs w:val="21"/>
        </w:rPr>
        <w:t>Justus C G, Hargraves W R, Mikhail A, et al. Methods for Estimating Wind Speed Frequency Distributions[J]. Journal of Applied Meteorology and Climatology, 1978, 17(3): 350-353.</w:t>
      </w:r>
    </w:p>
    <w:p w14:paraId="29319664">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[18]</w:t>
      </w:r>
      <w:r>
        <w:rPr>
          <w:rFonts w:ascii="Times New Roman" w:hAnsi="Times New Roman" w:eastAsia="宋体" w:cs="Times New Roman"/>
          <w:kern w:val="0"/>
          <w:szCs w:val="21"/>
        </w:rPr>
        <w:tab/>
      </w:r>
      <w:r>
        <w:rPr>
          <w:rFonts w:ascii="Times New Roman" w:hAnsi="Times New Roman" w:eastAsia="宋体" w:cs="Times New Roman"/>
          <w:kern w:val="0"/>
          <w:szCs w:val="21"/>
        </w:rPr>
        <w:t>Bauer L. Willkommen auf wind-turbine-models.com[EB/OL]. [2026-06-26]. https://www.wind-turbine-models.com/.</w:t>
      </w:r>
    </w:p>
    <w:p w14:paraId="6E633B97">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[19]</w:t>
      </w:r>
      <w:r>
        <w:rPr>
          <w:rFonts w:ascii="Times New Roman" w:hAnsi="Times New Roman" w:eastAsia="宋体" w:cs="Times New Roman"/>
          <w:kern w:val="0"/>
          <w:szCs w:val="21"/>
        </w:rPr>
        <w:tab/>
      </w:r>
      <w:r>
        <w:rPr>
          <w:rFonts w:ascii="Times New Roman" w:hAnsi="Times New Roman" w:eastAsia="宋体" w:cs="Times New Roman"/>
          <w:kern w:val="0"/>
          <w:szCs w:val="21"/>
        </w:rPr>
        <w:t>Stevens R J A M, Meneveau C. Flow Structure and Turbulence in Wind Farms[J]. Annual Review of Fluid Mechanics, 2017, 49(Volume 49, 2017): 311-339.</w:t>
      </w:r>
    </w:p>
    <w:p w14:paraId="6FF1F1B6">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[20]</w:t>
      </w:r>
      <w:r>
        <w:rPr>
          <w:rFonts w:ascii="Times New Roman" w:hAnsi="Times New Roman" w:eastAsia="宋体" w:cs="Times New Roman"/>
          <w:kern w:val="0"/>
          <w:szCs w:val="21"/>
        </w:rPr>
        <w:tab/>
      </w:r>
      <w:r>
        <w:rPr>
          <w:rFonts w:ascii="Times New Roman" w:hAnsi="Times New Roman" w:eastAsia="宋体" w:cs="Times New Roman"/>
          <w:kern w:val="0"/>
          <w:szCs w:val="21"/>
        </w:rPr>
        <w:t>Wang Y, Wang R, Tanaka K, et al. Accelerating the energy transition towards photovoltaic and wind in China[J]. Nature, 2023, 619(7971): 761-767.</w:t>
      </w:r>
    </w:p>
    <w:p w14:paraId="2FD2B5A6">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[21]</w:t>
      </w:r>
      <w:r>
        <w:rPr>
          <w:rFonts w:ascii="Times New Roman" w:hAnsi="Times New Roman" w:eastAsia="宋体" w:cs="Times New Roman"/>
          <w:kern w:val="0"/>
          <w:szCs w:val="21"/>
        </w:rPr>
        <w:tab/>
      </w:r>
      <w:r>
        <w:rPr>
          <w:rFonts w:ascii="Times New Roman" w:hAnsi="Times New Roman" w:eastAsia="宋体" w:cs="Times New Roman"/>
          <w:kern w:val="0"/>
          <w:szCs w:val="21"/>
        </w:rPr>
        <w:t>Enevoldsen P, Jacobson M Z. Data investigation of installed and output power densities of onshore and offshore wind turbines worldwide[J]. Energy for Sustainable Development, 2021, 60: 40-51.</w:t>
      </w:r>
    </w:p>
    <w:p w14:paraId="418F75C0">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[22]</w:t>
      </w:r>
      <w:r>
        <w:rPr>
          <w:rFonts w:ascii="Times New Roman" w:hAnsi="Times New Roman" w:eastAsia="宋体" w:cs="Times New Roman"/>
          <w:kern w:val="0"/>
          <w:szCs w:val="21"/>
        </w:rPr>
        <w:tab/>
      </w:r>
      <w:r>
        <w:rPr>
          <w:rFonts w:ascii="Times New Roman" w:hAnsi="Times New Roman" w:eastAsia="宋体" w:cs="Times New Roman"/>
          <w:kern w:val="0"/>
          <w:szCs w:val="21"/>
        </w:rPr>
        <w:t>Bosch J, Staffell I, Hawkes A D. Temporally explicit and spatially resolved global offshore wind energy potentials[J]. Energy, 2018, 163: 766-781.</w:t>
      </w:r>
    </w:p>
    <w:p w14:paraId="37A5156D">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[23]</w:t>
      </w:r>
      <w:r>
        <w:rPr>
          <w:rFonts w:ascii="Times New Roman" w:hAnsi="Times New Roman" w:eastAsia="宋体" w:cs="Times New Roman"/>
          <w:kern w:val="0"/>
          <w:szCs w:val="21"/>
        </w:rPr>
        <w:tab/>
      </w:r>
      <w:r>
        <w:rPr>
          <w:rFonts w:ascii="Times New Roman" w:hAnsi="Times New Roman" w:eastAsia="宋体" w:cs="Times New Roman"/>
          <w:kern w:val="0"/>
          <w:szCs w:val="21"/>
        </w:rPr>
        <w:t>Rinne E, Holttinen H, Kiviluoma J, et al. Effects of turbine technology and land use on wind power resource potential[J]. Nature Energy, 2018, 3(6): 494-500.</w:t>
      </w:r>
    </w:p>
    <w:p w14:paraId="5333C5CC">
      <w:pPr>
        <w:pStyle w:val="61"/>
        <w:tabs>
          <w:tab w:val="left" w:pos="504"/>
        </w:tabs>
        <w:autoSpaceDE w:val="0"/>
        <w:autoSpaceDN w:val="0"/>
        <w:adjustRightInd w:val="0"/>
        <w:jc w:val="left"/>
        <w:rPr>
          <w:rFonts w:ascii="Times New Roman" w:hAnsi="Times New Roman" w:eastAsia="宋体" w:cs="Times New Roman"/>
          <w:kern w:val="0"/>
          <w:szCs w:val="21"/>
        </w:rPr>
      </w:pPr>
      <w:r>
        <w:rPr>
          <w:rFonts w:ascii="Times New Roman" w:hAnsi="Times New Roman" w:eastAsia="宋体" w:cs="Times New Roman"/>
          <w:kern w:val="0"/>
          <w:szCs w:val="21"/>
        </w:rPr>
        <w:t>[24]</w:t>
      </w:r>
      <w:r>
        <w:rPr>
          <w:rFonts w:ascii="Times New Roman" w:hAnsi="Times New Roman" w:eastAsia="宋体" w:cs="Times New Roman"/>
          <w:kern w:val="0"/>
          <w:szCs w:val="21"/>
        </w:rPr>
        <w:tab/>
      </w:r>
      <w:r>
        <w:rPr>
          <w:rFonts w:ascii="Times New Roman" w:hAnsi="Times New Roman" w:eastAsia="宋体" w:cs="Times New Roman"/>
          <w:kern w:val="0"/>
          <w:szCs w:val="21"/>
        </w:rPr>
        <w:t>Abolude A T, Zhou W. Assessment and performance evaluation of a wind turbine power output[J]. Energies, 2018, 11(8): 1992.</w:t>
      </w:r>
    </w:p>
    <w:p w14:paraId="0437FCBA">
      <w:pPr>
        <w:pStyle w:val="61"/>
        <w:tabs>
          <w:tab w:val="left" w:pos="504"/>
        </w:tabs>
        <w:autoSpaceDE w:val="0"/>
        <w:autoSpaceDN w:val="0"/>
        <w:adjustRightInd w:val="0"/>
        <w:jc w:val="left"/>
        <w:rPr>
          <w:rFonts w:ascii="Times New Roman" w:hAnsi="Times New Roman" w:eastAsia="宋体" w:cs="Times New Roman"/>
          <w:kern w:val="0"/>
          <w:sz w:val="21"/>
          <w:szCs w:val="21"/>
        </w:rPr>
      </w:pPr>
      <w:r>
        <w:rPr>
          <w:rFonts w:hint="default" w:ascii="Times New Roman" w:hAnsi="Times New Roman" w:eastAsia="宋体" w:cs="Times New Roman"/>
          <w:kern w:val="0"/>
          <w:szCs w:val="21"/>
        </w:rPr>
        <w:fldChar w:fldCharType="end"/>
      </w:r>
    </w:p>
    <w:sectPr>
      <w:pgSz w:w="11906" w:h="16838"/>
      <w:pgMar w:top="1440" w:right="1800" w:bottom="1440" w:left="1800" w:header="851" w:footer="992" w:gutter="0"/>
      <w:lnNumType w:countBy="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方正书宋简体">
    <w:altName w:val="微软雅黑"/>
    <w:panose1 w:val="00000000000000000000"/>
    <w:charset w:val="86"/>
    <w:family w:val="auto"/>
    <w:pitch w:val="default"/>
    <w:sig w:usb0="00000000" w:usb1="00000000" w:usb2="00000000" w:usb3="00000000" w:csb0="00040000"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9976E3"/>
    <w:multiLevelType w:val="multilevel"/>
    <w:tmpl w:val="359976E3"/>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797"/>
    <w:rsid w:val="00020D72"/>
    <w:rsid w:val="000235E4"/>
    <w:rsid w:val="000278AB"/>
    <w:rsid w:val="000339A4"/>
    <w:rsid w:val="00033FE8"/>
    <w:rsid w:val="000342F7"/>
    <w:rsid w:val="00034877"/>
    <w:rsid w:val="00045E49"/>
    <w:rsid w:val="00057480"/>
    <w:rsid w:val="0007304A"/>
    <w:rsid w:val="00073D7F"/>
    <w:rsid w:val="000777F5"/>
    <w:rsid w:val="000900FD"/>
    <w:rsid w:val="00090BF3"/>
    <w:rsid w:val="000910C1"/>
    <w:rsid w:val="00092C97"/>
    <w:rsid w:val="000A3729"/>
    <w:rsid w:val="000A64A5"/>
    <w:rsid w:val="000A71B8"/>
    <w:rsid w:val="000B68CC"/>
    <w:rsid w:val="000C2276"/>
    <w:rsid w:val="000C2ED6"/>
    <w:rsid w:val="000C69DD"/>
    <w:rsid w:val="000D2DB8"/>
    <w:rsid w:val="000D5865"/>
    <w:rsid w:val="000D7529"/>
    <w:rsid w:val="000E2647"/>
    <w:rsid w:val="000E2AC1"/>
    <w:rsid w:val="000E5C9A"/>
    <w:rsid w:val="000F0E06"/>
    <w:rsid w:val="000F7AFF"/>
    <w:rsid w:val="00103140"/>
    <w:rsid w:val="00105C02"/>
    <w:rsid w:val="0011114D"/>
    <w:rsid w:val="0011143A"/>
    <w:rsid w:val="00127B0E"/>
    <w:rsid w:val="001322CE"/>
    <w:rsid w:val="00147AF3"/>
    <w:rsid w:val="00153E13"/>
    <w:rsid w:val="0015593C"/>
    <w:rsid w:val="00157A0D"/>
    <w:rsid w:val="00171BBB"/>
    <w:rsid w:val="00172A27"/>
    <w:rsid w:val="0017302A"/>
    <w:rsid w:val="00174C24"/>
    <w:rsid w:val="0018508E"/>
    <w:rsid w:val="00185D10"/>
    <w:rsid w:val="001900E2"/>
    <w:rsid w:val="0019225F"/>
    <w:rsid w:val="001924EA"/>
    <w:rsid w:val="001A1C78"/>
    <w:rsid w:val="001A6239"/>
    <w:rsid w:val="001B353C"/>
    <w:rsid w:val="001C3285"/>
    <w:rsid w:val="001C46A1"/>
    <w:rsid w:val="001C6F56"/>
    <w:rsid w:val="001D4166"/>
    <w:rsid w:val="001D47F7"/>
    <w:rsid w:val="001D58EB"/>
    <w:rsid w:val="001E60EA"/>
    <w:rsid w:val="001E7749"/>
    <w:rsid w:val="001F1517"/>
    <w:rsid w:val="001F55E5"/>
    <w:rsid w:val="001F6F9E"/>
    <w:rsid w:val="00211426"/>
    <w:rsid w:val="002137F0"/>
    <w:rsid w:val="0022016F"/>
    <w:rsid w:val="0022176B"/>
    <w:rsid w:val="00221871"/>
    <w:rsid w:val="00231924"/>
    <w:rsid w:val="00261579"/>
    <w:rsid w:val="00262AF4"/>
    <w:rsid w:val="002662D9"/>
    <w:rsid w:val="002720EF"/>
    <w:rsid w:val="00274968"/>
    <w:rsid w:val="0027633B"/>
    <w:rsid w:val="00283A5C"/>
    <w:rsid w:val="002A096C"/>
    <w:rsid w:val="002A4B1B"/>
    <w:rsid w:val="002B031C"/>
    <w:rsid w:val="002B2B62"/>
    <w:rsid w:val="002B6E5D"/>
    <w:rsid w:val="002B71EE"/>
    <w:rsid w:val="002B7783"/>
    <w:rsid w:val="002C30C9"/>
    <w:rsid w:val="002C32F1"/>
    <w:rsid w:val="002C5C06"/>
    <w:rsid w:val="002D4BA1"/>
    <w:rsid w:val="002D7FD8"/>
    <w:rsid w:val="002E20DC"/>
    <w:rsid w:val="00302EAF"/>
    <w:rsid w:val="00303D70"/>
    <w:rsid w:val="0030529B"/>
    <w:rsid w:val="00310D81"/>
    <w:rsid w:val="00325C6F"/>
    <w:rsid w:val="00327A48"/>
    <w:rsid w:val="00334E50"/>
    <w:rsid w:val="00345B35"/>
    <w:rsid w:val="00362811"/>
    <w:rsid w:val="003629A7"/>
    <w:rsid w:val="003642D4"/>
    <w:rsid w:val="003701E9"/>
    <w:rsid w:val="003762A7"/>
    <w:rsid w:val="0038307D"/>
    <w:rsid w:val="00383551"/>
    <w:rsid w:val="00384915"/>
    <w:rsid w:val="003934DE"/>
    <w:rsid w:val="003A2DAA"/>
    <w:rsid w:val="003A4868"/>
    <w:rsid w:val="003A5292"/>
    <w:rsid w:val="003A610B"/>
    <w:rsid w:val="003A717F"/>
    <w:rsid w:val="003B59CB"/>
    <w:rsid w:val="003B7C00"/>
    <w:rsid w:val="003C4617"/>
    <w:rsid w:val="003C7C6E"/>
    <w:rsid w:val="003D018B"/>
    <w:rsid w:val="003D0AAA"/>
    <w:rsid w:val="003E0F8B"/>
    <w:rsid w:val="003E4529"/>
    <w:rsid w:val="003E579B"/>
    <w:rsid w:val="003E7364"/>
    <w:rsid w:val="003E7824"/>
    <w:rsid w:val="003F3581"/>
    <w:rsid w:val="003F3D19"/>
    <w:rsid w:val="00402423"/>
    <w:rsid w:val="00404EFA"/>
    <w:rsid w:val="00420BF8"/>
    <w:rsid w:val="00421C3D"/>
    <w:rsid w:val="00426560"/>
    <w:rsid w:val="00426B72"/>
    <w:rsid w:val="00436792"/>
    <w:rsid w:val="00450421"/>
    <w:rsid w:val="00451CA5"/>
    <w:rsid w:val="00455762"/>
    <w:rsid w:val="00457353"/>
    <w:rsid w:val="00463166"/>
    <w:rsid w:val="00466394"/>
    <w:rsid w:val="004672DD"/>
    <w:rsid w:val="00470AD5"/>
    <w:rsid w:val="0047258C"/>
    <w:rsid w:val="00472696"/>
    <w:rsid w:val="00473AD6"/>
    <w:rsid w:val="00475F08"/>
    <w:rsid w:val="004775A0"/>
    <w:rsid w:val="00477864"/>
    <w:rsid w:val="004A4105"/>
    <w:rsid w:val="004A5BC8"/>
    <w:rsid w:val="004B170E"/>
    <w:rsid w:val="004B2C61"/>
    <w:rsid w:val="004B4CBC"/>
    <w:rsid w:val="004C1379"/>
    <w:rsid w:val="004C3CFD"/>
    <w:rsid w:val="004E0D4B"/>
    <w:rsid w:val="004E1DC8"/>
    <w:rsid w:val="004F312D"/>
    <w:rsid w:val="00500480"/>
    <w:rsid w:val="00512B9C"/>
    <w:rsid w:val="00513E9C"/>
    <w:rsid w:val="00523AFA"/>
    <w:rsid w:val="00533512"/>
    <w:rsid w:val="00543658"/>
    <w:rsid w:val="0054402F"/>
    <w:rsid w:val="00551B34"/>
    <w:rsid w:val="0055220E"/>
    <w:rsid w:val="00555093"/>
    <w:rsid w:val="00555EE0"/>
    <w:rsid w:val="00555F40"/>
    <w:rsid w:val="00557B57"/>
    <w:rsid w:val="0056042F"/>
    <w:rsid w:val="00560E3C"/>
    <w:rsid w:val="0056331A"/>
    <w:rsid w:val="00576713"/>
    <w:rsid w:val="00581A11"/>
    <w:rsid w:val="00582281"/>
    <w:rsid w:val="00584111"/>
    <w:rsid w:val="005849A4"/>
    <w:rsid w:val="00596B78"/>
    <w:rsid w:val="005A0EAE"/>
    <w:rsid w:val="005C2205"/>
    <w:rsid w:val="005C60D9"/>
    <w:rsid w:val="005D6B92"/>
    <w:rsid w:val="005E5DC3"/>
    <w:rsid w:val="005F4CB4"/>
    <w:rsid w:val="00603CC2"/>
    <w:rsid w:val="00605337"/>
    <w:rsid w:val="0060631C"/>
    <w:rsid w:val="00606652"/>
    <w:rsid w:val="00607A28"/>
    <w:rsid w:val="00610868"/>
    <w:rsid w:val="0061372C"/>
    <w:rsid w:val="00615675"/>
    <w:rsid w:val="00624BFA"/>
    <w:rsid w:val="006348D1"/>
    <w:rsid w:val="006525C0"/>
    <w:rsid w:val="006542C8"/>
    <w:rsid w:val="0065614A"/>
    <w:rsid w:val="0067508F"/>
    <w:rsid w:val="00675641"/>
    <w:rsid w:val="00677A77"/>
    <w:rsid w:val="00682FBF"/>
    <w:rsid w:val="00687305"/>
    <w:rsid w:val="006A14D3"/>
    <w:rsid w:val="006A27BE"/>
    <w:rsid w:val="006A2FC2"/>
    <w:rsid w:val="006A7456"/>
    <w:rsid w:val="006A7728"/>
    <w:rsid w:val="006B35FF"/>
    <w:rsid w:val="006B3A44"/>
    <w:rsid w:val="006C0BE2"/>
    <w:rsid w:val="006C22B1"/>
    <w:rsid w:val="006D14B4"/>
    <w:rsid w:val="006D6746"/>
    <w:rsid w:val="006F0E37"/>
    <w:rsid w:val="006F185E"/>
    <w:rsid w:val="006F1DC2"/>
    <w:rsid w:val="007001C6"/>
    <w:rsid w:val="00705C6A"/>
    <w:rsid w:val="00706341"/>
    <w:rsid w:val="00707679"/>
    <w:rsid w:val="00713193"/>
    <w:rsid w:val="007132E9"/>
    <w:rsid w:val="00713A45"/>
    <w:rsid w:val="00714EAA"/>
    <w:rsid w:val="0072341A"/>
    <w:rsid w:val="0073127B"/>
    <w:rsid w:val="00736525"/>
    <w:rsid w:val="00736C33"/>
    <w:rsid w:val="00736DA2"/>
    <w:rsid w:val="007378F1"/>
    <w:rsid w:val="00741EA1"/>
    <w:rsid w:val="0075590E"/>
    <w:rsid w:val="00760336"/>
    <w:rsid w:val="00767D8A"/>
    <w:rsid w:val="00773B27"/>
    <w:rsid w:val="00793356"/>
    <w:rsid w:val="00793F7F"/>
    <w:rsid w:val="0079698C"/>
    <w:rsid w:val="007A1AD0"/>
    <w:rsid w:val="007A6A6A"/>
    <w:rsid w:val="007A6B0F"/>
    <w:rsid w:val="007C13E8"/>
    <w:rsid w:val="007C5CF4"/>
    <w:rsid w:val="007D6559"/>
    <w:rsid w:val="007D7475"/>
    <w:rsid w:val="007D78BB"/>
    <w:rsid w:val="007D7C19"/>
    <w:rsid w:val="007E34BE"/>
    <w:rsid w:val="007E5422"/>
    <w:rsid w:val="007F1E29"/>
    <w:rsid w:val="007F7F12"/>
    <w:rsid w:val="008024BB"/>
    <w:rsid w:val="00805964"/>
    <w:rsid w:val="00817772"/>
    <w:rsid w:val="008223C6"/>
    <w:rsid w:val="00837AEE"/>
    <w:rsid w:val="0084167D"/>
    <w:rsid w:val="00854F55"/>
    <w:rsid w:val="00861CF9"/>
    <w:rsid w:val="00863777"/>
    <w:rsid w:val="008639FE"/>
    <w:rsid w:val="00870C42"/>
    <w:rsid w:val="0087249C"/>
    <w:rsid w:val="00876AFF"/>
    <w:rsid w:val="00882F6E"/>
    <w:rsid w:val="00883E4A"/>
    <w:rsid w:val="00886ED2"/>
    <w:rsid w:val="008871C1"/>
    <w:rsid w:val="00895F6E"/>
    <w:rsid w:val="008A00D9"/>
    <w:rsid w:val="008A0493"/>
    <w:rsid w:val="008A1467"/>
    <w:rsid w:val="008A1F61"/>
    <w:rsid w:val="008A2F0D"/>
    <w:rsid w:val="008A5C08"/>
    <w:rsid w:val="008A61EE"/>
    <w:rsid w:val="008B2BF0"/>
    <w:rsid w:val="008B5C19"/>
    <w:rsid w:val="008D5AF7"/>
    <w:rsid w:val="008E524D"/>
    <w:rsid w:val="0090583F"/>
    <w:rsid w:val="009105AE"/>
    <w:rsid w:val="00923BA4"/>
    <w:rsid w:val="00925BF9"/>
    <w:rsid w:val="0093745C"/>
    <w:rsid w:val="00944D73"/>
    <w:rsid w:val="0094768F"/>
    <w:rsid w:val="00955385"/>
    <w:rsid w:val="00955FFA"/>
    <w:rsid w:val="00960886"/>
    <w:rsid w:val="00960B47"/>
    <w:rsid w:val="00961B06"/>
    <w:rsid w:val="00966B43"/>
    <w:rsid w:val="00974333"/>
    <w:rsid w:val="00983CD0"/>
    <w:rsid w:val="00985653"/>
    <w:rsid w:val="00990BAC"/>
    <w:rsid w:val="00992261"/>
    <w:rsid w:val="009924D9"/>
    <w:rsid w:val="0099629C"/>
    <w:rsid w:val="00996559"/>
    <w:rsid w:val="009A1B9E"/>
    <w:rsid w:val="009A3EE7"/>
    <w:rsid w:val="009B114D"/>
    <w:rsid w:val="009B493F"/>
    <w:rsid w:val="009C1993"/>
    <w:rsid w:val="009C59FD"/>
    <w:rsid w:val="009D42E1"/>
    <w:rsid w:val="009D6DBF"/>
    <w:rsid w:val="009E19A4"/>
    <w:rsid w:val="009E634A"/>
    <w:rsid w:val="009E6561"/>
    <w:rsid w:val="009F1C9C"/>
    <w:rsid w:val="009F2613"/>
    <w:rsid w:val="00A03660"/>
    <w:rsid w:val="00A14669"/>
    <w:rsid w:val="00A154B7"/>
    <w:rsid w:val="00A155CA"/>
    <w:rsid w:val="00A2753E"/>
    <w:rsid w:val="00A33E5D"/>
    <w:rsid w:val="00A34F83"/>
    <w:rsid w:val="00A36604"/>
    <w:rsid w:val="00A36898"/>
    <w:rsid w:val="00A4301A"/>
    <w:rsid w:val="00A465AD"/>
    <w:rsid w:val="00A634E1"/>
    <w:rsid w:val="00A66350"/>
    <w:rsid w:val="00A66FEF"/>
    <w:rsid w:val="00A67D38"/>
    <w:rsid w:val="00A757A1"/>
    <w:rsid w:val="00A87037"/>
    <w:rsid w:val="00A96D24"/>
    <w:rsid w:val="00AA257A"/>
    <w:rsid w:val="00AB1C92"/>
    <w:rsid w:val="00AB3247"/>
    <w:rsid w:val="00AB370A"/>
    <w:rsid w:val="00AC7E69"/>
    <w:rsid w:val="00AD2EE6"/>
    <w:rsid w:val="00AE0297"/>
    <w:rsid w:val="00AF062E"/>
    <w:rsid w:val="00B01D73"/>
    <w:rsid w:val="00B05ED3"/>
    <w:rsid w:val="00B0607A"/>
    <w:rsid w:val="00B06245"/>
    <w:rsid w:val="00B06C23"/>
    <w:rsid w:val="00B07EC6"/>
    <w:rsid w:val="00B07F09"/>
    <w:rsid w:val="00B10B9D"/>
    <w:rsid w:val="00B163D6"/>
    <w:rsid w:val="00B216D6"/>
    <w:rsid w:val="00B229F7"/>
    <w:rsid w:val="00B2357B"/>
    <w:rsid w:val="00B260DA"/>
    <w:rsid w:val="00B27E2D"/>
    <w:rsid w:val="00B3309E"/>
    <w:rsid w:val="00B34DE1"/>
    <w:rsid w:val="00B36F97"/>
    <w:rsid w:val="00B46608"/>
    <w:rsid w:val="00B46E3E"/>
    <w:rsid w:val="00B55115"/>
    <w:rsid w:val="00B70D38"/>
    <w:rsid w:val="00B74549"/>
    <w:rsid w:val="00B80943"/>
    <w:rsid w:val="00B9275D"/>
    <w:rsid w:val="00B93D5C"/>
    <w:rsid w:val="00B94251"/>
    <w:rsid w:val="00BA5920"/>
    <w:rsid w:val="00BA656F"/>
    <w:rsid w:val="00BB1017"/>
    <w:rsid w:val="00BF5AF9"/>
    <w:rsid w:val="00C03501"/>
    <w:rsid w:val="00C1260F"/>
    <w:rsid w:val="00C176DB"/>
    <w:rsid w:val="00C22D08"/>
    <w:rsid w:val="00C242AE"/>
    <w:rsid w:val="00C27378"/>
    <w:rsid w:val="00C3163B"/>
    <w:rsid w:val="00C4082E"/>
    <w:rsid w:val="00C4313D"/>
    <w:rsid w:val="00C44847"/>
    <w:rsid w:val="00C64EEA"/>
    <w:rsid w:val="00C6752F"/>
    <w:rsid w:val="00C76691"/>
    <w:rsid w:val="00C815E1"/>
    <w:rsid w:val="00C930DE"/>
    <w:rsid w:val="00C937C9"/>
    <w:rsid w:val="00C95028"/>
    <w:rsid w:val="00CA2A84"/>
    <w:rsid w:val="00CA64A8"/>
    <w:rsid w:val="00CB22CF"/>
    <w:rsid w:val="00CB35E9"/>
    <w:rsid w:val="00CB3628"/>
    <w:rsid w:val="00CD294B"/>
    <w:rsid w:val="00CD7A6D"/>
    <w:rsid w:val="00CE407A"/>
    <w:rsid w:val="00CF0950"/>
    <w:rsid w:val="00CF1478"/>
    <w:rsid w:val="00CF31CD"/>
    <w:rsid w:val="00D02FF3"/>
    <w:rsid w:val="00D3185F"/>
    <w:rsid w:val="00D57228"/>
    <w:rsid w:val="00D6523C"/>
    <w:rsid w:val="00D74ABF"/>
    <w:rsid w:val="00D755F3"/>
    <w:rsid w:val="00D84C4E"/>
    <w:rsid w:val="00D851CC"/>
    <w:rsid w:val="00D8567E"/>
    <w:rsid w:val="00D879AB"/>
    <w:rsid w:val="00D95DB6"/>
    <w:rsid w:val="00DA5BDB"/>
    <w:rsid w:val="00DB02B7"/>
    <w:rsid w:val="00DB4BB7"/>
    <w:rsid w:val="00DC2D22"/>
    <w:rsid w:val="00DC6A57"/>
    <w:rsid w:val="00DD4898"/>
    <w:rsid w:val="00DD79FE"/>
    <w:rsid w:val="00DE29B2"/>
    <w:rsid w:val="00DE2BEC"/>
    <w:rsid w:val="00DF2556"/>
    <w:rsid w:val="00DF44D4"/>
    <w:rsid w:val="00DF6CE3"/>
    <w:rsid w:val="00E0137E"/>
    <w:rsid w:val="00E031F5"/>
    <w:rsid w:val="00E05D92"/>
    <w:rsid w:val="00E06DD3"/>
    <w:rsid w:val="00E07EC6"/>
    <w:rsid w:val="00E20A96"/>
    <w:rsid w:val="00E2360D"/>
    <w:rsid w:val="00E24F95"/>
    <w:rsid w:val="00E31ADC"/>
    <w:rsid w:val="00E3749B"/>
    <w:rsid w:val="00E5033C"/>
    <w:rsid w:val="00E5113B"/>
    <w:rsid w:val="00E52539"/>
    <w:rsid w:val="00E53EB4"/>
    <w:rsid w:val="00E62526"/>
    <w:rsid w:val="00E62E2B"/>
    <w:rsid w:val="00E63667"/>
    <w:rsid w:val="00EA2C0C"/>
    <w:rsid w:val="00EA50F6"/>
    <w:rsid w:val="00EB0601"/>
    <w:rsid w:val="00EB0F48"/>
    <w:rsid w:val="00EB4661"/>
    <w:rsid w:val="00EB5EE6"/>
    <w:rsid w:val="00EB6C31"/>
    <w:rsid w:val="00EC337B"/>
    <w:rsid w:val="00ED0118"/>
    <w:rsid w:val="00ED0442"/>
    <w:rsid w:val="00ED4391"/>
    <w:rsid w:val="00ED7783"/>
    <w:rsid w:val="00ED79BD"/>
    <w:rsid w:val="00EE4036"/>
    <w:rsid w:val="00EE706D"/>
    <w:rsid w:val="00EF0ED8"/>
    <w:rsid w:val="00F00415"/>
    <w:rsid w:val="00F04635"/>
    <w:rsid w:val="00F06CB8"/>
    <w:rsid w:val="00F06CE0"/>
    <w:rsid w:val="00F07E3F"/>
    <w:rsid w:val="00F14169"/>
    <w:rsid w:val="00F210B3"/>
    <w:rsid w:val="00F31394"/>
    <w:rsid w:val="00F3769D"/>
    <w:rsid w:val="00F37820"/>
    <w:rsid w:val="00F448CA"/>
    <w:rsid w:val="00F4529E"/>
    <w:rsid w:val="00F51452"/>
    <w:rsid w:val="00F5369A"/>
    <w:rsid w:val="00F577BB"/>
    <w:rsid w:val="00F60BF3"/>
    <w:rsid w:val="00F708D4"/>
    <w:rsid w:val="00F71C2E"/>
    <w:rsid w:val="00F815E5"/>
    <w:rsid w:val="00F824DB"/>
    <w:rsid w:val="00F8380C"/>
    <w:rsid w:val="00F86796"/>
    <w:rsid w:val="00F90CE0"/>
    <w:rsid w:val="00F96156"/>
    <w:rsid w:val="00FA0539"/>
    <w:rsid w:val="00FA2444"/>
    <w:rsid w:val="00FB1DBA"/>
    <w:rsid w:val="00FB1FD8"/>
    <w:rsid w:val="00FC3AB8"/>
    <w:rsid w:val="00FC55A3"/>
    <w:rsid w:val="00FC698F"/>
    <w:rsid w:val="00FC7218"/>
    <w:rsid w:val="00FD0D61"/>
    <w:rsid w:val="00FD2420"/>
    <w:rsid w:val="00FE00B0"/>
    <w:rsid w:val="00FE4855"/>
    <w:rsid w:val="00FE6EFA"/>
    <w:rsid w:val="00FF13E0"/>
    <w:rsid w:val="00FF158F"/>
    <w:rsid w:val="00FF5C01"/>
    <w:rsid w:val="02616BD8"/>
    <w:rsid w:val="0FF55DBC"/>
    <w:rsid w:val="103F5AD3"/>
    <w:rsid w:val="11077628"/>
    <w:rsid w:val="1131353E"/>
    <w:rsid w:val="11764CA8"/>
    <w:rsid w:val="16920D97"/>
    <w:rsid w:val="17AC7D07"/>
    <w:rsid w:val="1ADA4472"/>
    <w:rsid w:val="1F505606"/>
    <w:rsid w:val="22230A14"/>
    <w:rsid w:val="275034DC"/>
    <w:rsid w:val="29794F9B"/>
    <w:rsid w:val="2F300FB0"/>
    <w:rsid w:val="31FF6116"/>
    <w:rsid w:val="3EE674E0"/>
    <w:rsid w:val="400C51E4"/>
    <w:rsid w:val="45D4017D"/>
    <w:rsid w:val="48835542"/>
    <w:rsid w:val="49A61AE9"/>
    <w:rsid w:val="49D44C57"/>
    <w:rsid w:val="4D234EF6"/>
    <w:rsid w:val="56137B46"/>
    <w:rsid w:val="5AAD1584"/>
    <w:rsid w:val="5EB94577"/>
    <w:rsid w:val="625D388F"/>
    <w:rsid w:val="656723F0"/>
    <w:rsid w:val="6CA73226"/>
    <w:rsid w:val="6CAD71C1"/>
    <w:rsid w:val="6FF90541"/>
    <w:rsid w:val="75A96880"/>
    <w:rsid w:val="75CB1A9A"/>
    <w:rsid w:val="76852EE1"/>
    <w:rsid w:val="777C3E6F"/>
    <w:rsid w:val="7D4E1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9"/>
    <w:semiHidden/>
    <w:unhideWhenUsed/>
    <w:qFormat/>
    <w:uiPriority w:val="99"/>
    <w:pPr>
      <w:jc w:val="left"/>
    </w:pPr>
  </w:style>
  <w:style w:type="paragraph" w:styleId="12">
    <w:name w:val="Body Text"/>
    <w:basedOn w:val="1"/>
    <w:link w:val="44"/>
    <w:qFormat/>
    <w:uiPriority w:val="1"/>
    <w:pPr>
      <w:autoSpaceDE w:val="0"/>
      <w:autoSpaceDN w:val="0"/>
      <w:adjustRightInd w:val="0"/>
      <w:jc w:val="left"/>
    </w:pPr>
    <w:rPr>
      <w:rFonts w:ascii="宋体" w:hAnsi="Times New Roman" w:eastAsia="宋体" w:cs="宋体"/>
      <w:kern w:val="0"/>
      <w:szCs w:val="21"/>
    </w:rPr>
  </w:style>
  <w:style w:type="paragraph" w:styleId="13">
    <w:name w:val="Balloon Text"/>
    <w:basedOn w:val="1"/>
    <w:link w:val="54"/>
    <w:semiHidden/>
    <w:unhideWhenUsed/>
    <w:qFormat/>
    <w:uiPriority w:val="99"/>
    <w:rPr>
      <w:sz w:val="18"/>
      <w:szCs w:val="18"/>
    </w:rPr>
  </w:style>
  <w:style w:type="paragraph" w:styleId="14">
    <w:name w:val="footer"/>
    <w:basedOn w:val="1"/>
    <w:link w:val="48"/>
    <w:unhideWhenUsed/>
    <w:qFormat/>
    <w:uiPriority w:val="99"/>
    <w:pPr>
      <w:tabs>
        <w:tab w:val="center" w:pos="4153"/>
        <w:tab w:val="right" w:pos="8306"/>
      </w:tabs>
      <w:snapToGrid w:val="0"/>
      <w:jc w:val="left"/>
    </w:pPr>
    <w:rPr>
      <w:sz w:val="18"/>
      <w:szCs w:val="18"/>
    </w:rPr>
  </w:style>
  <w:style w:type="paragraph" w:styleId="15">
    <w:name w:val="header"/>
    <w:basedOn w:val="1"/>
    <w:link w:val="47"/>
    <w:unhideWhenUsed/>
    <w:qFormat/>
    <w:uiPriority w:val="99"/>
    <w:pPr>
      <w:tabs>
        <w:tab w:val="center" w:pos="4153"/>
        <w:tab w:val="right" w:pos="8306"/>
      </w:tabs>
      <w:snapToGrid w:val="0"/>
      <w:jc w:val="center"/>
    </w:pPr>
    <w:rPr>
      <w:sz w:val="18"/>
      <w:szCs w:val="18"/>
    </w:rPr>
  </w:style>
  <w:style w:type="paragraph" w:styleId="16">
    <w:name w:val="Subtitle"/>
    <w:basedOn w:val="1"/>
    <w:next w:val="1"/>
    <w:link w:val="3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35"/>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8">
    <w:name w:val="annotation subject"/>
    <w:basedOn w:val="11"/>
    <w:next w:val="11"/>
    <w:link w:val="50"/>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line number"/>
    <w:basedOn w:val="21"/>
    <w:semiHidden/>
    <w:unhideWhenUsed/>
    <w:qFormat/>
    <w:uiPriority w:val="99"/>
  </w:style>
  <w:style w:type="character" w:styleId="24">
    <w:name w:val="Hyperlink"/>
    <w:basedOn w:val="21"/>
    <w:unhideWhenUsed/>
    <w:qFormat/>
    <w:uiPriority w:val="99"/>
    <w:rPr>
      <w:color w:val="467886" w:themeColor="hyperlink"/>
      <w:u w:val="single"/>
      <w14:textFill>
        <w14:solidFill>
          <w14:schemeClr w14:val="hlink"/>
        </w14:solidFill>
      </w14:textFill>
    </w:rPr>
  </w:style>
  <w:style w:type="character" w:styleId="25">
    <w:name w:val="annotation reference"/>
    <w:basedOn w:val="21"/>
    <w:semiHidden/>
    <w:unhideWhenUsed/>
    <w:qFormat/>
    <w:uiPriority w:val="99"/>
    <w:rPr>
      <w:sz w:val="21"/>
      <w:szCs w:val="21"/>
    </w:rPr>
  </w:style>
  <w:style w:type="character" w:customStyle="1" w:styleId="26">
    <w:name w:val="Heading 1 Char"/>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7">
    <w:name w:val="Heading 2 Char"/>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8">
    <w:name w:val="Heading 3 Char"/>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9">
    <w:name w:val="Heading 4 Char"/>
    <w:basedOn w:val="21"/>
    <w:link w:val="5"/>
    <w:semiHidden/>
    <w:qFormat/>
    <w:uiPriority w:val="9"/>
    <w:rPr>
      <w:rFonts w:cstheme="majorBidi"/>
      <w:color w:val="104862" w:themeColor="accent1" w:themeShade="BF"/>
      <w:sz w:val="28"/>
      <w:szCs w:val="28"/>
    </w:rPr>
  </w:style>
  <w:style w:type="character" w:customStyle="1" w:styleId="30">
    <w:name w:val="Heading 5 Char"/>
    <w:basedOn w:val="21"/>
    <w:link w:val="6"/>
    <w:semiHidden/>
    <w:qFormat/>
    <w:uiPriority w:val="9"/>
    <w:rPr>
      <w:rFonts w:cstheme="majorBidi"/>
      <w:color w:val="104862" w:themeColor="accent1" w:themeShade="BF"/>
      <w:sz w:val="24"/>
    </w:rPr>
  </w:style>
  <w:style w:type="character" w:customStyle="1" w:styleId="31">
    <w:name w:val="Heading 6 Char"/>
    <w:basedOn w:val="21"/>
    <w:link w:val="7"/>
    <w:semiHidden/>
    <w:qFormat/>
    <w:uiPriority w:val="9"/>
    <w:rPr>
      <w:rFonts w:cstheme="majorBidi"/>
      <w:b/>
      <w:bCs/>
      <w:color w:val="104862" w:themeColor="accent1" w:themeShade="BF"/>
    </w:rPr>
  </w:style>
  <w:style w:type="character" w:customStyle="1" w:styleId="32">
    <w:name w:val="Heading 7 Char"/>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Heading 8 Char"/>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Heading 9 Char"/>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Title Char"/>
    <w:basedOn w:val="21"/>
    <w:link w:val="17"/>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21"/>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2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明显强调1"/>
    <w:basedOn w:val="2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21"/>
    <w:link w:val="41"/>
    <w:qFormat/>
    <w:uiPriority w:val="30"/>
    <w:rPr>
      <w:i/>
      <w:iCs/>
      <w:color w:val="104862" w:themeColor="accent1" w:themeShade="BF"/>
    </w:rPr>
  </w:style>
  <w:style w:type="character" w:customStyle="1" w:styleId="43">
    <w:name w:val="明显参考1"/>
    <w:basedOn w:val="21"/>
    <w:qFormat/>
    <w:uiPriority w:val="32"/>
    <w:rPr>
      <w:b/>
      <w:bCs/>
      <w:smallCaps/>
      <w:color w:val="104862" w:themeColor="accent1" w:themeShade="BF"/>
      <w:spacing w:val="5"/>
    </w:rPr>
  </w:style>
  <w:style w:type="character" w:customStyle="1" w:styleId="44">
    <w:name w:val="Body Text Char"/>
    <w:basedOn w:val="21"/>
    <w:link w:val="12"/>
    <w:qFormat/>
    <w:uiPriority w:val="1"/>
    <w:rPr>
      <w:rFonts w:ascii="宋体" w:hAnsi="Times New Roman" w:eastAsia="宋体" w:cs="宋体"/>
      <w:kern w:val="0"/>
      <w:sz w:val="21"/>
      <w:szCs w:val="21"/>
      <w14:ligatures w14:val="none"/>
    </w:rPr>
  </w:style>
  <w:style w:type="character" w:customStyle="1" w:styleId="45">
    <w:name w:val="未处理的提及1"/>
    <w:basedOn w:val="21"/>
    <w:semiHidden/>
    <w:unhideWhenUsed/>
    <w:qFormat/>
    <w:uiPriority w:val="99"/>
    <w:rPr>
      <w:color w:val="605E5C"/>
      <w:shd w:val="clear" w:color="auto" w:fill="E1DFDD"/>
    </w:rPr>
  </w:style>
  <w:style w:type="paragraph" w:customStyle="1" w:styleId="46">
    <w:name w:val="书目1"/>
    <w:basedOn w:val="1"/>
    <w:next w:val="1"/>
    <w:unhideWhenUsed/>
    <w:qFormat/>
    <w:uiPriority w:val="37"/>
  </w:style>
  <w:style w:type="character" w:customStyle="1" w:styleId="47">
    <w:name w:val="Header Char"/>
    <w:basedOn w:val="21"/>
    <w:link w:val="15"/>
    <w:qFormat/>
    <w:uiPriority w:val="99"/>
    <w:rPr>
      <w:rFonts w:asciiTheme="minorHAnsi" w:hAnsiTheme="minorHAnsi" w:eastAsiaTheme="minorEastAsia" w:cstheme="minorBidi"/>
      <w:kern w:val="2"/>
      <w:sz w:val="18"/>
      <w:szCs w:val="18"/>
    </w:rPr>
  </w:style>
  <w:style w:type="character" w:customStyle="1" w:styleId="48">
    <w:name w:val="Footer Char"/>
    <w:basedOn w:val="21"/>
    <w:link w:val="14"/>
    <w:qFormat/>
    <w:uiPriority w:val="99"/>
    <w:rPr>
      <w:rFonts w:asciiTheme="minorHAnsi" w:hAnsiTheme="minorHAnsi" w:eastAsiaTheme="minorEastAsia" w:cstheme="minorBidi"/>
      <w:kern w:val="2"/>
      <w:sz w:val="18"/>
      <w:szCs w:val="18"/>
    </w:rPr>
  </w:style>
  <w:style w:type="character" w:customStyle="1" w:styleId="49">
    <w:name w:val="Comment Text Char"/>
    <w:basedOn w:val="21"/>
    <w:link w:val="11"/>
    <w:semiHidden/>
    <w:qFormat/>
    <w:uiPriority w:val="99"/>
    <w:rPr>
      <w:rFonts w:asciiTheme="minorHAnsi" w:hAnsiTheme="minorHAnsi" w:eastAsiaTheme="minorEastAsia" w:cstheme="minorBidi"/>
      <w:kern w:val="2"/>
      <w:sz w:val="21"/>
      <w:szCs w:val="22"/>
    </w:rPr>
  </w:style>
  <w:style w:type="character" w:customStyle="1" w:styleId="50">
    <w:name w:val="Comment Subject Char"/>
    <w:basedOn w:val="49"/>
    <w:link w:val="18"/>
    <w:semiHidden/>
    <w:qFormat/>
    <w:uiPriority w:val="99"/>
    <w:rPr>
      <w:rFonts w:asciiTheme="minorHAnsi" w:hAnsiTheme="minorHAnsi" w:eastAsiaTheme="minorEastAsia" w:cstheme="minorBidi"/>
      <w:b/>
      <w:bCs/>
      <w:kern w:val="2"/>
      <w:sz w:val="21"/>
      <w:szCs w:val="22"/>
    </w:rPr>
  </w:style>
  <w:style w:type="paragraph" w:customStyle="1" w:styleId="51">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52">
    <w:name w:val="font11"/>
    <w:basedOn w:val="21"/>
    <w:qFormat/>
    <w:uiPriority w:val="0"/>
    <w:rPr>
      <w:rFonts w:hint="default" w:ascii="Times New Roman" w:hAnsi="Times New Roman" w:cs="Times New Roman"/>
      <w:color w:val="000000"/>
      <w:sz w:val="22"/>
      <w:szCs w:val="22"/>
      <w:u w:val="none"/>
    </w:rPr>
  </w:style>
  <w:style w:type="character" w:customStyle="1" w:styleId="53">
    <w:name w:val="font01"/>
    <w:basedOn w:val="21"/>
    <w:qFormat/>
    <w:uiPriority w:val="0"/>
    <w:rPr>
      <w:rFonts w:hint="eastAsia" w:ascii="宋体" w:hAnsi="宋体" w:eastAsia="宋体" w:cs="宋体"/>
      <w:color w:val="000000"/>
      <w:sz w:val="22"/>
      <w:szCs w:val="22"/>
      <w:u w:val="none"/>
    </w:rPr>
  </w:style>
  <w:style w:type="character" w:customStyle="1" w:styleId="54">
    <w:name w:val="Balloon Text Char"/>
    <w:basedOn w:val="21"/>
    <w:link w:val="13"/>
    <w:semiHidden/>
    <w:qFormat/>
    <w:uiPriority w:val="99"/>
    <w:rPr>
      <w:rFonts w:asciiTheme="minorHAnsi" w:hAnsiTheme="minorHAnsi" w:eastAsiaTheme="minorEastAsia" w:cstheme="minorBidi"/>
      <w:kern w:val="2"/>
      <w:sz w:val="18"/>
      <w:szCs w:val="18"/>
    </w:rPr>
  </w:style>
  <w:style w:type="paragraph" w:customStyle="1" w:styleId="55">
    <w:name w:val="Bibliography3"/>
    <w:basedOn w:val="1"/>
    <w:next w:val="1"/>
    <w:unhideWhenUsed/>
    <w:qFormat/>
    <w:uiPriority w:val="37"/>
    <w:pPr>
      <w:widowControl/>
      <w:spacing w:after="160" w:line="278" w:lineRule="auto"/>
      <w:jc w:val="left"/>
    </w:pPr>
    <w:rPr>
      <w:sz w:val="24"/>
      <w:szCs w:val="24"/>
      <w:lang w:val="en-GB"/>
      <w14:ligatures w14:val="standardContextual"/>
    </w:rPr>
  </w:style>
  <w:style w:type="paragraph" w:customStyle="1" w:styleId="56">
    <w:name w:val="Bibliography1"/>
    <w:basedOn w:val="1"/>
    <w:qFormat/>
    <w:uiPriority w:val="0"/>
    <w:pPr>
      <w:tabs>
        <w:tab w:val="left" w:pos="504"/>
      </w:tabs>
      <w:ind w:left="504" w:hanging="504"/>
    </w:pPr>
  </w:style>
  <w:style w:type="paragraph" w:customStyle="1" w:styleId="57">
    <w:name w:val="中文关键词"/>
    <w:qFormat/>
    <w:uiPriority w:val="99"/>
    <w:pPr>
      <w:ind w:left="454" w:right="454"/>
    </w:pPr>
    <w:rPr>
      <w:rFonts w:ascii="Times New Roman" w:hAnsi="Times New Roman" w:eastAsia="宋体" w:cs="Times New Roman"/>
      <w:kern w:val="2"/>
      <w:sz w:val="18"/>
      <w:szCs w:val="18"/>
      <w:lang w:val="en-US" w:eastAsia="zh-CN" w:bidi="ar-SA"/>
    </w:rPr>
  </w:style>
  <w:style w:type="character" w:customStyle="1" w:styleId="58">
    <w:name w:val="font41"/>
    <w:basedOn w:val="21"/>
    <w:qFormat/>
    <w:uiPriority w:val="0"/>
    <w:rPr>
      <w:rFonts w:hint="default" w:ascii="Times New Roman" w:hAnsi="Times New Roman" w:cs="Times New Roman"/>
      <w:color w:val="000000"/>
      <w:sz w:val="22"/>
      <w:szCs w:val="22"/>
      <w:u w:val="none"/>
      <w:vertAlign w:val="subscript"/>
    </w:rPr>
  </w:style>
  <w:style w:type="character" w:customStyle="1" w:styleId="59">
    <w:name w:val="font21"/>
    <w:basedOn w:val="21"/>
    <w:qFormat/>
    <w:uiPriority w:val="0"/>
    <w:rPr>
      <w:rFonts w:hint="default" w:ascii="Times New Roman" w:hAnsi="Times New Roman" w:cs="Times New Roman"/>
      <w:color w:val="000000"/>
      <w:sz w:val="22"/>
      <w:szCs w:val="22"/>
      <w:u w:val="none"/>
    </w:rPr>
  </w:style>
  <w:style w:type="character" w:customStyle="1" w:styleId="60">
    <w:name w:val="font31"/>
    <w:basedOn w:val="21"/>
    <w:qFormat/>
    <w:uiPriority w:val="0"/>
    <w:rPr>
      <w:rFonts w:hint="eastAsia" w:ascii="宋体" w:hAnsi="宋体" w:eastAsia="宋体" w:cs="宋体"/>
      <w:color w:val="000000"/>
      <w:sz w:val="22"/>
      <w:szCs w:val="22"/>
      <w:u w:val="none"/>
    </w:rPr>
  </w:style>
  <w:style w:type="paragraph" w:customStyle="1" w:styleId="61">
    <w:name w:val="Bibliography4"/>
    <w:basedOn w:val="1"/>
    <w:qFormat/>
    <w:uiPriority w:val="0"/>
    <w:pPr>
      <w:ind w:left="504" w:hanging="504"/>
    </w:pPr>
  </w:style>
  <w:style w:type="paragraph" w:customStyle="1" w:styleId="62">
    <w:name w:val="Revision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63">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中山大学</Company>
  <Pages>34</Pages>
  <Words>9224</Words>
  <Characters>18473</Characters>
  <Lines>710</Lines>
  <Paragraphs>199</Paragraphs>
  <TotalTime>459</TotalTime>
  <ScaleCrop>false</ScaleCrop>
  <LinksUpToDate>false</LinksUpToDate>
  <CharactersWithSpaces>21853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2026-07-27T12:20:00Z</dcterms:created>
  <dc:creator>Deshuai Zhang</dc:creator>
  <cp:lastModifiedBy>myqq</cp:lastModifiedBy>
  <dcterms:modified xsi:type="dcterms:W3CDTF">2026-08-13T14:49:02Z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id="UgoaWSgH"/&gt;&lt;style id="https://zotero-chinese.com/styles/GB-T-7714—2015（顺序编码，双语，姓名不大写，无URL、DOI）" hasBibliography="1" bibliographyStyleHasBeenSet="1"/&gt;&lt;prefs&gt;&lt;pref name="fieldType" value="Field"/&gt;&lt;p</vt:lpwstr>
  </property>
  <property fmtid="{D5CDD505-2E9C-101B-9397-08002B2CF9AE}" pid="3" name="ZOTERO_PREF_2">
    <vt:lpwstr>ref name="automaticJournalAbbreviations" value="true"/&gt;&lt;/prefs&gt;&lt;/data&gt;</vt:lpwstr>
  </property>
  <property fmtid="{D5CDD505-2E9C-101B-9397-08002B2CF9AE}" pid="4" name="KSOProductBuildVer">
    <vt:lpwstr>2052-12.1.0.28043</vt:lpwstr>
  </property>
  <property fmtid="{D5CDD505-2E9C-101B-9397-08002B2CF9AE}" pid="5" name="ICV">
    <vt:lpwstr>3793443498584D2F8E18C7B83DBD97F2_13</vt:lpwstr>
  </property>
  <property fmtid="{D5CDD505-2E9C-101B-9397-08002B2CF9AE}" pid="6" name="KSOTemplateDocerSaveRecord">
    <vt:lpwstr>eyJoZGlkIjoiN2M0ZWQxYTRmNGFmY2RmZjc5OGU4YWRiMTQyNGYyODQiLCJ1c2VySWQiOiIxMzQ0MDU0NDAxIn0=</vt:lpwstr>
  </property>
</Properties>
</file>