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9399" w14:textId="77777777" w:rsidR="008A37E7" w:rsidRDefault="008A37E7" w:rsidP="008A37E7">
      <w:pPr>
        <w:spacing w:line="240" w:lineRule="auto"/>
        <w:jc w:val="center"/>
        <w:rPr>
          <w:b/>
          <w:bCs/>
          <w:sz w:val="36"/>
          <w:szCs w:val="36"/>
        </w:rPr>
      </w:pPr>
    </w:p>
    <w:p w14:paraId="503C4A3C" w14:textId="77777777" w:rsidR="008A37E7" w:rsidRDefault="008A37E7" w:rsidP="008A37E7">
      <w:pPr>
        <w:spacing w:line="240" w:lineRule="auto"/>
        <w:jc w:val="center"/>
        <w:rPr>
          <w:b/>
          <w:bCs/>
          <w:sz w:val="36"/>
          <w:szCs w:val="36"/>
        </w:rPr>
      </w:pPr>
    </w:p>
    <w:p w14:paraId="67FC33A0" w14:textId="77777777" w:rsidR="008A37E7" w:rsidRDefault="008A37E7" w:rsidP="008A37E7">
      <w:pPr>
        <w:spacing w:line="240" w:lineRule="auto"/>
        <w:jc w:val="center"/>
        <w:rPr>
          <w:b/>
          <w:bCs/>
          <w:sz w:val="36"/>
          <w:szCs w:val="36"/>
        </w:rPr>
      </w:pPr>
    </w:p>
    <w:p w14:paraId="5701D430" w14:textId="77777777" w:rsidR="008A37E7" w:rsidRDefault="008A37E7" w:rsidP="008A37E7">
      <w:pPr>
        <w:spacing w:line="240" w:lineRule="auto"/>
        <w:jc w:val="center"/>
        <w:rPr>
          <w:b/>
          <w:bCs/>
          <w:sz w:val="36"/>
          <w:szCs w:val="36"/>
        </w:rPr>
      </w:pPr>
    </w:p>
    <w:p w14:paraId="438A0AB8" w14:textId="77777777" w:rsidR="008A37E7" w:rsidRDefault="008A37E7" w:rsidP="008A37E7">
      <w:pPr>
        <w:spacing w:line="240" w:lineRule="auto"/>
        <w:jc w:val="center"/>
        <w:rPr>
          <w:b/>
          <w:bCs/>
          <w:sz w:val="36"/>
          <w:szCs w:val="36"/>
        </w:rPr>
      </w:pPr>
    </w:p>
    <w:p w14:paraId="72A93D7A" w14:textId="77777777" w:rsidR="008A37E7" w:rsidRDefault="008A37E7" w:rsidP="008A37E7">
      <w:pPr>
        <w:spacing w:line="240" w:lineRule="auto"/>
        <w:jc w:val="center"/>
        <w:rPr>
          <w:b/>
          <w:bCs/>
          <w:sz w:val="36"/>
          <w:szCs w:val="36"/>
        </w:rPr>
      </w:pPr>
      <w:r>
        <w:rPr>
          <w:b/>
          <w:bCs/>
          <w:sz w:val="36"/>
          <w:szCs w:val="36"/>
        </w:rPr>
        <w:softHyphen/>
      </w:r>
      <w:r>
        <w:rPr>
          <w:b/>
          <w:bCs/>
          <w:sz w:val="36"/>
          <w:szCs w:val="36"/>
        </w:rPr>
        <w:softHyphen/>
      </w:r>
    </w:p>
    <w:p w14:paraId="172EC6CF" w14:textId="77777777" w:rsidR="008A37E7" w:rsidRDefault="008A37E7" w:rsidP="008A37E7">
      <w:pPr>
        <w:spacing w:line="240" w:lineRule="auto"/>
        <w:jc w:val="center"/>
        <w:rPr>
          <w:b/>
          <w:bCs/>
          <w:sz w:val="36"/>
          <w:szCs w:val="36"/>
        </w:rPr>
      </w:pPr>
    </w:p>
    <w:p w14:paraId="708486E2" w14:textId="77777777" w:rsidR="008A37E7" w:rsidRDefault="008A37E7" w:rsidP="008A37E7">
      <w:pPr>
        <w:spacing w:line="240" w:lineRule="auto"/>
        <w:jc w:val="center"/>
        <w:rPr>
          <w:b/>
          <w:bCs/>
          <w:sz w:val="36"/>
          <w:szCs w:val="36"/>
        </w:rPr>
      </w:pPr>
    </w:p>
    <w:p w14:paraId="31CAB2E8" w14:textId="1DAC748B" w:rsidR="00196BF2" w:rsidRPr="008A37E7" w:rsidRDefault="008A37E7" w:rsidP="008A37E7">
      <w:pPr>
        <w:spacing w:line="240" w:lineRule="auto"/>
        <w:jc w:val="center"/>
        <w:rPr>
          <w:b/>
          <w:bCs/>
          <w:sz w:val="36"/>
          <w:szCs w:val="36"/>
        </w:rPr>
      </w:pPr>
      <w:r>
        <w:rPr>
          <w:b/>
          <w:bCs/>
          <w:sz w:val="36"/>
          <w:szCs w:val="36"/>
        </w:rPr>
        <w:t>Infix Expression Parser</w:t>
      </w:r>
    </w:p>
    <w:p w14:paraId="24BB3751" w14:textId="60FD33F5" w:rsidR="008A37E7" w:rsidRDefault="008A37E7" w:rsidP="008A37E7">
      <w:pPr>
        <w:spacing w:line="240" w:lineRule="auto"/>
        <w:jc w:val="center"/>
      </w:pPr>
      <w:r>
        <w:t>Adam Carmichael</w:t>
      </w:r>
    </w:p>
    <w:p w14:paraId="6CBF20FB" w14:textId="71945491" w:rsidR="008A37E7" w:rsidRDefault="008A37E7" w:rsidP="008A37E7">
      <w:pPr>
        <w:spacing w:line="240" w:lineRule="auto"/>
        <w:jc w:val="center"/>
      </w:pPr>
      <w:r>
        <w:t>Evan Coyler</w:t>
      </w:r>
    </w:p>
    <w:p w14:paraId="627D2C98" w14:textId="07B5A99A" w:rsidR="008A37E7" w:rsidRDefault="008A37E7" w:rsidP="008A37E7">
      <w:pPr>
        <w:spacing w:line="240" w:lineRule="auto"/>
        <w:jc w:val="center"/>
      </w:pPr>
      <w:r>
        <w:t>Lindsey Erwin</w:t>
      </w:r>
    </w:p>
    <w:p w14:paraId="5F381D82" w14:textId="77777777" w:rsidR="008A37E7" w:rsidRDefault="008A37E7">
      <w:r>
        <w:br w:type="page"/>
      </w:r>
    </w:p>
    <w:p w14:paraId="17864C4F" w14:textId="77777777" w:rsidR="00387239" w:rsidRDefault="008A37E7" w:rsidP="008A37E7">
      <w:pPr>
        <w:spacing w:line="240" w:lineRule="auto"/>
        <w:ind w:firstLine="720"/>
      </w:pPr>
      <w:r>
        <w:lastRenderedPageBreak/>
        <w:t xml:space="preserve">The program starts by reading a list of infix expressions from an input file. The input file is formatted so that each infix expression is on a single line. </w:t>
      </w:r>
      <w:r w:rsidR="00387239">
        <w:t xml:space="preserve">The program reads one line at a time from the input file and then two functions are called to evaluate/calculate the expression. </w:t>
      </w:r>
    </w:p>
    <w:p w14:paraId="5BAC9AA6" w14:textId="689B8EA6" w:rsidR="008A37E7" w:rsidRDefault="00387239" w:rsidP="00387239">
      <w:pPr>
        <w:spacing w:line="240" w:lineRule="auto"/>
        <w:ind w:firstLine="720"/>
      </w:pPr>
      <w:r>
        <w:t>The first function is used to convert the infix expression from the input file into a postfix expression. This function creates a stack</w:t>
      </w:r>
      <w:r w:rsidR="00971269">
        <w:t>,</w:t>
      </w:r>
      <w:r>
        <w:t xml:space="preserve"> and a string builder to create the postfix expression. While the infix string </w:t>
      </w:r>
      <w:r w:rsidR="00D4433E">
        <w:t>is being parsed each “token” is checked to see whether it goes to the postfix string or the stack. The stack is used to store values inside parentheses to ensure those values inside the parentheses get evaluated first, and it is used to store the operators. The function also checks the precedence of operators to make sure they are in the correct order so that the postfix expression can be calculated correctly. The precedence of operators is determined by another function that sets operators with the highest precedence with a higher integer number (The higher the precedence the higher the integer number). Once the entire infix expression has been parsed</w:t>
      </w:r>
      <w:r w:rsidR="0010005D">
        <w:t xml:space="preserve"> the function returns the</w:t>
      </w:r>
      <w:r w:rsidR="00D4433E">
        <w:t xml:space="preserve"> postfix expression</w:t>
      </w:r>
      <w:r w:rsidR="0010005D">
        <w:t>, and</w:t>
      </w:r>
      <w:r w:rsidR="00D4433E">
        <w:t xml:space="preserve"> the second function is called to evaluate the postfix expression.</w:t>
      </w:r>
    </w:p>
    <w:p w14:paraId="7E611209" w14:textId="32BC6C18" w:rsidR="00D4433E" w:rsidRDefault="00D4433E" w:rsidP="00387239">
      <w:pPr>
        <w:spacing w:line="240" w:lineRule="auto"/>
        <w:ind w:firstLine="720"/>
      </w:pPr>
      <w:r>
        <w:t xml:space="preserve">The second function </w:t>
      </w:r>
      <w:r w:rsidR="00971269">
        <w:t xml:space="preserve">also creates a stack to assist with the calculation of the postfix expressions. The function uses a for loop to iterate through the characters of the postfix expression. If the character is an operand, it gets pushed to the stack, and if the character is an operator the next two values in the stack get popped from the stack and evaluated with whatever the operator may be. In our function we use a switch case to determine how said operator is evaluated. </w:t>
      </w:r>
      <w:r w:rsidR="0010005D">
        <w:t>Once the two values are evaluated then the result of that evaluation get pushed back to the stack. This process is repeated until the end of the postfix expression is reached, and it returns the calculated number of the postfix expression.</w:t>
      </w:r>
    </w:p>
    <w:p w14:paraId="018B9CE1" w14:textId="6F24BC0C" w:rsidR="0010005D" w:rsidRDefault="0010005D" w:rsidP="00387239">
      <w:pPr>
        <w:spacing w:line="240" w:lineRule="auto"/>
        <w:ind w:firstLine="720"/>
      </w:pPr>
      <w:r>
        <w:t>Stacks are used in these functions to ensure the order of the operands and operators so that they can be calculated correctly and calculated with the correct precedence.</w:t>
      </w:r>
    </w:p>
    <w:p w14:paraId="6F4F19D5" w14:textId="60D3B80E" w:rsidR="00E80821" w:rsidRDefault="0010005D" w:rsidP="00387239">
      <w:pPr>
        <w:spacing w:line="240" w:lineRule="auto"/>
        <w:ind w:firstLine="720"/>
      </w:pPr>
      <w:r>
        <w:t xml:space="preserve">An improvement on this program could be to </w:t>
      </w:r>
      <w:r w:rsidR="00E94294">
        <w:t xml:space="preserve">have the methods that </w:t>
      </w:r>
      <w:r w:rsidR="00467AC4">
        <w:t xml:space="preserve">convert the expression to postfix and evaluate the postfix expression in a separate class to reduce the amount of code in the main program. </w:t>
      </w:r>
    </w:p>
    <w:p w14:paraId="0BFE5CE9" w14:textId="383F058D" w:rsidR="00E772E7" w:rsidRDefault="00E772E7" w:rsidP="00387239">
      <w:pPr>
        <w:spacing w:line="240" w:lineRule="auto"/>
        <w:ind w:firstLine="720"/>
      </w:pPr>
    </w:p>
    <w:tbl>
      <w:tblPr>
        <w:tblStyle w:val="PlainTable3"/>
        <w:tblW w:w="0" w:type="auto"/>
        <w:tblLook w:val="04A0" w:firstRow="1" w:lastRow="0" w:firstColumn="1" w:lastColumn="0" w:noHBand="0" w:noVBand="1"/>
      </w:tblPr>
      <w:tblGrid>
        <w:gridCol w:w="4675"/>
        <w:gridCol w:w="4675"/>
      </w:tblGrid>
      <w:tr w:rsidR="00E772E7" w14:paraId="5053A23C" w14:textId="77777777" w:rsidTr="00CC4A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vAlign w:val="center"/>
          </w:tcPr>
          <w:p w14:paraId="7644F633" w14:textId="76966634" w:rsidR="00E772E7" w:rsidRDefault="00CC4AD0" w:rsidP="00CC4AD0">
            <w:r>
              <w:t>contributions</w:t>
            </w:r>
          </w:p>
        </w:tc>
        <w:tc>
          <w:tcPr>
            <w:tcW w:w="4675" w:type="dxa"/>
          </w:tcPr>
          <w:p w14:paraId="4EA5F923" w14:textId="77777777" w:rsidR="00E772E7" w:rsidRDefault="00E772E7" w:rsidP="00387239">
            <w:pPr>
              <w:cnfStyle w:val="100000000000" w:firstRow="1" w:lastRow="0" w:firstColumn="0" w:lastColumn="0" w:oddVBand="0" w:evenVBand="0" w:oddHBand="0" w:evenHBand="0" w:firstRowFirstColumn="0" w:firstRowLastColumn="0" w:lastRowFirstColumn="0" w:lastRowLastColumn="0"/>
            </w:pPr>
          </w:p>
        </w:tc>
      </w:tr>
      <w:tr w:rsidR="00E772E7" w14:paraId="10B66757" w14:textId="77777777" w:rsidTr="00C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83AE91" w14:textId="6488BA36" w:rsidR="00E772E7" w:rsidRDefault="00A53082" w:rsidP="00387239">
            <w:r>
              <w:t>project report</w:t>
            </w:r>
          </w:p>
        </w:tc>
        <w:tc>
          <w:tcPr>
            <w:tcW w:w="4675" w:type="dxa"/>
          </w:tcPr>
          <w:p w14:paraId="5DCCB130" w14:textId="7F5068E9" w:rsidR="00E772E7" w:rsidRDefault="00DE584B" w:rsidP="00387239">
            <w:pPr>
              <w:cnfStyle w:val="000000100000" w:firstRow="0" w:lastRow="0" w:firstColumn="0" w:lastColumn="0" w:oddVBand="0" w:evenVBand="0" w:oddHBand="1" w:evenHBand="0" w:firstRowFirstColumn="0" w:firstRowLastColumn="0" w:lastRowFirstColumn="0" w:lastRowLastColumn="0"/>
            </w:pPr>
            <w:r>
              <w:t>Adam Carmichael</w:t>
            </w:r>
          </w:p>
        </w:tc>
      </w:tr>
      <w:tr w:rsidR="00E772E7" w14:paraId="4C2465BE" w14:textId="77777777" w:rsidTr="00CC4AD0">
        <w:tc>
          <w:tcPr>
            <w:cnfStyle w:val="001000000000" w:firstRow="0" w:lastRow="0" w:firstColumn="1" w:lastColumn="0" w:oddVBand="0" w:evenVBand="0" w:oddHBand="0" w:evenHBand="0" w:firstRowFirstColumn="0" w:firstRowLastColumn="0" w:lastRowFirstColumn="0" w:lastRowLastColumn="0"/>
            <w:tcW w:w="4675" w:type="dxa"/>
          </w:tcPr>
          <w:p w14:paraId="40A73378" w14:textId="60B5B16A" w:rsidR="00E772E7" w:rsidRDefault="00DE584B" w:rsidP="00387239">
            <w:r>
              <w:t>Precedence function</w:t>
            </w:r>
            <w:r w:rsidR="00172D31">
              <w:t xml:space="preserve"> / main</w:t>
            </w:r>
            <w:r w:rsidR="00A53082">
              <w:t>(driver) code</w:t>
            </w:r>
          </w:p>
        </w:tc>
        <w:tc>
          <w:tcPr>
            <w:tcW w:w="4675" w:type="dxa"/>
          </w:tcPr>
          <w:p w14:paraId="696E6BA4" w14:textId="5117744A" w:rsidR="00E772E7" w:rsidRDefault="00DE584B" w:rsidP="00387239">
            <w:pPr>
              <w:cnfStyle w:val="000000000000" w:firstRow="0" w:lastRow="0" w:firstColumn="0" w:lastColumn="0" w:oddVBand="0" w:evenVBand="0" w:oddHBand="0" w:evenHBand="0" w:firstRowFirstColumn="0" w:firstRowLastColumn="0" w:lastRowFirstColumn="0" w:lastRowLastColumn="0"/>
            </w:pPr>
            <w:r>
              <w:t>Adam Carmichael</w:t>
            </w:r>
          </w:p>
        </w:tc>
      </w:tr>
      <w:tr w:rsidR="00E772E7" w14:paraId="0989363B" w14:textId="77777777" w:rsidTr="00C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600AD5" w14:textId="3C63AF88" w:rsidR="00E772E7" w:rsidRDefault="00B05A90" w:rsidP="00387239">
            <w:r>
              <w:t>infixtopostfix function</w:t>
            </w:r>
          </w:p>
        </w:tc>
        <w:tc>
          <w:tcPr>
            <w:tcW w:w="4675" w:type="dxa"/>
          </w:tcPr>
          <w:p w14:paraId="1E8C5AEF" w14:textId="079BA6D4" w:rsidR="00E772E7" w:rsidRDefault="00B05A90" w:rsidP="00387239">
            <w:pPr>
              <w:cnfStyle w:val="000000100000" w:firstRow="0" w:lastRow="0" w:firstColumn="0" w:lastColumn="0" w:oddVBand="0" w:evenVBand="0" w:oddHBand="1" w:evenHBand="0" w:firstRowFirstColumn="0" w:firstRowLastColumn="0" w:lastRowFirstColumn="0" w:lastRowLastColumn="0"/>
            </w:pPr>
            <w:r>
              <w:t>Lin</w:t>
            </w:r>
            <w:r w:rsidR="007761BA">
              <w:t>d</w:t>
            </w:r>
            <w:r>
              <w:t>sey Erwin</w:t>
            </w:r>
          </w:p>
        </w:tc>
      </w:tr>
      <w:tr w:rsidR="00E772E7" w14:paraId="127222E8" w14:textId="77777777" w:rsidTr="00CC4AD0">
        <w:tc>
          <w:tcPr>
            <w:cnfStyle w:val="001000000000" w:firstRow="0" w:lastRow="0" w:firstColumn="1" w:lastColumn="0" w:oddVBand="0" w:evenVBand="0" w:oddHBand="0" w:evenHBand="0" w:firstRowFirstColumn="0" w:firstRowLastColumn="0" w:lastRowFirstColumn="0" w:lastRowLastColumn="0"/>
            <w:tcW w:w="4675" w:type="dxa"/>
          </w:tcPr>
          <w:p w14:paraId="6FF219C5" w14:textId="31618C4C" w:rsidR="00E772E7" w:rsidRDefault="007761BA" w:rsidP="00387239">
            <w:r>
              <w:t>evalualtepostfix function</w:t>
            </w:r>
          </w:p>
        </w:tc>
        <w:tc>
          <w:tcPr>
            <w:tcW w:w="4675" w:type="dxa"/>
          </w:tcPr>
          <w:p w14:paraId="35D39E71" w14:textId="50F372A9" w:rsidR="00E772E7" w:rsidRDefault="007761BA" w:rsidP="00387239">
            <w:pPr>
              <w:cnfStyle w:val="000000000000" w:firstRow="0" w:lastRow="0" w:firstColumn="0" w:lastColumn="0" w:oddVBand="0" w:evenVBand="0" w:oddHBand="0" w:evenHBand="0" w:firstRowFirstColumn="0" w:firstRowLastColumn="0" w:lastRowFirstColumn="0" w:lastRowLastColumn="0"/>
            </w:pPr>
            <w:r>
              <w:t>Evan Colyer</w:t>
            </w:r>
          </w:p>
        </w:tc>
      </w:tr>
    </w:tbl>
    <w:p w14:paraId="31AE89D7" w14:textId="77777777" w:rsidR="00E772E7" w:rsidRDefault="00E772E7" w:rsidP="00387239">
      <w:pPr>
        <w:spacing w:line="240" w:lineRule="auto"/>
        <w:ind w:firstLine="720"/>
      </w:pPr>
    </w:p>
    <w:p w14:paraId="2A3CC079" w14:textId="77777777" w:rsidR="00E80821" w:rsidRDefault="00E80821">
      <w:r>
        <w:br w:type="page"/>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5233F" w14:paraId="073F1F04" w14:textId="77777777" w:rsidTr="00390E34">
        <w:tc>
          <w:tcPr>
            <w:tcW w:w="1558" w:type="dxa"/>
          </w:tcPr>
          <w:p w14:paraId="5174AD41" w14:textId="626F931A" w:rsidR="00E5233F" w:rsidRPr="00390E34" w:rsidRDefault="00490A9F" w:rsidP="00390E34">
            <w:pPr>
              <w:jc w:val="center"/>
              <w:rPr>
                <w:b/>
                <w:bCs/>
              </w:rPr>
            </w:pPr>
            <w:r w:rsidRPr="00390E34">
              <w:rPr>
                <w:b/>
                <w:bCs/>
              </w:rPr>
              <w:lastRenderedPageBreak/>
              <w:t>Test Case</w:t>
            </w:r>
          </w:p>
        </w:tc>
        <w:tc>
          <w:tcPr>
            <w:tcW w:w="1558" w:type="dxa"/>
          </w:tcPr>
          <w:p w14:paraId="04276644" w14:textId="6B830C87" w:rsidR="00E5233F" w:rsidRPr="00390E34" w:rsidRDefault="00490A9F" w:rsidP="00390E34">
            <w:pPr>
              <w:jc w:val="center"/>
              <w:rPr>
                <w:b/>
                <w:bCs/>
              </w:rPr>
            </w:pPr>
            <w:r w:rsidRPr="00390E34">
              <w:rPr>
                <w:b/>
                <w:bCs/>
              </w:rPr>
              <w:t>Description</w:t>
            </w:r>
          </w:p>
        </w:tc>
        <w:tc>
          <w:tcPr>
            <w:tcW w:w="1558" w:type="dxa"/>
          </w:tcPr>
          <w:p w14:paraId="768AF566" w14:textId="1529D538" w:rsidR="00E5233F" w:rsidRPr="00390E34" w:rsidRDefault="00490A9F" w:rsidP="00390E34">
            <w:pPr>
              <w:jc w:val="center"/>
              <w:rPr>
                <w:b/>
                <w:bCs/>
              </w:rPr>
            </w:pPr>
            <w:r w:rsidRPr="00390E34">
              <w:rPr>
                <w:b/>
                <w:bCs/>
              </w:rPr>
              <w:t>Input</w:t>
            </w:r>
          </w:p>
        </w:tc>
        <w:tc>
          <w:tcPr>
            <w:tcW w:w="1558" w:type="dxa"/>
          </w:tcPr>
          <w:p w14:paraId="4BF53AD2" w14:textId="582DA686" w:rsidR="00E5233F" w:rsidRPr="00390E34" w:rsidRDefault="00490A9F" w:rsidP="00390E34">
            <w:pPr>
              <w:jc w:val="center"/>
              <w:rPr>
                <w:b/>
                <w:bCs/>
              </w:rPr>
            </w:pPr>
            <w:r w:rsidRPr="00390E34">
              <w:rPr>
                <w:b/>
                <w:bCs/>
              </w:rPr>
              <w:t>Expected Result</w:t>
            </w:r>
          </w:p>
        </w:tc>
        <w:tc>
          <w:tcPr>
            <w:tcW w:w="1559" w:type="dxa"/>
          </w:tcPr>
          <w:p w14:paraId="19DE725E" w14:textId="5D6626DD" w:rsidR="00E5233F" w:rsidRPr="00390E34" w:rsidRDefault="00490A9F" w:rsidP="00390E34">
            <w:pPr>
              <w:jc w:val="center"/>
              <w:rPr>
                <w:b/>
                <w:bCs/>
              </w:rPr>
            </w:pPr>
            <w:r w:rsidRPr="00390E34">
              <w:rPr>
                <w:b/>
                <w:bCs/>
              </w:rPr>
              <w:t>Actual Result</w:t>
            </w:r>
          </w:p>
        </w:tc>
        <w:tc>
          <w:tcPr>
            <w:tcW w:w="1559" w:type="dxa"/>
          </w:tcPr>
          <w:p w14:paraId="05D63F18" w14:textId="5482545C" w:rsidR="00E5233F" w:rsidRPr="00390E34" w:rsidRDefault="00490A9F" w:rsidP="00390E34">
            <w:pPr>
              <w:jc w:val="center"/>
              <w:rPr>
                <w:b/>
                <w:bCs/>
              </w:rPr>
            </w:pPr>
            <w:r w:rsidRPr="00390E34">
              <w:rPr>
                <w:b/>
                <w:bCs/>
              </w:rPr>
              <w:t>Pass</w:t>
            </w:r>
            <w:r w:rsidR="00356356" w:rsidRPr="00390E34">
              <w:rPr>
                <w:b/>
                <w:bCs/>
              </w:rPr>
              <w:t>/Fail</w:t>
            </w:r>
          </w:p>
        </w:tc>
      </w:tr>
      <w:tr w:rsidR="00E5233F" w14:paraId="3775931E" w14:textId="77777777" w:rsidTr="00390E34">
        <w:tc>
          <w:tcPr>
            <w:tcW w:w="1558" w:type="dxa"/>
            <w:vAlign w:val="center"/>
          </w:tcPr>
          <w:p w14:paraId="1B957EC6" w14:textId="26EB3DF7" w:rsidR="00E5233F" w:rsidRPr="00390E34" w:rsidRDefault="00356356" w:rsidP="00390E34">
            <w:pPr>
              <w:rPr>
                <w:b/>
                <w:bCs/>
              </w:rPr>
            </w:pPr>
            <w:r w:rsidRPr="00390E34">
              <w:rPr>
                <w:b/>
                <w:bCs/>
              </w:rPr>
              <w:t>1</w:t>
            </w:r>
          </w:p>
        </w:tc>
        <w:tc>
          <w:tcPr>
            <w:tcW w:w="1558" w:type="dxa"/>
            <w:vAlign w:val="center"/>
          </w:tcPr>
          <w:p w14:paraId="512D2CBF" w14:textId="253605E7" w:rsidR="00E5233F" w:rsidRDefault="00356356" w:rsidP="00390E34">
            <w:pPr>
              <w:jc w:val="center"/>
            </w:pPr>
            <w:r>
              <w:t xml:space="preserve">Check result </w:t>
            </w:r>
            <w:r w:rsidR="0058305A">
              <w:t>of the infix expression parser</w:t>
            </w:r>
          </w:p>
        </w:tc>
        <w:tc>
          <w:tcPr>
            <w:tcW w:w="1558" w:type="dxa"/>
            <w:vAlign w:val="center"/>
          </w:tcPr>
          <w:p w14:paraId="4D1A8BC7" w14:textId="5E3CE3FA" w:rsidR="00E5233F" w:rsidRDefault="00A64E98" w:rsidP="00390E34">
            <w:pPr>
              <w:jc w:val="center"/>
            </w:pPr>
            <w:r>
              <w:t>1+2*3</w:t>
            </w:r>
          </w:p>
        </w:tc>
        <w:tc>
          <w:tcPr>
            <w:tcW w:w="1558" w:type="dxa"/>
            <w:vAlign w:val="center"/>
          </w:tcPr>
          <w:p w14:paraId="0E713CD2" w14:textId="23C7039D" w:rsidR="00E5233F" w:rsidRDefault="005051CF" w:rsidP="00390E34">
            <w:pPr>
              <w:jc w:val="center"/>
            </w:pPr>
            <w:r>
              <w:t>7</w:t>
            </w:r>
          </w:p>
        </w:tc>
        <w:tc>
          <w:tcPr>
            <w:tcW w:w="1559" w:type="dxa"/>
            <w:vAlign w:val="center"/>
          </w:tcPr>
          <w:p w14:paraId="2936EA81" w14:textId="24E2727B" w:rsidR="00E5233F" w:rsidRDefault="005051CF" w:rsidP="00390E34">
            <w:pPr>
              <w:jc w:val="center"/>
            </w:pPr>
            <w:r>
              <w:t>7</w:t>
            </w:r>
          </w:p>
        </w:tc>
        <w:tc>
          <w:tcPr>
            <w:tcW w:w="1559" w:type="dxa"/>
            <w:vAlign w:val="center"/>
          </w:tcPr>
          <w:p w14:paraId="3ACF22C4" w14:textId="6A36BA01" w:rsidR="00E5233F" w:rsidRDefault="005051CF" w:rsidP="00390E34">
            <w:pPr>
              <w:jc w:val="center"/>
            </w:pPr>
            <w:r>
              <w:t>Pass</w:t>
            </w:r>
          </w:p>
        </w:tc>
      </w:tr>
      <w:tr w:rsidR="00E5233F" w14:paraId="42854F3B" w14:textId="77777777" w:rsidTr="00390E34">
        <w:tc>
          <w:tcPr>
            <w:tcW w:w="1558" w:type="dxa"/>
            <w:vAlign w:val="center"/>
          </w:tcPr>
          <w:p w14:paraId="3499BE8A" w14:textId="29B4FFD4" w:rsidR="00E5233F" w:rsidRPr="00390E34" w:rsidRDefault="00356356" w:rsidP="00390E34">
            <w:pPr>
              <w:rPr>
                <w:b/>
                <w:bCs/>
              </w:rPr>
            </w:pPr>
            <w:r w:rsidRPr="00390E34">
              <w:rPr>
                <w:b/>
                <w:bCs/>
              </w:rPr>
              <w:t>2</w:t>
            </w:r>
          </w:p>
        </w:tc>
        <w:tc>
          <w:tcPr>
            <w:tcW w:w="1558" w:type="dxa"/>
            <w:vAlign w:val="center"/>
          </w:tcPr>
          <w:p w14:paraId="092F8968" w14:textId="1B8741E1" w:rsidR="00E5233F" w:rsidRDefault="0058305A" w:rsidP="00390E34">
            <w:pPr>
              <w:jc w:val="center"/>
            </w:pPr>
            <w:r>
              <w:t>Check result of the infix expression parser</w:t>
            </w:r>
          </w:p>
        </w:tc>
        <w:tc>
          <w:tcPr>
            <w:tcW w:w="1558" w:type="dxa"/>
            <w:vAlign w:val="center"/>
          </w:tcPr>
          <w:p w14:paraId="7FB70304" w14:textId="23084551" w:rsidR="00E5233F" w:rsidRDefault="00A64E98" w:rsidP="00390E34">
            <w:pPr>
              <w:jc w:val="center"/>
            </w:pPr>
            <w:r>
              <w:t>2+2^2*3</w:t>
            </w:r>
          </w:p>
        </w:tc>
        <w:tc>
          <w:tcPr>
            <w:tcW w:w="1558" w:type="dxa"/>
            <w:vAlign w:val="center"/>
          </w:tcPr>
          <w:p w14:paraId="2AFB9F0D" w14:textId="70E0B1FF" w:rsidR="00E5233F" w:rsidRDefault="005051CF" w:rsidP="00390E34">
            <w:pPr>
              <w:jc w:val="center"/>
            </w:pPr>
            <w:r>
              <w:t>14</w:t>
            </w:r>
          </w:p>
        </w:tc>
        <w:tc>
          <w:tcPr>
            <w:tcW w:w="1559" w:type="dxa"/>
            <w:vAlign w:val="center"/>
          </w:tcPr>
          <w:p w14:paraId="12116D19" w14:textId="285C86DB" w:rsidR="00E5233F" w:rsidRDefault="005051CF" w:rsidP="00390E34">
            <w:pPr>
              <w:jc w:val="center"/>
            </w:pPr>
            <w:r>
              <w:t>14</w:t>
            </w:r>
          </w:p>
        </w:tc>
        <w:tc>
          <w:tcPr>
            <w:tcW w:w="1559" w:type="dxa"/>
            <w:vAlign w:val="center"/>
          </w:tcPr>
          <w:p w14:paraId="41931479" w14:textId="4874FA1D" w:rsidR="00E5233F" w:rsidRDefault="005051CF" w:rsidP="00390E34">
            <w:pPr>
              <w:jc w:val="center"/>
            </w:pPr>
            <w:r>
              <w:t>Pass</w:t>
            </w:r>
          </w:p>
        </w:tc>
      </w:tr>
      <w:tr w:rsidR="00E5233F" w14:paraId="662B834C" w14:textId="77777777" w:rsidTr="00390E34">
        <w:tc>
          <w:tcPr>
            <w:tcW w:w="1558" w:type="dxa"/>
            <w:vAlign w:val="center"/>
          </w:tcPr>
          <w:p w14:paraId="0F3D6C25" w14:textId="1FC72C5A" w:rsidR="00E5233F" w:rsidRPr="00390E34" w:rsidRDefault="00356356" w:rsidP="00390E34">
            <w:pPr>
              <w:rPr>
                <w:b/>
                <w:bCs/>
              </w:rPr>
            </w:pPr>
            <w:r w:rsidRPr="00390E34">
              <w:rPr>
                <w:b/>
                <w:bCs/>
              </w:rPr>
              <w:t>3</w:t>
            </w:r>
          </w:p>
        </w:tc>
        <w:tc>
          <w:tcPr>
            <w:tcW w:w="1558" w:type="dxa"/>
            <w:vAlign w:val="center"/>
          </w:tcPr>
          <w:p w14:paraId="426A7586" w14:textId="2EF71FD1" w:rsidR="00E5233F" w:rsidRDefault="0058305A" w:rsidP="00390E34">
            <w:pPr>
              <w:jc w:val="center"/>
            </w:pPr>
            <w:r>
              <w:t>Check result of the infix expression parser</w:t>
            </w:r>
          </w:p>
        </w:tc>
        <w:tc>
          <w:tcPr>
            <w:tcW w:w="1558" w:type="dxa"/>
            <w:vAlign w:val="center"/>
          </w:tcPr>
          <w:p w14:paraId="092B645C" w14:textId="0E4FBB09" w:rsidR="00E5233F" w:rsidRDefault="005051CF" w:rsidP="00390E34">
            <w:pPr>
              <w:jc w:val="center"/>
            </w:pPr>
            <w:r>
              <w:t>(1+2)*3</w:t>
            </w:r>
          </w:p>
        </w:tc>
        <w:tc>
          <w:tcPr>
            <w:tcW w:w="1558" w:type="dxa"/>
            <w:vAlign w:val="center"/>
          </w:tcPr>
          <w:p w14:paraId="60B5C642" w14:textId="11F4FE38" w:rsidR="00E5233F" w:rsidRDefault="00B5122E" w:rsidP="00390E34">
            <w:pPr>
              <w:jc w:val="center"/>
            </w:pPr>
            <w:r>
              <w:t>9</w:t>
            </w:r>
          </w:p>
        </w:tc>
        <w:tc>
          <w:tcPr>
            <w:tcW w:w="1559" w:type="dxa"/>
            <w:vAlign w:val="center"/>
          </w:tcPr>
          <w:p w14:paraId="3883AB97" w14:textId="7EC95C9E" w:rsidR="00E5233F" w:rsidRDefault="00B5122E" w:rsidP="00390E34">
            <w:pPr>
              <w:jc w:val="center"/>
            </w:pPr>
            <w:r>
              <w:t>9</w:t>
            </w:r>
          </w:p>
        </w:tc>
        <w:tc>
          <w:tcPr>
            <w:tcW w:w="1559" w:type="dxa"/>
            <w:vAlign w:val="center"/>
          </w:tcPr>
          <w:p w14:paraId="2E5AA2FD" w14:textId="6D38C305" w:rsidR="00E5233F" w:rsidRDefault="00B5122E" w:rsidP="00390E34">
            <w:pPr>
              <w:jc w:val="center"/>
            </w:pPr>
            <w:r>
              <w:t>Pass</w:t>
            </w:r>
          </w:p>
        </w:tc>
      </w:tr>
    </w:tbl>
    <w:p w14:paraId="45310B5D" w14:textId="49FCCDB0" w:rsidR="00422386" w:rsidRDefault="00422386" w:rsidP="00387239">
      <w:pPr>
        <w:spacing w:line="240" w:lineRule="auto"/>
        <w:ind w:firstLine="720"/>
      </w:pPr>
    </w:p>
    <w:p w14:paraId="026BB2C8" w14:textId="77777777" w:rsidR="00422386" w:rsidRDefault="00422386">
      <w:r>
        <w:br w:type="page"/>
      </w:r>
    </w:p>
    <w:p w14:paraId="36BB496E" w14:textId="5DB19715" w:rsidR="0010005D" w:rsidRDefault="00460D84" w:rsidP="00460D84">
      <w:pPr>
        <w:spacing w:line="240" w:lineRule="auto"/>
      </w:pPr>
      <w:r>
        <w:rPr>
          <w:noProof/>
        </w:rPr>
        <w:lastRenderedPageBreak/>
        <w:drawing>
          <wp:inline distT="0" distB="0" distL="0" distR="0" wp14:anchorId="00FDF67F" wp14:editId="0EFF0343">
            <wp:extent cx="5943600" cy="3711684"/>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11684"/>
                    </a:xfrm>
                    <a:prstGeom prst="rect">
                      <a:avLst/>
                    </a:prstGeom>
                    <a:noFill/>
                    <a:ln>
                      <a:noFill/>
                    </a:ln>
                  </pic:spPr>
                </pic:pic>
              </a:graphicData>
            </a:graphic>
          </wp:inline>
        </w:drawing>
      </w:r>
    </w:p>
    <w:sectPr w:rsidR="00100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E7"/>
    <w:rsid w:val="0010005D"/>
    <w:rsid w:val="00172D31"/>
    <w:rsid w:val="00196BF2"/>
    <w:rsid w:val="00356356"/>
    <w:rsid w:val="00387239"/>
    <w:rsid w:val="00390E34"/>
    <w:rsid w:val="003A0AF4"/>
    <w:rsid w:val="00422386"/>
    <w:rsid w:val="00460D84"/>
    <w:rsid w:val="00467AC4"/>
    <w:rsid w:val="00490A9F"/>
    <w:rsid w:val="005051CF"/>
    <w:rsid w:val="0058305A"/>
    <w:rsid w:val="005939E9"/>
    <w:rsid w:val="007761BA"/>
    <w:rsid w:val="00797804"/>
    <w:rsid w:val="008A37E7"/>
    <w:rsid w:val="00971269"/>
    <w:rsid w:val="00A517E2"/>
    <w:rsid w:val="00A53082"/>
    <w:rsid w:val="00A64E98"/>
    <w:rsid w:val="00B05A90"/>
    <w:rsid w:val="00B5122E"/>
    <w:rsid w:val="00BC5B51"/>
    <w:rsid w:val="00CC4AD0"/>
    <w:rsid w:val="00D4433E"/>
    <w:rsid w:val="00D62ADF"/>
    <w:rsid w:val="00DE584B"/>
    <w:rsid w:val="00E5233F"/>
    <w:rsid w:val="00E772E7"/>
    <w:rsid w:val="00E80821"/>
    <w:rsid w:val="00E94294"/>
    <w:rsid w:val="00EC1D37"/>
    <w:rsid w:val="00F9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AE75"/>
  <w15:chartTrackingRefBased/>
  <w15:docId w15:val="{CE182CE9-3D0F-4947-96EB-109D102F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C4A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4</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Carmichael</dc:creator>
  <cp:keywords/>
  <dc:description/>
  <cp:lastModifiedBy>Adam Carmichael</cp:lastModifiedBy>
  <cp:revision>28</cp:revision>
  <dcterms:created xsi:type="dcterms:W3CDTF">2021-11-01T21:16:00Z</dcterms:created>
  <dcterms:modified xsi:type="dcterms:W3CDTF">2021-11-02T21:39:00Z</dcterms:modified>
</cp:coreProperties>
</file>