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F187B" w14:textId="77777777" w:rsidR="00F94212" w:rsidRDefault="00F94212" w:rsidP="00F94212">
      <w:pPr>
        <w:jc w:val="center"/>
        <w:rPr>
          <w:b/>
          <w:bCs/>
          <w:sz w:val="40"/>
          <w:szCs w:val="40"/>
        </w:rPr>
      </w:pPr>
    </w:p>
    <w:p w14:paraId="60911959" w14:textId="77777777" w:rsidR="00F94212" w:rsidRDefault="00F94212" w:rsidP="00F94212">
      <w:pPr>
        <w:jc w:val="center"/>
        <w:rPr>
          <w:b/>
          <w:bCs/>
          <w:sz w:val="40"/>
          <w:szCs w:val="40"/>
        </w:rPr>
      </w:pPr>
    </w:p>
    <w:p w14:paraId="6FF2F0D3" w14:textId="77777777" w:rsidR="00F94212" w:rsidRDefault="00F94212" w:rsidP="00F94212">
      <w:pPr>
        <w:jc w:val="center"/>
        <w:rPr>
          <w:b/>
          <w:bCs/>
          <w:sz w:val="40"/>
          <w:szCs w:val="40"/>
        </w:rPr>
      </w:pPr>
    </w:p>
    <w:p w14:paraId="69C2C4F1" w14:textId="77777777" w:rsidR="00F94212" w:rsidRDefault="00F94212" w:rsidP="00F94212">
      <w:pPr>
        <w:jc w:val="center"/>
        <w:rPr>
          <w:b/>
          <w:bCs/>
          <w:sz w:val="40"/>
          <w:szCs w:val="40"/>
        </w:rPr>
      </w:pPr>
    </w:p>
    <w:p w14:paraId="56009585" w14:textId="77777777" w:rsidR="00F94212" w:rsidRDefault="00F94212" w:rsidP="00F94212">
      <w:pPr>
        <w:jc w:val="center"/>
        <w:rPr>
          <w:b/>
          <w:bCs/>
          <w:sz w:val="40"/>
          <w:szCs w:val="40"/>
        </w:rPr>
      </w:pPr>
    </w:p>
    <w:p w14:paraId="72977B68" w14:textId="77777777" w:rsidR="00F94212" w:rsidRDefault="00F94212" w:rsidP="00F94212">
      <w:pPr>
        <w:jc w:val="center"/>
        <w:rPr>
          <w:b/>
          <w:bCs/>
          <w:sz w:val="40"/>
          <w:szCs w:val="40"/>
        </w:rPr>
      </w:pPr>
    </w:p>
    <w:p w14:paraId="474BBF77" w14:textId="77777777" w:rsidR="00F94212" w:rsidRDefault="00F94212" w:rsidP="00F94212">
      <w:pPr>
        <w:jc w:val="center"/>
        <w:rPr>
          <w:b/>
          <w:bCs/>
          <w:sz w:val="40"/>
          <w:szCs w:val="40"/>
        </w:rPr>
      </w:pPr>
    </w:p>
    <w:p w14:paraId="6AB3ADD2" w14:textId="77777777" w:rsidR="00F94212" w:rsidRDefault="00F94212" w:rsidP="00F94212">
      <w:pPr>
        <w:jc w:val="center"/>
        <w:rPr>
          <w:b/>
          <w:bCs/>
          <w:sz w:val="40"/>
          <w:szCs w:val="40"/>
        </w:rPr>
      </w:pPr>
    </w:p>
    <w:p w14:paraId="65E1341E" w14:textId="3FFD124B" w:rsidR="008D3653" w:rsidRDefault="00F94212" w:rsidP="00F94212">
      <w:pPr>
        <w:jc w:val="center"/>
        <w:rPr>
          <w:b/>
          <w:bCs/>
          <w:sz w:val="40"/>
          <w:szCs w:val="40"/>
        </w:rPr>
      </w:pPr>
      <w:r w:rsidRPr="00F94212">
        <w:rPr>
          <w:b/>
          <w:bCs/>
          <w:sz w:val="40"/>
          <w:szCs w:val="40"/>
        </w:rPr>
        <w:t>Binary Tree Infix Expression Parser</w:t>
      </w:r>
    </w:p>
    <w:p w14:paraId="7B1818F0" w14:textId="6B26492D" w:rsidR="00F94212" w:rsidRPr="00F94212" w:rsidRDefault="00F94212" w:rsidP="00F94212">
      <w:pPr>
        <w:jc w:val="center"/>
        <w:rPr>
          <w:sz w:val="24"/>
          <w:szCs w:val="24"/>
        </w:rPr>
      </w:pPr>
      <w:r w:rsidRPr="00F94212">
        <w:rPr>
          <w:sz w:val="24"/>
          <w:szCs w:val="24"/>
        </w:rPr>
        <w:t>Adam Carmichael</w:t>
      </w:r>
    </w:p>
    <w:p w14:paraId="36D23D7B" w14:textId="7AAC59C6" w:rsidR="00F94212" w:rsidRPr="00F94212" w:rsidRDefault="00F94212" w:rsidP="00F94212">
      <w:pPr>
        <w:jc w:val="center"/>
        <w:rPr>
          <w:sz w:val="24"/>
          <w:szCs w:val="24"/>
        </w:rPr>
      </w:pPr>
      <w:r w:rsidRPr="00F94212">
        <w:rPr>
          <w:sz w:val="24"/>
          <w:szCs w:val="24"/>
        </w:rPr>
        <w:t>Evan Colyer</w:t>
      </w:r>
    </w:p>
    <w:p w14:paraId="40FD03AE" w14:textId="0A2044AF" w:rsidR="00F94212" w:rsidRDefault="00F94212" w:rsidP="00F94212">
      <w:pPr>
        <w:jc w:val="center"/>
        <w:rPr>
          <w:sz w:val="24"/>
          <w:szCs w:val="24"/>
        </w:rPr>
      </w:pPr>
      <w:r w:rsidRPr="00F94212">
        <w:rPr>
          <w:sz w:val="24"/>
          <w:szCs w:val="24"/>
        </w:rPr>
        <w:t>Lindsey Erwin</w:t>
      </w:r>
    </w:p>
    <w:p w14:paraId="12F79690" w14:textId="3F57D380" w:rsidR="00F94212" w:rsidRDefault="00F94212" w:rsidP="00F94212">
      <w:pPr>
        <w:jc w:val="center"/>
        <w:rPr>
          <w:sz w:val="24"/>
          <w:szCs w:val="24"/>
        </w:rPr>
      </w:pPr>
    </w:p>
    <w:p w14:paraId="2759B064" w14:textId="36D0AC78" w:rsidR="00F94212" w:rsidRDefault="00F94212" w:rsidP="00F94212">
      <w:pPr>
        <w:jc w:val="center"/>
        <w:rPr>
          <w:sz w:val="24"/>
          <w:szCs w:val="24"/>
        </w:rPr>
      </w:pPr>
    </w:p>
    <w:p w14:paraId="7E753DA6" w14:textId="72CB0323" w:rsidR="00F94212" w:rsidRDefault="00F94212" w:rsidP="00F94212">
      <w:pPr>
        <w:jc w:val="center"/>
        <w:rPr>
          <w:sz w:val="24"/>
          <w:szCs w:val="24"/>
        </w:rPr>
      </w:pPr>
    </w:p>
    <w:p w14:paraId="71443D0A" w14:textId="61E6950D" w:rsidR="00F94212" w:rsidRDefault="00F94212" w:rsidP="00F94212">
      <w:pPr>
        <w:jc w:val="center"/>
        <w:rPr>
          <w:sz w:val="24"/>
          <w:szCs w:val="24"/>
        </w:rPr>
      </w:pPr>
    </w:p>
    <w:p w14:paraId="65F10DA1" w14:textId="6BA4C7A1" w:rsidR="00F94212" w:rsidRDefault="00F94212" w:rsidP="00F94212">
      <w:pPr>
        <w:jc w:val="center"/>
        <w:rPr>
          <w:sz w:val="24"/>
          <w:szCs w:val="24"/>
        </w:rPr>
      </w:pPr>
    </w:p>
    <w:p w14:paraId="2B8B6C24" w14:textId="1EC07646" w:rsidR="00F94212" w:rsidRDefault="00F94212" w:rsidP="00F94212">
      <w:pPr>
        <w:jc w:val="center"/>
        <w:rPr>
          <w:sz w:val="24"/>
          <w:szCs w:val="24"/>
        </w:rPr>
      </w:pPr>
    </w:p>
    <w:p w14:paraId="5886230F" w14:textId="2CFBE92A" w:rsidR="00F94212" w:rsidRDefault="00F94212" w:rsidP="00F94212">
      <w:pPr>
        <w:jc w:val="center"/>
        <w:rPr>
          <w:sz w:val="24"/>
          <w:szCs w:val="24"/>
        </w:rPr>
      </w:pPr>
    </w:p>
    <w:p w14:paraId="572CCD9E" w14:textId="6CD90CAC" w:rsidR="00F94212" w:rsidRDefault="00F94212" w:rsidP="00F94212">
      <w:pPr>
        <w:jc w:val="center"/>
        <w:rPr>
          <w:sz w:val="24"/>
          <w:szCs w:val="24"/>
        </w:rPr>
      </w:pPr>
    </w:p>
    <w:p w14:paraId="5DC8205D" w14:textId="618E6F9E" w:rsidR="00F94212" w:rsidRDefault="00F94212" w:rsidP="00F94212">
      <w:pPr>
        <w:jc w:val="center"/>
        <w:rPr>
          <w:sz w:val="24"/>
          <w:szCs w:val="24"/>
        </w:rPr>
      </w:pPr>
    </w:p>
    <w:p w14:paraId="305CE674" w14:textId="7701B2C0" w:rsidR="00F94212" w:rsidRDefault="00F94212" w:rsidP="00F94212">
      <w:pPr>
        <w:jc w:val="center"/>
        <w:rPr>
          <w:sz w:val="24"/>
          <w:szCs w:val="24"/>
        </w:rPr>
      </w:pPr>
    </w:p>
    <w:p w14:paraId="21196892" w14:textId="18332ABD" w:rsidR="00F94212" w:rsidRDefault="00F94212" w:rsidP="00F94212">
      <w:pPr>
        <w:rPr>
          <w:sz w:val="24"/>
          <w:szCs w:val="24"/>
        </w:rPr>
      </w:pPr>
    </w:p>
    <w:p w14:paraId="7DFB4104" w14:textId="0E61E466" w:rsidR="00A729AF" w:rsidRDefault="00A729AF" w:rsidP="00A729AF">
      <w:pPr>
        <w:spacing w:line="240" w:lineRule="auto"/>
        <w:ind w:firstLine="720"/>
      </w:pPr>
      <w:r>
        <w:lastRenderedPageBreak/>
        <w:t>The program starts by reading a list of infix expressions from an input file. The input file is formatted so that each infix expression is on a single line. The program reads one line at a time from the input</w:t>
      </w:r>
      <w:r w:rsidR="00183811">
        <w:t xml:space="preserve"> file. While it is reading over the input file it calls infixToPostfix() with the provided string to reformat it to postfix. Finally it creates a stack and calls evaluatePostfix() with the postfix string and the stack.</w:t>
      </w:r>
    </w:p>
    <w:p w14:paraId="544E1A9D" w14:textId="28C6EE79" w:rsidR="00B525BC" w:rsidRDefault="00006EF7" w:rsidP="00A729AF">
      <w:pPr>
        <w:spacing w:line="240" w:lineRule="auto"/>
        <w:ind w:firstLine="720"/>
      </w:pPr>
      <w:r>
        <w:t xml:space="preserve">The first function is used to convert the infix expression from the input file into a postfix expression. The function creates two stacks, a tree, and a stringbuilder to create the postfix expression. One of the stacks is for tree nodes, and the other is for characters. It scans over the input line and pushes parenthesis to one of the stacks, then pushes the operators to the tree. </w:t>
      </w:r>
      <w:r w:rsidR="008A230A">
        <w:t>It goes over the entire input expression, assigning children to the root.</w:t>
      </w:r>
      <w:r w:rsidR="008A230A" w:rsidRPr="008A230A">
        <w:t xml:space="preserve"> </w:t>
      </w:r>
      <w:r w:rsidR="008A230A">
        <w:t>The function also checks the precedence of operators to make sure they are in the correct order so that the postfix expression can be calculated correctly. The precedence of operators is determined by another function that sets operators with the highest precedence with a higher integer number (The higher the precedence the higher the integer number). Once the entire infix expression has been parsed the function returns the postfix expression, and the second function is called to evaluate the postfix expression.</w:t>
      </w:r>
    </w:p>
    <w:p w14:paraId="72B75420" w14:textId="1CBF25FC" w:rsidR="008A230A" w:rsidRDefault="008A230A" w:rsidP="00A729AF">
      <w:pPr>
        <w:spacing w:line="240" w:lineRule="auto"/>
        <w:ind w:firstLine="720"/>
      </w:pPr>
      <w:r>
        <w:t xml:space="preserve">The second function, evaluatePostfix(), does post-order traversal of the tree and evaluates the expression by pushing the values in the tree to a stack. The function uses recursion to navigate through the tree, if it encounters an operand it pushes it to the stack, and if it encounters an operator it performs it on the two operands in the stack, and pushes the new result to the stack. </w:t>
      </w:r>
    </w:p>
    <w:p w14:paraId="6C20FCB3" w14:textId="2DAF5616" w:rsidR="008C494C" w:rsidRDefault="008C494C" w:rsidP="00A729AF">
      <w:pPr>
        <w:spacing w:line="240" w:lineRule="auto"/>
        <w:ind w:firstLine="720"/>
      </w:pPr>
      <w:r>
        <w:t>Two main ways that this program could be improved upon would be to fluidly parse a string without needing the format() function and to use a switch/case in the evaluateToPostfix() function.</w:t>
      </w:r>
    </w:p>
    <w:p w14:paraId="7B684365" w14:textId="69EE7CD0" w:rsidR="008A230A" w:rsidRDefault="008A230A" w:rsidP="00A729AF">
      <w:pPr>
        <w:spacing w:line="240" w:lineRule="auto"/>
        <w:ind w:firstLine="720"/>
      </w:pPr>
    </w:p>
    <w:tbl>
      <w:tblPr>
        <w:tblStyle w:val="PlainTable3"/>
        <w:tblW w:w="0" w:type="auto"/>
        <w:tblLook w:val="04A0" w:firstRow="1" w:lastRow="0" w:firstColumn="1" w:lastColumn="0" w:noHBand="0" w:noVBand="1"/>
      </w:tblPr>
      <w:tblGrid>
        <w:gridCol w:w="4675"/>
        <w:gridCol w:w="4675"/>
      </w:tblGrid>
      <w:tr w:rsidR="004F00AF" w14:paraId="5B6B47DA" w14:textId="77777777" w:rsidTr="00D66C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vAlign w:val="center"/>
          </w:tcPr>
          <w:p w14:paraId="3C8E92D5" w14:textId="77777777" w:rsidR="004F00AF" w:rsidRDefault="004F00AF" w:rsidP="00D66C25">
            <w:r>
              <w:t>contributions</w:t>
            </w:r>
          </w:p>
        </w:tc>
        <w:tc>
          <w:tcPr>
            <w:tcW w:w="4675" w:type="dxa"/>
          </w:tcPr>
          <w:p w14:paraId="44A3CFE4" w14:textId="77777777" w:rsidR="004F00AF" w:rsidRDefault="004F00AF" w:rsidP="00D66C25">
            <w:pPr>
              <w:cnfStyle w:val="100000000000" w:firstRow="1" w:lastRow="0" w:firstColumn="0" w:lastColumn="0" w:oddVBand="0" w:evenVBand="0" w:oddHBand="0" w:evenHBand="0" w:firstRowFirstColumn="0" w:firstRowLastColumn="0" w:lastRowFirstColumn="0" w:lastRowLastColumn="0"/>
            </w:pPr>
          </w:p>
        </w:tc>
      </w:tr>
      <w:tr w:rsidR="004F00AF" w14:paraId="111795BE" w14:textId="77777777" w:rsidTr="00D66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B050DC" w14:textId="77777777" w:rsidR="004F00AF" w:rsidRDefault="004F00AF" w:rsidP="00D66C25">
            <w:r>
              <w:t>project report</w:t>
            </w:r>
          </w:p>
        </w:tc>
        <w:tc>
          <w:tcPr>
            <w:tcW w:w="4675" w:type="dxa"/>
          </w:tcPr>
          <w:p w14:paraId="301AD985" w14:textId="160D8D7D" w:rsidR="004F00AF" w:rsidRDefault="004F00AF" w:rsidP="00D66C25">
            <w:pPr>
              <w:cnfStyle w:val="000000100000" w:firstRow="0" w:lastRow="0" w:firstColumn="0" w:lastColumn="0" w:oddVBand="0" w:evenVBand="0" w:oddHBand="1" w:evenHBand="0" w:firstRowFirstColumn="0" w:firstRowLastColumn="0" w:lastRowFirstColumn="0" w:lastRowLastColumn="0"/>
            </w:pPr>
            <w:r>
              <w:t>Evan Colyer</w:t>
            </w:r>
          </w:p>
        </w:tc>
      </w:tr>
      <w:tr w:rsidR="004F00AF" w14:paraId="3FDF894F" w14:textId="77777777" w:rsidTr="00D66C25">
        <w:tc>
          <w:tcPr>
            <w:cnfStyle w:val="001000000000" w:firstRow="0" w:lastRow="0" w:firstColumn="1" w:lastColumn="0" w:oddVBand="0" w:evenVBand="0" w:oddHBand="0" w:evenHBand="0" w:firstRowFirstColumn="0" w:firstRowLastColumn="0" w:lastRowFirstColumn="0" w:lastRowLastColumn="0"/>
            <w:tcW w:w="4675" w:type="dxa"/>
          </w:tcPr>
          <w:p w14:paraId="50D84601" w14:textId="77777777" w:rsidR="004F00AF" w:rsidRDefault="004F00AF" w:rsidP="00D66C25">
            <w:r>
              <w:t>Precedence function / main(driver) code</w:t>
            </w:r>
          </w:p>
        </w:tc>
        <w:tc>
          <w:tcPr>
            <w:tcW w:w="4675" w:type="dxa"/>
          </w:tcPr>
          <w:p w14:paraId="1402861C" w14:textId="345AD9AC" w:rsidR="004F00AF" w:rsidRDefault="004F00AF" w:rsidP="00D66C25">
            <w:pPr>
              <w:cnfStyle w:val="000000000000" w:firstRow="0" w:lastRow="0" w:firstColumn="0" w:lastColumn="0" w:oddVBand="0" w:evenVBand="0" w:oddHBand="0" w:evenHBand="0" w:firstRowFirstColumn="0" w:firstRowLastColumn="0" w:lastRowFirstColumn="0" w:lastRowLastColumn="0"/>
            </w:pPr>
            <w:r>
              <w:t>Evan Colyer</w:t>
            </w:r>
          </w:p>
        </w:tc>
      </w:tr>
      <w:tr w:rsidR="004F00AF" w14:paraId="739391EF" w14:textId="77777777" w:rsidTr="00D66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A36AD2" w14:textId="77777777" w:rsidR="004F00AF" w:rsidRDefault="004F00AF" w:rsidP="00D66C25">
            <w:r>
              <w:t>infixtopostfix function</w:t>
            </w:r>
          </w:p>
        </w:tc>
        <w:tc>
          <w:tcPr>
            <w:tcW w:w="4675" w:type="dxa"/>
          </w:tcPr>
          <w:p w14:paraId="0145F34D" w14:textId="77777777" w:rsidR="004F00AF" w:rsidRDefault="004F00AF" w:rsidP="00D66C25">
            <w:pPr>
              <w:cnfStyle w:val="000000100000" w:firstRow="0" w:lastRow="0" w:firstColumn="0" w:lastColumn="0" w:oddVBand="0" w:evenVBand="0" w:oddHBand="1" w:evenHBand="0" w:firstRowFirstColumn="0" w:firstRowLastColumn="0" w:lastRowFirstColumn="0" w:lastRowLastColumn="0"/>
            </w:pPr>
            <w:r>
              <w:t>Lindsey Erwin</w:t>
            </w:r>
          </w:p>
        </w:tc>
      </w:tr>
      <w:tr w:rsidR="004F00AF" w14:paraId="39B4BA81" w14:textId="77777777" w:rsidTr="00D66C25">
        <w:tc>
          <w:tcPr>
            <w:cnfStyle w:val="001000000000" w:firstRow="0" w:lastRow="0" w:firstColumn="1" w:lastColumn="0" w:oddVBand="0" w:evenVBand="0" w:oddHBand="0" w:evenHBand="0" w:firstRowFirstColumn="0" w:firstRowLastColumn="0" w:lastRowFirstColumn="0" w:lastRowLastColumn="0"/>
            <w:tcW w:w="4675" w:type="dxa"/>
          </w:tcPr>
          <w:p w14:paraId="7F526A2B" w14:textId="77777777" w:rsidR="004F00AF" w:rsidRDefault="004F00AF" w:rsidP="00D66C25">
            <w:r>
              <w:t>evalualtepostfix function</w:t>
            </w:r>
          </w:p>
        </w:tc>
        <w:tc>
          <w:tcPr>
            <w:tcW w:w="4675" w:type="dxa"/>
          </w:tcPr>
          <w:p w14:paraId="17BFF207" w14:textId="3006618C" w:rsidR="004F00AF" w:rsidRDefault="004F00AF" w:rsidP="00D66C25">
            <w:pPr>
              <w:cnfStyle w:val="000000000000" w:firstRow="0" w:lastRow="0" w:firstColumn="0" w:lastColumn="0" w:oddVBand="0" w:evenVBand="0" w:oddHBand="0" w:evenHBand="0" w:firstRowFirstColumn="0" w:firstRowLastColumn="0" w:lastRowFirstColumn="0" w:lastRowLastColumn="0"/>
            </w:pPr>
            <w:r>
              <w:t>Adam Carmichael</w:t>
            </w:r>
          </w:p>
        </w:tc>
      </w:tr>
    </w:tbl>
    <w:p w14:paraId="48E878A8" w14:textId="196994C2" w:rsidR="004F00AF" w:rsidRDefault="004F00AF" w:rsidP="00A729AF">
      <w:pPr>
        <w:spacing w:line="240" w:lineRule="auto"/>
        <w:ind w:firstLine="720"/>
      </w:pPr>
    </w:p>
    <w:p w14:paraId="027C9426" w14:textId="3A864E2E" w:rsidR="004F00AF" w:rsidRDefault="004F00AF" w:rsidP="00A729AF">
      <w:pPr>
        <w:spacing w:line="240" w:lineRule="auto"/>
        <w:ind w:firstLine="720"/>
      </w:pPr>
    </w:p>
    <w:p w14:paraId="4D7204ED" w14:textId="2A33E1E6" w:rsidR="008C494C" w:rsidRDefault="008C494C" w:rsidP="00A729AF">
      <w:pPr>
        <w:spacing w:line="240" w:lineRule="auto"/>
        <w:ind w:firstLine="720"/>
      </w:pPr>
    </w:p>
    <w:p w14:paraId="236DFA51" w14:textId="4D28AD06" w:rsidR="008C494C" w:rsidRDefault="008C494C" w:rsidP="00A729AF">
      <w:pPr>
        <w:spacing w:line="240" w:lineRule="auto"/>
        <w:ind w:firstLine="720"/>
      </w:pPr>
    </w:p>
    <w:p w14:paraId="2C82907A" w14:textId="27ED753C" w:rsidR="008C494C" w:rsidRDefault="008C494C" w:rsidP="00A729AF">
      <w:pPr>
        <w:spacing w:line="240" w:lineRule="auto"/>
        <w:ind w:firstLine="720"/>
      </w:pPr>
    </w:p>
    <w:p w14:paraId="5BB73B43" w14:textId="1F696996" w:rsidR="008C494C" w:rsidRDefault="008C494C" w:rsidP="00A729AF">
      <w:pPr>
        <w:spacing w:line="240" w:lineRule="auto"/>
        <w:ind w:firstLine="720"/>
      </w:pPr>
    </w:p>
    <w:p w14:paraId="2A0456B7" w14:textId="037F7F4E" w:rsidR="008C494C" w:rsidRDefault="008C494C" w:rsidP="00A729AF">
      <w:pPr>
        <w:spacing w:line="240" w:lineRule="auto"/>
        <w:ind w:firstLine="720"/>
      </w:pPr>
    </w:p>
    <w:p w14:paraId="4D437820" w14:textId="30644495" w:rsidR="008C494C" w:rsidRDefault="008C494C" w:rsidP="00A729AF">
      <w:pPr>
        <w:spacing w:line="240" w:lineRule="auto"/>
        <w:ind w:firstLine="720"/>
      </w:pPr>
    </w:p>
    <w:p w14:paraId="11A7E39F" w14:textId="77777777" w:rsidR="008C494C" w:rsidRDefault="008C494C" w:rsidP="00A729AF">
      <w:pPr>
        <w:spacing w:line="240" w:lineRule="auto"/>
        <w:ind w:firstLine="720"/>
      </w:pPr>
    </w:p>
    <w:p w14:paraId="01EA4297" w14:textId="13093FF1" w:rsidR="004F00AF" w:rsidRDefault="004F00AF" w:rsidP="00A729AF">
      <w:pPr>
        <w:spacing w:line="240" w:lineRule="auto"/>
        <w:ind w:firstLine="720"/>
      </w:pPr>
    </w:p>
    <w:p w14:paraId="64E6C6C4" w14:textId="04643DDD" w:rsidR="004F00AF" w:rsidRDefault="004F00AF" w:rsidP="00A729AF">
      <w:pPr>
        <w:spacing w:line="240" w:lineRule="auto"/>
        <w:ind w:firstLine="72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00AF" w14:paraId="2EC31952" w14:textId="77777777" w:rsidTr="00D66C25">
        <w:tc>
          <w:tcPr>
            <w:tcW w:w="1558" w:type="dxa"/>
          </w:tcPr>
          <w:p w14:paraId="3C3ED748" w14:textId="77777777" w:rsidR="004F00AF" w:rsidRPr="00390E34" w:rsidRDefault="004F00AF" w:rsidP="00D66C25">
            <w:pPr>
              <w:jc w:val="center"/>
              <w:rPr>
                <w:b/>
                <w:bCs/>
              </w:rPr>
            </w:pPr>
            <w:r w:rsidRPr="00390E34">
              <w:rPr>
                <w:b/>
                <w:bCs/>
              </w:rPr>
              <w:lastRenderedPageBreak/>
              <w:t>Test Case</w:t>
            </w:r>
          </w:p>
        </w:tc>
        <w:tc>
          <w:tcPr>
            <w:tcW w:w="1558" w:type="dxa"/>
          </w:tcPr>
          <w:p w14:paraId="51D5C79C" w14:textId="77777777" w:rsidR="004F00AF" w:rsidRPr="00390E34" w:rsidRDefault="004F00AF" w:rsidP="00D66C25">
            <w:pPr>
              <w:jc w:val="center"/>
              <w:rPr>
                <w:b/>
                <w:bCs/>
              </w:rPr>
            </w:pPr>
            <w:r w:rsidRPr="00390E34">
              <w:rPr>
                <w:b/>
                <w:bCs/>
              </w:rPr>
              <w:t>Description</w:t>
            </w:r>
          </w:p>
        </w:tc>
        <w:tc>
          <w:tcPr>
            <w:tcW w:w="1558" w:type="dxa"/>
          </w:tcPr>
          <w:p w14:paraId="11579F70" w14:textId="77777777" w:rsidR="004F00AF" w:rsidRPr="00390E34" w:rsidRDefault="004F00AF" w:rsidP="00D66C25">
            <w:pPr>
              <w:jc w:val="center"/>
              <w:rPr>
                <w:b/>
                <w:bCs/>
              </w:rPr>
            </w:pPr>
            <w:r w:rsidRPr="00390E34">
              <w:rPr>
                <w:b/>
                <w:bCs/>
              </w:rPr>
              <w:t>Input</w:t>
            </w:r>
          </w:p>
        </w:tc>
        <w:tc>
          <w:tcPr>
            <w:tcW w:w="1558" w:type="dxa"/>
          </w:tcPr>
          <w:p w14:paraId="698C5783" w14:textId="77777777" w:rsidR="004F00AF" w:rsidRPr="00390E34" w:rsidRDefault="004F00AF" w:rsidP="00D66C25">
            <w:pPr>
              <w:jc w:val="center"/>
              <w:rPr>
                <w:b/>
                <w:bCs/>
              </w:rPr>
            </w:pPr>
            <w:r w:rsidRPr="00390E34">
              <w:rPr>
                <w:b/>
                <w:bCs/>
              </w:rPr>
              <w:t>Expected Result</w:t>
            </w:r>
          </w:p>
        </w:tc>
        <w:tc>
          <w:tcPr>
            <w:tcW w:w="1559" w:type="dxa"/>
          </w:tcPr>
          <w:p w14:paraId="480635E6" w14:textId="77777777" w:rsidR="004F00AF" w:rsidRPr="00390E34" w:rsidRDefault="004F00AF" w:rsidP="00D66C25">
            <w:pPr>
              <w:jc w:val="center"/>
              <w:rPr>
                <w:b/>
                <w:bCs/>
              </w:rPr>
            </w:pPr>
            <w:r w:rsidRPr="00390E34">
              <w:rPr>
                <w:b/>
                <w:bCs/>
              </w:rPr>
              <w:t>Actual Result</w:t>
            </w:r>
          </w:p>
        </w:tc>
        <w:tc>
          <w:tcPr>
            <w:tcW w:w="1559" w:type="dxa"/>
          </w:tcPr>
          <w:p w14:paraId="314E9551" w14:textId="77777777" w:rsidR="004F00AF" w:rsidRPr="00390E34" w:rsidRDefault="004F00AF" w:rsidP="00D66C25">
            <w:pPr>
              <w:jc w:val="center"/>
              <w:rPr>
                <w:b/>
                <w:bCs/>
              </w:rPr>
            </w:pPr>
            <w:r w:rsidRPr="00390E34">
              <w:rPr>
                <w:b/>
                <w:bCs/>
              </w:rPr>
              <w:t>Pass/Fail</w:t>
            </w:r>
          </w:p>
        </w:tc>
      </w:tr>
      <w:tr w:rsidR="004F00AF" w14:paraId="008479F4" w14:textId="77777777" w:rsidTr="00D66C25">
        <w:tc>
          <w:tcPr>
            <w:tcW w:w="1558" w:type="dxa"/>
            <w:vAlign w:val="center"/>
          </w:tcPr>
          <w:p w14:paraId="0DAF30EA" w14:textId="77777777" w:rsidR="004F00AF" w:rsidRPr="00390E34" w:rsidRDefault="004F00AF" w:rsidP="00D66C25">
            <w:pPr>
              <w:rPr>
                <w:b/>
                <w:bCs/>
              </w:rPr>
            </w:pPr>
            <w:r w:rsidRPr="00390E34">
              <w:rPr>
                <w:b/>
                <w:bCs/>
              </w:rPr>
              <w:t>1</w:t>
            </w:r>
          </w:p>
        </w:tc>
        <w:tc>
          <w:tcPr>
            <w:tcW w:w="1558" w:type="dxa"/>
            <w:vAlign w:val="center"/>
          </w:tcPr>
          <w:p w14:paraId="14F4377C" w14:textId="77777777" w:rsidR="004F00AF" w:rsidRDefault="004F00AF" w:rsidP="00D66C25">
            <w:pPr>
              <w:jc w:val="center"/>
            </w:pPr>
            <w:r>
              <w:t>Check result of the infix expression parser</w:t>
            </w:r>
          </w:p>
        </w:tc>
        <w:tc>
          <w:tcPr>
            <w:tcW w:w="1558" w:type="dxa"/>
            <w:vAlign w:val="center"/>
          </w:tcPr>
          <w:p w14:paraId="7801458B" w14:textId="77777777" w:rsidR="004F00AF" w:rsidRDefault="004F00AF" w:rsidP="00D66C25">
            <w:pPr>
              <w:jc w:val="center"/>
            </w:pPr>
            <w:r>
              <w:t>1+2*3</w:t>
            </w:r>
          </w:p>
        </w:tc>
        <w:tc>
          <w:tcPr>
            <w:tcW w:w="1558" w:type="dxa"/>
            <w:vAlign w:val="center"/>
          </w:tcPr>
          <w:p w14:paraId="63D5D9DC" w14:textId="77777777" w:rsidR="004F00AF" w:rsidRDefault="004F00AF" w:rsidP="00D66C25">
            <w:pPr>
              <w:jc w:val="center"/>
            </w:pPr>
            <w:r>
              <w:t>7</w:t>
            </w:r>
          </w:p>
        </w:tc>
        <w:tc>
          <w:tcPr>
            <w:tcW w:w="1559" w:type="dxa"/>
            <w:vAlign w:val="center"/>
          </w:tcPr>
          <w:p w14:paraId="1E13AA36" w14:textId="77777777" w:rsidR="004F00AF" w:rsidRDefault="004F00AF" w:rsidP="00D66C25">
            <w:pPr>
              <w:jc w:val="center"/>
            </w:pPr>
            <w:r>
              <w:t>7</w:t>
            </w:r>
          </w:p>
        </w:tc>
        <w:tc>
          <w:tcPr>
            <w:tcW w:w="1559" w:type="dxa"/>
            <w:vAlign w:val="center"/>
          </w:tcPr>
          <w:p w14:paraId="7375928F" w14:textId="77777777" w:rsidR="004F00AF" w:rsidRDefault="004F00AF" w:rsidP="00D66C25">
            <w:pPr>
              <w:jc w:val="center"/>
            </w:pPr>
            <w:r>
              <w:t>Pass</w:t>
            </w:r>
          </w:p>
        </w:tc>
      </w:tr>
      <w:tr w:rsidR="004F00AF" w14:paraId="763D6A85" w14:textId="77777777" w:rsidTr="00D66C25">
        <w:tc>
          <w:tcPr>
            <w:tcW w:w="1558" w:type="dxa"/>
            <w:vAlign w:val="center"/>
          </w:tcPr>
          <w:p w14:paraId="75473ECF" w14:textId="77777777" w:rsidR="004F00AF" w:rsidRPr="00390E34" w:rsidRDefault="004F00AF" w:rsidP="00D66C25">
            <w:pPr>
              <w:rPr>
                <w:b/>
                <w:bCs/>
              </w:rPr>
            </w:pPr>
            <w:r w:rsidRPr="00390E34">
              <w:rPr>
                <w:b/>
                <w:bCs/>
              </w:rPr>
              <w:t>2</w:t>
            </w:r>
          </w:p>
        </w:tc>
        <w:tc>
          <w:tcPr>
            <w:tcW w:w="1558" w:type="dxa"/>
            <w:vAlign w:val="center"/>
          </w:tcPr>
          <w:p w14:paraId="49417BBE" w14:textId="77777777" w:rsidR="004F00AF" w:rsidRDefault="004F00AF" w:rsidP="00D66C25">
            <w:pPr>
              <w:jc w:val="center"/>
            </w:pPr>
            <w:r>
              <w:t>Check result of the infix expression parser</w:t>
            </w:r>
          </w:p>
        </w:tc>
        <w:tc>
          <w:tcPr>
            <w:tcW w:w="1558" w:type="dxa"/>
            <w:vAlign w:val="center"/>
          </w:tcPr>
          <w:p w14:paraId="703506A8" w14:textId="77777777" w:rsidR="004F00AF" w:rsidRDefault="004F00AF" w:rsidP="00D66C25">
            <w:pPr>
              <w:jc w:val="center"/>
            </w:pPr>
            <w:r>
              <w:t>2+2^2*3</w:t>
            </w:r>
          </w:p>
        </w:tc>
        <w:tc>
          <w:tcPr>
            <w:tcW w:w="1558" w:type="dxa"/>
            <w:vAlign w:val="center"/>
          </w:tcPr>
          <w:p w14:paraId="3D4D44AE" w14:textId="77777777" w:rsidR="004F00AF" w:rsidRDefault="004F00AF" w:rsidP="00D66C25">
            <w:pPr>
              <w:jc w:val="center"/>
            </w:pPr>
            <w:r>
              <w:t>14</w:t>
            </w:r>
          </w:p>
        </w:tc>
        <w:tc>
          <w:tcPr>
            <w:tcW w:w="1559" w:type="dxa"/>
            <w:vAlign w:val="center"/>
          </w:tcPr>
          <w:p w14:paraId="5850A58B" w14:textId="77777777" w:rsidR="004F00AF" w:rsidRDefault="004F00AF" w:rsidP="00D66C25">
            <w:pPr>
              <w:jc w:val="center"/>
            </w:pPr>
            <w:r>
              <w:t>14</w:t>
            </w:r>
          </w:p>
        </w:tc>
        <w:tc>
          <w:tcPr>
            <w:tcW w:w="1559" w:type="dxa"/>
            <w:vAlign w:val="center"/>
          </w:tcPr>
          <w:p w14:paraId="28EBB9A3" w14:textId="77777777" w:rsidR="004F00AF" w:rsidRDefault="004F00AF" w:rsidP="00D66C25">
            <w:pPr>
              <w:jc w:val="center"/>
            </w:pPr>
            <w:r>
              <w:t>Pass</w:t>
            </w:r>
          </w:p>
        </w:tc>
      </w:tr>
      <w:tr w:rsidR="004F00AF" w14:paraId="2EEF9C8D" w14:textId="77777777" w:rsidTr="00D66C25">
        <w:tc>
          <w:tcPr>
            <w:tcW w:w="1558" w:type="dxa"/>
            <w:vAlign w:val="center"/>
          </w:tcPr>
          <w:p w14:paraId="2D2C5506" w14:textId="77777777" w:rsidR="004F00AF" w:rsidRPr="00390E34" w:rsidRDefault="004F00AF" w:rsidP="00D66C25">
            <w:pPr>
              <w:rPr>
                <w:b/>
                <w:bCs/>
              </w:rPr>
            </w:pPr>
            <w:r w:rsidRPr="00390E34">
              <w:rPr>
                <w:b/>
                <w:bCs/>
              </w:rPr>
              <w:t>3</w:t>
            </w:r>
          </w:p>
        </w:tc>
        <w:tc>
          <w:tcPr>
            <w:tcW w:w="1558" w:type="dxa"/>
            <w:vAlign w:val="center"/>
          </w:tcPr>
          <w:p w14:paraId="18C67F74" w14:textId="77777777" w:rsidR="004F00AF" w:rsidRDefault="004F00AF" w:rsidP="00D66C25">
            <w:pPr>
              <w:jc w:val="center"/>
            </w:pPr>
            <w:r>
              <w:t>Check result of the infix expression parser</w:t>
            </w:r>
          </w:p>
        </w:tc>
        <w:tc>
          <w:tcPr>
            <w:tcW w:w="1558" w:type="dxa"/>
            <w:vAlign w:val="center"/>
          </w:tcPr>
          <w:p w14:paraId="1214486E" w14:textId="77777777" w:rsidR="004F00AF" w:rsidRDefault="004F00AF" w:rsidP="00D66C25">
            <w:pPr>
              <w:jc w:val="center"/>
            </w:pPr>
            <w:r>
              <w:t>(1+2)*3</w:t>
            </w:r>
          </w:p>
        </w:tc>
        <w:tc>
          <w:tcPr>
            <w:tcW w:w="1558" w:type="dxa"/>
            <w:vAlign w:val="center"/>
          </w:tcPr>
          <w:p w14:paraId="2F2B5BC9" w14:textId="77777777" w:rsidR="004F00AF" w:rsidRDefault="004F00AF" w:rsidP="00D66C25">
            <w:pPr>
              <w:jc w:val="center"/>
            </w:pPr>
            <w:r>
              <w:t>9</w:t>
            </w:r>
          </w:p>
        </w:tc>
        <w:tc>
          <w:tcPr>
            <w:tcW w:w="1559" w:type="dxa"/>
            <w:vAlign w:val="center"/>
          </w:tcPr>
          <w:p w14:paraId="2D6CEDDC" w14:textId="77777777" w:rsidR="004F00AF" w:rsidRDefault="004F00AF" w:rsidP="00D66C25">
            <w:pPr>
              <w:jc w:val="center"/>
            </w:pPr>
            <w:r>
              <w:t>9</w:t>
            </w:r>
          </w:p>
        </w:tc>
        <w:tc>
          <w:tcPr>
            <w:tcW w:w="1559" w:type="dxa"/>
            <w:vAlign w:val="center"/>
          </w:tcPr>
          <w:p w14:paraId="46EDE178" w14:textId="77777777" w:rsidR="004F00AF" w:rsidRDefault="004F00AF" w:rsidP="00D66C25">
            <w:pPr>
              <w:jc w:val="center"/>
            </w:pPr>
            <w:r>
              <w:t>Pass</w:t>
            </w:r>
          </w:p>
        </w:tc>
      </w:tr>
    </w:tbl>
    <w:p w14:paraId="14A5EB41" w14:textId="70D3F5EB" w:rsidR="004F00AF" w:rsidRDefault="004F00AF" w:rsidP="00A729AF">
      <w:pPr>
        <w:spacing w:line="240" w:lineRule="auto"/>
        <w:ind w:firstLine="720"/>
      </w:pPr>
    </w:p>
    <w:p w14:paraId="0E8E2A31" w14:textId="7EF549FA" w:rsidR="008C494C" w:rsidRDefault="008C494C" w:rsidP="00A729AF">
      <w:pPr>
        <w:spacing w:line="240" w:lineRule="auto"/>
        <w:ind w:firstLine="720"/>
      </w:pPr>
    </w:p>
    <w:p w14:paraId="2323F428" w14:textId="355A7195" w:rsidR="008C494C" w:rsidRDefault="008C494C" w:rsidP="00A729AF">
      <w:pPr>
        <w:spacing w:line="240" w:lineRule="auto"/>
        <w:ind w:firstLine="720"/>
      </w:pPr>
    </w:p>
    <w:p w14:paraId="69C42CCE" w14:textId="25F7C636" w:rsidR="008C494C" w:rsidRDefault="008C494C" w:rsidP="00A729AF">
      <w:pPr>
        <w:spacing w:line="240" w:lineRule="auto"/>
        <w:ind w:firstLine="720"/>
      </w:pPr>
    </w:p>
    <w:p w14:paraId="2D7BC442" w14:textId="0024EC20" w:rsidR="008C494C" w:rsidRDefault="008C494C" w:rsidP="00A729AF">
      <w:pPr>
        <w:spacing w:line="240" w:lineRule="auto"/>
        <w:ind w:firstLine="720"/>
      </w:pPr>
    </w:p>
    <w:p w14:paraId="546C7BA8" w14:textId="764BD7B3" w:rsidR="008C494C" w:rsidRPr="00A729AF" w:rsidRDefault="008C494C" w:rsidP="008C494C">
      <w:pPr>
        <w:spacing w:line="240" w:lineRule="auto"/>
      </w:pPr>
      <w:r w:rsidRPr="008C494C">
        <w:drawing>
          <wp:inline distT="0" distB="0" distL="0" distR="0" wp14:anchorId="569ED979" wp14:editId="115E2110">
            <wp:extent cx="5943600" cy="3883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83660"/>
                    </a:xfrm>
                    <a:prstGeom prst="rect">
                      <a:avLst/>
                    </a:prstGeom>
                  </pic:spPr>
                </pic:pic>
              </a:graphicData>
            </a:graphic>
          </wp:inline>
        </w:drawing>
      </w:r>
    </w:p>
    <w:sectPr w:rsidR="008C494C" w:rsidRPr="00A7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12"/>
    <w:rsid w:val="00006EF7"/>
    <w:rsid w:val="00183811"/>
    <w:rsid w:val="004F00AF"/>
    <w:rsid w:val="008A230A"/>
    <w:rsid w:val="008C494C"/>
    <w:rsid w:val="008D3653"/>
    <w:rsid w:val="00A729AF"/>
    <w:rsid w:val="00B525BC"/>
    <w:rsid w:val="00F9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5806"/>
  <w15:chartTrackingRefBased/>
  <w15:docId w15:val="{847661CC-09F0-4314-8D37-4A9C63F1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F00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F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Colyer, Evan</dc:creator>
  <cp:keywords/>
  <dc:description/>
  <cp:lastModifiedBy>Colyer, Evan</cp:lastModifiedBy>
  <cp:revision>1</cp:revision>
  <dcterms:created xsi:type="dcterms:W3CDTF">2021-11-23T20:44:00Z</dcterms:created>
  <dcterms:modified xsi:type="dcterms:W3CDTF">2021-11-23T22:38:00Z</dcterms:modified>
</cp:coreProperties>
</file>