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spliced well logs  have been provided free of charge by </w:t>
      </w:r>
      <w:r w:rsidDel="00000000" w:rsidR="00000000" w:rsidRPr="00000000">
        <w:rPr>
          <w:b w:val="1"/>
          <w:sz w:val="28"/>
          <w:szCs w:val="28"/>
          <w:rtl w:val="0"/>
        </w:rPr>
        <w:t xml:space="preserve">occam technology</w:t>
      </w:r>
      <w:r w:rsidDel="00000000" w:rsidR="00000000" w:rsidRPr="00000000">
        <w:rPr>
          <w:sz w:val="28"/>
          <w:szCs w:val="28"/>
          <w:rtl w:val="0"/>
        </w:rPr>
        <w:t xml:space="preserve"> and are sampled at 0.5 m interval. The data is as complete as as it can be but there may be occasional gaps in the logs.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full resolution spliced logs can be purchased from Occam Technologies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 HERE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https://www.occam.com.au/poseidondata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Please acknowledge their service in your reports and publications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LAS files contains the deviation data and logs data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have to use a text editor to separate these and makes wells first, before you load the logs in the software of your choice.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is CC-BY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ccam.com.au/poseidon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