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sz w:val="28"/>
          <w:szCs w:val="28"/>
        </w:rPr>
        <w:t xml:space="preserve">Hybrid Identity Lab</w:t>
      </w:r>
    </w:p>
    <w:p>
      <w:pPr>
        <w:spacing w:after="40"/>
      </w:pPr>
      <w:r>
        <w:rPr>
          <w:rFonts w:ascii="Arial" w:cs="Arial" w:eastAsia="Arial" w:hAnsi="Arial"/>
          <w:b/>
          <w:bCs/>
          <w:sz w:val="24"/>
          <w:szCs w:val="24"/>
        </w:rPr>
        <w:t xml:space="preserve">Day 7 Debrief — Phase E Operational Readiness</w:t>
      </w:r>
    </w:p>
    <w:p>
      <w:pPr>
        <w:spacing w:after="40"/>
      </w:pPr>
      <w:r>
        <w:rPr>
          <w:rFonts w:ascii="Arial" w:cs="Arial" w:eastAsia="Arial" w:hAnsi="Arial"/>
          <w:color w:val="666666"/>
          <w:sz w:val="20"/>
          <w:szCs w:val="20"/>
        </w:rPr>
        <w:t xml:space="preserve">SSO Labs Robotics · yearwood.local · ssolabs1001.onmicrosoft.com · Zürich, Switzerland</w:t>
      </w:r>
    </w:p>
    <w:p>
      <w:pPr>
        <w:spacing w:after="240"/>
      </w:pPr>
      <w:r>
        <w:rPr>
          <w:rFonts w:ascii="Arial" w:cs="Arial" w:eastAsia="Arial" w:hAnsi="Arial"/>
          <w:color w:val="666666"/>
          <w:sz w:val="20"/>
          <w:szCs w:val="20"/>
        </w:rPr>
        <w:t xml:space="preserve">Date: April 2026 · Author: Evan Yearwood</w:t>
      </w:r>
    </w:p>
    <w:p>
      <w:pPr>
        <w:pStyle w:val="Heading1"/>
        <w:spacing w:after="200" w:before="360"/>
      </w:pPr>
      <w:r>
        <w:rPr>
          <w:rFonts w:ascii="Arial" w:cs="Arial" w:eastAsia="Arial" w:hAnsi="Arial"/>
          <w:b/>
          <w:bCs/>
          <w:sz w:val="32"/>
          <w:szCs w:val="32"/>
        </w:rPr>
        <w:t xml:space="preserve">1. Session overview</w:t>
      </w:r>
    </w:p>
    <w:p>
      <w:pPr>
        <w:spacing w:after="120"/>
      </w:pPr>
      <w:r>
        <w:rPr>
          <w:rFonts w:ascii="Arial" w:cs="Arial" w:eastAsia="Arial" w:hAnsi="Arial"/>
          <w:sz w:val="22"/>
          <w:szCs w:val="22"/>
        </w:rPr>
        <w:t xml:space="preserve">Phase E focused on operational readiness — building the diagnostic muscle to handle the five most common identity incidents in a hybrid Entra ID and Active Directory environment. Rather than simply writing runbook documents, the approach was learn-by-doing: walking through real diagnostic logic on the live lab environment, building a Process Street-style runbook reference application, and training on two versions of a custom IAM Incident Simulator to develop both pattern recognition (V1, guided choices) and diagnostic recall (V2, free-form input).</w:t>
      </w:r>
    </w:p>
    <w:p>
      <w:pPr>
        <w:spacing w:after="120"/>
      </w:pPr>
      <w:r>
        <w:rPr>
          <w:rFonts w:ascii="Arial" w:cs="Arial" w:eastAsia="Arial" w:hAnsi="Arial"/>
          <w:sz w:val="22"/>
          <w:szCs w:val="22"/>
        </w:rPr>
        <w:t xml:space="preserve">The session also established a universal four-phase diagnostic framework that applies across all five runbook categories: verify the source, find the gap, fix at the source, and document and prevent. This framework is the mental model that carries into interviews and real-world operations regardless of which specific incident type is encountered.</w:t>
      </w:r>
    </w:p>
    <w:p>
      <w:pPr>
        <w:pStyle w:val="Heading1"/>
        <w:spacing w:after="200" w:before="360"/>
      </w:pPr>
      <w:r>
        <w:rPr>
          <w:rFonts w:ascii="Arial" w:cs="Arial" w:eastAsia="Arial" w:hAnsi="Arial"/>
          <w:b/>
          <w:bCs/>
          <w:sz w:val="32"/>
          <w:szCs w:val="32"/>
        </w:rPr>
        <w:t xml:space="preserve">2. Five runbooks produced</w:t>
      </w:r>
    </w:p>
    <w:p>
      <w:pPr>
        <w:spacing w:after="120"/>
      </w:pPr>
      <w:r>
        <w:rPr>
          <w:rFonts w:ascii="Arial" w:cs="Arial" w:eastAsia="Arial" w:hAnsi="Arial"/>
          <w:sz w:val="22"/>
          <w:szCs w:val="22"/>
        </w:rPr>
        <w:t xml:space="preserve">Five operational runbooks were developed covering the incidents most commonly tested in identity support technical screens. Each runbook includes symptom identification, diagnostic decision trees, error code reference tables, simulated tool outputs, and resolution procedures with prevention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200"/>
        <w:gridCol w:w="1680"/>
        <w:gridCol w:w="168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ID</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Runbook</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 tools</w:t>
            </w:r>
          </w:p>
        </w:tc>
        <w:tc>
          <w:tcPr>
            <w:tcW w:type="dxa" w:w="1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Steps</w:t>
            </w:r>
          </w:p>
        </w:tc>
        <w:tc>
          <w:tcPr>
            <w:tcW w:type="dxa" w:w="1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Priority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RB-001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Entra Connect sync failure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Sync Service Manager, Get-ADUser, connector space, delta sync</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 — High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RB-002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 blocking legitimate users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Sign-in logs, What If, error codes 53003/50076/50097</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 — High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RB-003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SAML SSO assertion failure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SAML tab, browser DevTools, cert comparison, ACS URL check</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 — Medium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RB-004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MFA registration lockout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Authentication methods, TAP, Get-MgUserAuthenticationMethod</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 — High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RB-005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 user not appearing in Entra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 scoping, connector space search, delta/full sync</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 — Medium</w:t>
            </w:r>
          </w:p>
        </w:tc>
      </w:tr>
    </w:tbl>
    <w:p>
      <w:pPr>
        <w:spacing w:after="120"/>
      </w:pPr>
      <w:r>
        <w:rPr>
          <w:rFonts w:ascii="Arial" w:cs="Arial" w:eastAsia="Arial" w:hAnsi="Arial"/>
          <w:sz w:val="22"/>
          <w:szCs w:val="22"/>
        </w:rPr>
        <w:t xml:space="preserve">Total: 42 diagnostic steps across all five runbooks. All runbooks were implemented in an interactive HTML application mimicking Process Street with expandable step-by-step procedures, inline PowerShell commands with syntax highlighting, decision trees, error code reference tables, and click-to-complete progress tracking.</w:t>
      </w:r>
    </w:p>
    <w:p>
      <w:pPr>
        <w:pStyle w:val="Heading1"/>
        <w:spacing w:after="200" w:before="360"/>
      </w:pPr>
      <w:r>
        <w:rPr>
          <w:rFonts w:ascii="Arial" w:cs="Arial" w:eastAsia="Arial" w:hAnsi="Arial"/>
          <w:b/>
          <w:bCs/>
          <w:sz w:val="32"/>
          <w:szCs w:val="32"/>
        </w:rPr>
        <w:t xml:space="preserve">3. Universal diagnostic framework</w:t>
      </w:r>
    </w:p>
    <w:p>
      <w:pPr>
        <w:spacing w:after="120"/>
      </w:pPr>
      <w:r>
        <w:rPr>
          <w:rFonts w:ascii="Arial" w:cs="Arial" w:eastAsia="Arial" w:hAnsi="Arial"/>
          <w:sz w:val="22"/>
          <w:szCs w:val="22"/>
        </w:rPr>
        <w:t xml:space="preserve">A four-phase diagnostic framework was established that applies universally across all five runbook categories. This framework is the mental model for approaching any identity incident.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Action</w:t>
            </w:r>
          </w:p>
        </w:tc>
        <w:tc>
          <w:tcPr>
            <w:tcW w:type="dxa" w:w="4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Principle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Verify the source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 the object exists correctly at its origin before troubleshooting downstream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sync: check AD. For CA: check sign-in log. For MFA: verify caller identity. Never troubleshoot the pipeline before confirming the input.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Find the gap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Identify where the expected state diverges from the actual state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 the specific mismatch: OU not in scope, cert thumbprint mismatch, legacy client app, missing attribute, disabled account.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Fix at the source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Correct the root cause where it originates, never patch the symptom downstream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 the user in AD, don’t create a cloud workaround. Migrate the client, don’t weaken the CA policy. Update the SP cert, don’t revert the IdP. Issue TAP, don’t bypass MFA.</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Document and prevent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Record root cause, resolution, and prevention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SOPs, set monitoring alerts, restrict wizard access, add cert expiry to monitoring. This is what separates an engineer from someone who just fixed it.</w:t>
            </w:r>
          </w:p>
        </w:tc>
      </w:tr>
    </w:tbl>
    <w:p>
      <w:pPr>
        <w:pStyle w:val="Heading1"/>
        <w:spacing w:after="200" w:before="360"/>
      </w:pPr>
      <w:r>
        <w:rPr>
          <w:rFonts w:ascii="Arial" w:cs="Arial" w:eastAsia="Arial" w:hAnsi="Arial"/>
          <w:b/>
          <w:bCs/>
          <w:sz w:val="32"/>
          <w:szCs w:val="32"/>
        </w:rPr>
        <w:t xml:space="preserve">4. Training methodology</w:t>
      </w:r>
    </w:p>
    <w:p>
      <w:pPr>
        <w:pStyle w:val="Heading2"/>
        <w:spacing w:after="160" w:before="240"/>
      </w:pPr>
      <w:r>
        <w:rPr>
          <w:rFonts w:ascii="Arial" w:cs="Arial" w:eastAsia="Arial" w:hAnsi="Arial"/>
          <w:b/>
          <w:bCs/>
          <w:sz w:val="28"/>
          <w:szCs w:val="28"/>
        </w:rPr>
        <w:t xml:space="preserve">4.1 Live lab diagnostic walkthrough</w:t>
      </w:r>
    </w:p>
    <w:p>
      <w:pPr>
        <w:spacing w:after="120"/>
      </w:pPr>
      <w:r>
        <w:rPr>
          <w:rFonts w:ascii="Arial" w:cs="Arial" w:eastAsia="Arial" w:hAnsi="Arial"/>
          <w:sz w:val="22"/>
          <w:szCs w:val="22"/>
        </w:rPr>
        <w:t xml:space="preserve">Before building simulators, a live diagnostic walkthrough was conducted on the yearwood.local lab environment. This included running Get-ADUser to verify Elena Vasquez’s OU placement, attempting to load the ADSync PowerShell module (which requires Windows PowerShell 5.1, not PowerShell 7 on ARM), and navigating to Synchronization Service Manager as the reliable GUI alternative.</w:t>
      </w:r>
    </w:p>
    <w:p>
      <w:pPr>
        <w:spacing w:after="120"/>
      </w:pPr>
      <w:r>
        <w:rPr>
          <w:rFonts w:ascii="Arial" w:cs="Arial" w:eastAsia="Arial" w:hAnsi="Arial"/>
          <w:sz w:val="22"/>
          <w:szCs w:val="22"/>
        </w:rPr>
        <w:t xml:space="preserve">The ADSync module compatibility issue was itself a learning moment: the module is built against the older .NET runtime in Windows PowerShell 5.1 and produces BadImageFormatException when loaded in PowerShell 7. This was documented as a critical environment note in the runbooks — the kind of detail that saves an engineer 10 minutes at 3am.</w:t>
      </w:r>
    </w:p>
    <w:p>
      <w:pPr>
        <w:pStyle w:val="Heading2"/>
        <w:spacing w:after="160" w:before="240"/>
      </w:pPr>
      <w:r>
        <w:rPr>
          <w:rFonts w:ascii="Arial" w:cs="Arial" w:eastAsia="Arial" w:hAnsi="Arial"/>
          <w:b/>
          <w:bCs/>
          <w:sz w:val="28"/>
          <w:szCs w:val="28"/>
        </w:rPr>
        <w:t xml:space="preserve">4.2 IAM Incident Simulator V1 — guided choices</w:t>
      </w:r>
    </w:p>
    <w:p>
      <w:pPr>
        <w:spacing w:after="120"/>
      </w:pPr>
      <w:r>
        <w:rPr>
          <w:rFonts w:ascii="Arial" w:cs="Arial" w:eastAsia="Arial" w:hAnsi="Arial"/>
          <w:sz w:val="22"/>
          <w:szCs w:val="22"/>
        </w:rPr>
        <w:t xml:space="preserve">A decision-tree based simulator was built as a single HTML file with 18 unique scenarios across all five runbook categories (3–4 per category). Each scenario presents a realistic ticket with a caller description, priority badge, and symptom narrative. At each diagnostic step, the user chooses from 3–4 actions and sees simulated tool output formatted like actual PowerShell, Entra portal, Sync Service Manager, and SAML assertions.</w:t>
      </w:r>
    </w:p>
    <w:p>
      <w:pPr>
        <w:spacing w:after="120"/>
      </w:pPr>
      <w:r>
        <w:rPr>
          <w:rFonts w:ascii="Arial" w:cs="Arial" w:eastAsia="Arial" w:hAnsi="Arial"/>
          <w:sz w:val="22"/>
          <w:szCs w:val="22"/>
        </w:rPr>
        <w:t xml:space="preserve">Scenarios include real-world curveballs: a locked MSOL_ service account causing 6 days of silent export failures, an em-dash in a phone number causing DataValidationFailed, contractors missing the mail attribute breaking SAML for only that user type, and an accidental OU scope removal causing mass deletion of 16 users.</w:t>
      </w:r>
    </w:p>
    <w:p>
      <w:pPr>
        <w:spacing w:after="120"/>
      </w:pPr>
      <w:r>
        <w:rPr>
          <w:rFonts w:ascii="Arial" w:cs="Arial" w:eastAsia="Arial" w:hAnsi="Arial"/>
          <w:sz w:val="22"/>
          <w:szCs w:val="22"/>
        </w:rPr>
        <w:t xml:space="preserve">V1 was completed three times through with increasing accuracy, building pattern recognition: symptom → first check → expected output → resolution.</w:t>
      </w:r>
    </w:p>
    <w:p>
      <w:pPr>
        <w:pStyle w:val="Heading2"/>
        <w:spacing w:after="160" w:before="240"/>
      </w:pPr>
      <w:r>
        <w:rPr>
          <w:rFonts w:ascii="Arial" w:cs="Arial" w:eastAsia="Arial" w:hAnsi="Arial"/>
          <w:b/>
          <w:bCs/>
          <w:sz w:val="28"/>
          <w:szCs w:val="28"/>
        </w:rPr>
        <w:t xml:space="preserve">4.3 IAM Incident Simulator V2 — free-form input</w:t>
      </w:r>
    </w:p>
    <w:p>
      <w:pPr>
        <w:spacing w:after="120"/>
      </w:pPr>
      <w:r>
        <w:rPr>
          <w:rFonts w:ascii="Arial" w:cs="Arial" w:eastAsia="Arial" w:hAnsi="Arial"/>
          <w:sz w:val="22"/>
          <w:szCs w:val="22"/>
        </w:rPr>
        <w:t xml:space="preserve">V2 removed the multiple-choice guardrails entirely. The user types their diagnostic action in plain text (e.g., “check the sign-in log”, “run Get-ADUser”, “look at the connector space”) and the simulator interprets intent using keyword matching against a node graph of possible actions. The user must also declare the root cause in their own words, which is evaluated against reference keywords.</w:t>
      </w:r>
    </w:p>
    <w:p>
      <w:pPr>
        <w:spacing w:after="120"/>
      </w:pPr>
      <w:r>
        <w:rPr>
          <w:rFonts w:ascii="Arial" w:cs="Arial" w:eastAsia="Arial" w:hAnsi="Arial"/>
          <w:sz w:val="22"/>
          <w:szCs w:val="22"/>
        </w:rPr>
        <w:t xml:space="preserve">V2 exposed a limitation in the keyword matching approach — natural language phrasing that deviated from expected keywords was not recognized. A future V3 iteration could use an LLM-powered interpreter to handle arbitrary phrasing. Despite this limitation, V2 was valuable for testing whether diagnostic sequences could be recalled from memory rather than recognized from a list.</w:t>
      </w:r>
    </w:p>
    <w:p>
      <w:pPr>
        <w:pStyle w:val="Heading1"/>
        <w:spacing w:after="200" w:before="360"/>
      </w:pPr>
      <w:r>
        <w:rPr>
          <w:rFonts w:ascii="Arial" w:cs="Arial" w:eastAsia="Arial" w:hAnsi="Arial"/>
          <w:b/>
          <w:bCs/>
          <w:sz w:val="32"/>
          <w:szCs w:val="32"/>
        </w:rPr>
        <w:t xml:space="preserve">5. Error code reference</w:t>
      </w:r>
    </w:p>
    <w:p>
      <w:pPr>
        <w:spacing w:after="120"/>
      </w:pPr>
      <w:r>
        <w:rPr>
          <w:rFonts w:ascii="Arial" w:cs="Arial" w:eastAsia="Arial" w:hAnsi="Arial"/>
          <w:sz w:val="22"/>
          <w:szCs w:val="22"/>
        </w:rPr>
        <w:t xml:space="preserve">The following Entra sign-in error codes were studied and mapped to root causes. Being able to hear an error code and immediately know the category of problem is a core technical screen skill.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Code</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4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What it means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53003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BlockedByConditionalAccess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CA policy blocked the sign-in. Check the CA tab on the sign-in log to see which policy and which grant control failed.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50076</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UserStrongAuthEnrollmentRequired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needs to register for MFA but hasn’t completed registration. Common for new hires. Issue a TAP.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50097</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DeviceAuthenticationRequired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 policy requires a compliant or Entra-joined device. Check Intune enrollment and compliance status.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53000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DeviceNotCompliant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Device is enrolled in Intune but non-compliant (e.g., stale antivirus, outdated OS). Fix the device, not the policy.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530003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BlockedBySecurityDefaults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Defaults (not CA) is blocking. Usually means Security Defaults wasn’t disabled when CA policies were deployed.</w:t>
            </w:r>
          </w:p>
        </w:tc>
      </w:tr>
    </w:tbl>
    <w:p>
      <w:pPr>
        <w:pStyle w:val="Heading1"/>
        <w:spacing w:after="200" w:before="360"/>
      </w:pPr>
      <w:r>
        <w:rPr>
          <w:rFonts w:ascii="Arial" w:cs="Arial" w:eastAsia="Arial" w:hAnsi="Arial"/>
          <w:b/>
          <w:bCs/>
          <w:sz w:val="32"/>
          <w:szCs w:val="32"/>
        </w:rPr>
        <w:t xml:space="preserve">6. Entra Connect export error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Error name</w:t>
            </w:r>
          </w:p>
        </w:tc>
        <w:tc>
          <w:tcPr>
            <w:tcW w:type="dxa" w:w="3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Common cause</w:t>
            </w:r>
          </w:p>
        </w:tc>
        <w:tc>
          <w:tcPr>
            <w:tcW w:type="dxa" w:w="3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Resolution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InvalidSoftMatch</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 user’s proxyAddress or UPN matches an existing cloud-only user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 or rename the conflicting cloud user, or hard-match using ImmutableID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AttributeValueMustBeUnique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Duplicate proxyAddress, UPN, or mailNickname across AD users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Find and fix the duplicate attribute in AD, then re-sync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DataValidationFailed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Attribute value exceeds max length or contains invalid characters (e.g., em-dash in phone number)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the attribute value in AD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LargeObject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has too many group memberships (&gt;500 direct) or proxy addresses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 direct group memberships or use nested groups</w:t>
            </w:r>
          </w:p>
        </w:tc>
      </w:tr>
    </w:tbl>
    <w:p>
      <w:pPr>
        <w:pStyle w:val="Heading1"/>
        <w:spacing w:after="200" w:before="360"/>
      </w:pPr>
      <w:r>
        <w:rPr>
          <w:rFonts w:ascii="Arial" w:cs="Arial" w:eastAsia="Arial" w:hAnsi="Arial"/>
          <w:b/>
          <w:bCs/>
          <w:sz w:val="32"/>
          <w:szCs w:val="32"/>
        </w:rPr>
        <w:t xml:space="preserve">7. Hybrid identity architecture — current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Status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 domain (yearwood.local)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Windows Server 2025, 66 users, 13 OUs, 4 security groups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Entra Connect sync</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Running, delta sync every 30 minutes, Password Hash Sync enabled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Entra ID tenant (ssolabs1001)</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66 synced users, 4 synced groups, 3 enterprise apps, 3 CA policies enabled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RoboFleet Portal (SAML)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 5004, SSO-Employees + SSO-Contractors assigned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ResearchHub (OIDC)</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 5005, SSO-Employees only, Graph API client credentials working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LabOps Console (OIDC)</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 5006, SSO-Employees + SSO-Contractors assigned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Conditional Access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CA-001 (MFA all users), CA-002 (MFA admin roles), CA-003 (block legacy auth)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Operational readiness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runbooks (42 steps), Process Street HTML mockup, V1 + V2 incident simulators</w:t>
            </w:r>
          </w:p>
        </w:tc>
      </w:tr>
    </w:tbl>
    <w:p>
      <w:pPr>
        <w:pStyle w:val="Heading1"/>
        <w:spacing w:after="200" w:before="360"/>
      </w:pPr>
      <w:r>
        <w:rPr>
          <w:rFonts w:ascii="Arial" w:cs="Arial" w:eastAsia="Arial" w:hAnsi="Arial"/>
          <w:b/>
          <w:bCs/>
          <w:sz w:val="32"/>
          <w:szCs w:val="32"/>
        </w:rPr>
        <w:t xml:space="preserve">8. Remaining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7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F</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Evidence Pack — Audit-ready exports using Graph PowerShell and KQL: privileged role inventory with MFA status, CA policy export, group membership with timestamps, 30-day sign-in summary, structured change log from Entra Audit Log, one-page NIST 800-53 compliance narrative</w:t>
            </w:r>
          </w:p>
        </w:tc>
      </w:tr>
    </w:tbl>
    <w:p>
      <w:pPr>
        <w:pStyle w:val="Heading1"/>
        <w:spacing w:after="200" w:before="360"/>
      </w:pPr>
      <w:r>
        <w:rPr>
          <w:rFonts w:ascii="Arial" w:cs="Arial" w:eastAsia="Arial" w:hAnsi="Arial"/>
          <w:b/>
          <w:bCs/>
          <w:sz w:val="32"/>
          <w:szCs w:val="32"/>
        </w:rPr>
        <w:t xml:space="preserve">9. Key interview concepts from this phase</w:t>
      </w:r>
    </w:p>
    <w:p>
      <w:pPr>
        <w:pStyle w:val="ListParagraph"/>
        <w:numPr>
          <w:ilvl w:val="0"/>
          <w:numId w:val="2"/>
        </w:numPr>
        <w:spacing w:after="60"/>
      </w:pPr>
      <w:r>
        <w:rPr>
          <w:rFonts w:ascii="Arial" w:cs="Arial" w:eastAsia="Arial" w:hAnsi="Arial"/>
          <w:sz w:val="22"/>
          <w:szCs w:val="22"/>
        </w:rPr>
        <w:t xml:space="preserve">Every identity incident follows a four-phase diagnostic pattern: verify the source, find the gap, fix at the source, document and prevent. Memorizing this skeleton lets you approach any incident systematically even if you’ve never seen the specific error before.</w:t>
      </w:r>
    </w:p>
    <w:p>
      <w:pPr>
        <w:pStyle w:val="ListParagraph"/>
        <w:numPr>
          <w:ilvl w:val="0"/>
          <w:numId w:val="2"/>
        </w:numPr>
        <w:spacing w:after="60"/>
      </w:pPr>
      <w:r>
        <w:rPr>
          <w:rFonts w:ascii="Arial" w:cs="Arial" w:eastAsia="Arial" w:hAnsi="Arial"/>
          <w:sz w:val="22"/>
          <w:szCs w:val="22"/>
        </w:rPr>
        <w:t xml:space="preserve">Always verify the source data before troubleshooting the pipeline. For sync issues, check AD first. For CA issues, pull the sign-in log first. For MFA resets, verify the caller’s identity first. The most common mistake is troubleshooting downstream systems when the source data is wrong.</w:t>
      </w:r>
    </w:p>
    <w:p>
      <w:pPr>
        <w:pStyle w:val="ListParagraph"/>
        <w:numPr>
          <w:ilvl w:val="0"/>
          <w:numId w:val="2"/>
        </w:numPr>
        <w:spacing w:after="60"/>
      </w:pPr>
      <w:r>
        <w:rPr>
          <w:rFonts w:ascii="Arial" w:cs="Arial" w:eastAsia="Arial" w:hAnsi="Arial"/>
          <w:sz w:val="22"/>
          <w:szCs w:val="22"/>
        </w:rPr>
        <w:t xml:space="preserve">Never weaken a security policy to resolve an access issue. Don’t disable CA-003 because a user has a legacy client — migrate the client. Don’t exclude a user from MFA — issue a TAP. Don’t create a cloud-only user in a hybrid environment — fix the sync.</w:t>
      </w:r>
    </w:p>
    <w:p>
      <w:pPr>
        <w:pStyle w:val="ListParagraph"/>
        <w:numPr>
          <w:ilvl w:val="0"/>
          <w:numId w:val="2"/>
        </w:numPr>
        <w:spacing w:after="60"/>
      </w:pPr>
      <w:r>
        <w:rPr>
          <w:rFonts w:ascii="Arial" w:cs="Arial" w:eastAsia="Arial" w:hAnsi="Arial"/>
          <w:sz w:val="22"/>
          <w:szCs w:val="22"/>
        </w:rPr>
        <w:t xml:space="preserve">The ADSync PowerShell module requires Windows PowerShell 5.1 (64-bit) — it will not load in PowerShell 7. The Synchronization Service Manager GUI is the reliable alternative and is often faster in practice.</w:t>
      </w:r>
    </w:p>
    <w:p>
      <w:pPr>
        <w:pStyle w:val="ListParagraph"/>
        <w:numPr>
          <w:ilvl w:val="0"/>
          <w:numId w:val="2"/>
        </w:numPr>
        <w:spacing w:after="60"/>
      </w:pPr>
      <w:r>
        <w:rPr>
          <w:rFonts w:ascii="Arial" w:cs="Arial" w:eastAsia="Arial" w:hAnsi="Arial"/>
          <w:sz w:val="22"/>
          <w:szCs w:val="22"/>
        </w:rPr>
        <w:t xml:space="preserve">Error code 53003 means blocked by Conditional Access. The sign-in log’s CA tab shows exactly which policy fired and which grant control failed. This is the single most important diagnostic view for CA troubleshooting.</w:t>
      </w:r>
    </w:p>
    <w:p>
      <w:pPr>
        <w:pStyle w:val="ListParagraph"/>
        <w:numPr>
          <w:ilvl w:val="0"/>
          <w:numId w:val="2"/>
        </w:numPr>
        <w:spacing w:after="60"/>
      </w:pPr>
      <w:r>
        <w:rPr>
          <w:rFonts w:ascii="Arial" w:cs="Arial" w:eastAsia="Arial" w:hAnsi="Arial"/>
          <w:sz w:val="22"/>
          <w:szCs w:val="22"/>
        </w:rPr>
        <w:t xml:space="preserve">MFA reset is the number one social engineering attack vector. Never reset MFA based on an email, chat, or phone call alone. Verify identity through an out-of-band channel (video call with badge verification, manager confirmation) and record the verification in the ticket.</w:t>
      </w:r>
    </w:p>
    <w:p>
      <w:pPr>
        <w:pStyle w:val="ListParagraph"/>
        <w:numPr>
          <w:ilvl w:val="0"/>
          <w:numId w:val="2"/>
        </w:numPr>
        <w:spacing w:after="60"/>
      </w:pPr>
      <w:r>
        <w:rPr>
          <w:rFonts w:ascii="Arial" w:cs="Arial" w:eastAsia="Arial" w:hAnsi="Arial"/>
          <w:sz w:val="22"/>
          <w:szCs w:val="22"/>
        </w:rPr>
        <w:t xml:space="preserve">SAML ‘Signature validation failed’ almost always means a certificate mismatch between the IdP and SP. The correct cert rotation procedure is: generate new cert, update SP config, then activate new cert in the IdP. Never activate first.</w:t>
      </w:r>
    </w:p>
    <w:p>
      <w:pPr>
        <w:pStyle w:val="ListParagraph"/>
        <w:numPr>
          <w:ilvl w:val="0"/>
          <w:numId w:val="2"/>
        </w:numPr>
        <w:spacing w:after="60"/>
      </w:pPr>
      <w:r>
        <w:rPr>
          <w:rFonts w:ascii="Arial" w:cs="Arial" w:eastAsia="Arial" w:hAnsi="Arial"/>
          <w:sz w:val="22"/>
          <w:szCs w:val="22"/>
        </w:rPr>
        <w:t xml:space="preserve">After adding a new OU to the Entra Connect sync scope, a full sync (PolicyType Initial) is required. Delta sync only catches changes since the last run — objects in a newly scoped OU have never been imported, so they don’t register as changes.</w:t>
      </w:r>
    </w:p>
    <w:p>
      <w:pPr>
        <w:pStyle w:val="ListParagraph"/>
        <w:numPr>
          <w:ilvl w:val="0"/>
          <w:numId w:val="2"/>
        </w:numPr>
        <w:spacing w:after="60"/>
      </w:pPr>
      <w:r>
        <w:rPr>
          <w:rFonts w:ascii="Arial" w:cs="Arial" w:eastAsia="Arial" w:hAnsi="Arial"/>
          <w:sz w:val="22"/>
          <w:szCs w:val="22"/>
        </w:rPr>
        <w:t xml:space="preserve">Delta sync is for single-object changes (user moved, attribute updated). Full sync is for configuration changes (OU scope modified, sync rule edited). Using full sync for a single user move wastes time; using delta sync after a scope change misses objects.</w:t>
      </w:r>
    </w:p>
    <w:p>
      <w:pPr>
        <w:pStyle w:val="ListParagraph"/>
        <w:numPr>
          <w:ilvl w:val="0"/>
          <w:numId w:val="2"/>
        </w:numPr>
        <w:spacing w:after="60"/>
      </w:pPr>
      <w:r>
        <w:rPr>
          <w:rFonts w:ascii="Arial" w:cs="Arial" w:eastAsia="Arial" w:hAnsi="Arial"/>
          <w:sz w:val="22"/>
          <w:szCs w:val="22"/>
        </w:rPr>
        <w:t xml:space="preserve">Completed-export-errors in Sync Service Manager means the sync engine processed data but Entra rejected one or more objects. Click the error count to see specific objects, error names, and conflicting attributes. The five most common export errors are InvalidSoftMatch, AttributeValueMustBeUnique, DataValidationFailed, LargeObject, and IdentityDataValidationFailed.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2026-04-17T23:28:10.864Z</dcterms:created>
  <dcterms:modified xsi:type="dcterms:W3CDTF">2026-04-17T23:28:10.864Z</dcterms:modified>
</cp:coreProperties>
</file>

<file path=docProps/custom.xml><?xml version="1.0" encoding="utf-8"?>
<Properties xmlns="http://schemas.openxmlformats.org/officeDocument/2006/custom-properties" xmlns:vt="http://schemas.openxmlformats.org/officeDocument/2006/docPropsVTypes"/>
</file>