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52"/>
          <w:szCs w:val="52"/>
        </w:rPr>
        <w:t xml:space="preserve">Hybrid Identity Lab</w:t>
      </w:r>
    </w:p>
    <w:p>
      <w:pPr>
        <w:spacing w:before="0" w:after="120"/>
        <w:jc w:val="center"/>
      </w:pPr>
      <w:r>
        <w:rPr>
          <w:rFonts w:ascii="Arial" w:cs="Arial" w:eastAsia="Arial" w:hAnsi="Arial"/>
          <w:b/>
          <w:bCs/>
          <w:color w:val="2E75B6"/>
          <w:sz w:val="34"/>
          <w:szCs w:val="34"/>
        </w:rPr>
        <w:t xml:space="preserve">Day 3 Debrief — Phase B Complete · Phase C Planned</w:t>
      </w:r>
    </w:p>
    <w:p>
      <w:pPr>
        <w:spacing w:before="0" w:after="80"/>
        <w:jc w:val="center"/>
      </w:pPr>
      <w:r>
        <w:rPr>
          <w:rFonts w:ascii="Arial" w:cs="Arial" w:eastAsia="Arial" w:hAnsi="Arial"/>
          <w:color w:val="666666"/>
          <w:sz w:val="20"/>
          <w:szCs w:val="20"/>
        </w:rPr>
        <w:t xml:space="preserve">SSO Labs Robotics  ·  yearwood.local  ·  ssolabs1001.onmicrosoft.com  ·  Zürich, Switzerland</w:t>
      </w:r>
    </w:p>
    <w:p>
      <w:pPr>
        <w:spacing w:before="0" w:after="200"/>
        <w:jc w:val="center"/>
      </w:pPr>
      <w:r>
        <w:rPr>
          <w:rFonts w:ascii="Arial" w:cs="Arial" w:eastAsia="Arial" w:hAnsi="Arial"/>
          <w:color w:val="666666"/>
          <w:sz w:val="20"/>
          <w:szCs w:val="20"/>
        </w:rPr>
        <w:t xml:space="preserve">Date: April 3, 2026  ·  Author: Evan Yearwood</w:t>
      </w:r>
    </w:p>
    <w:p>
      <w:pPr>
        <w:pBdr>
          <w:bottom w:val="single" w:color="2E75B6" w:sz="8" w:space="1"/>
        </w:pBdr>
        <w:spacing w:before="0" w:after="240"/>
      </w:pPr>
    </w:p>
    <w:p>
      <w:pPr>
        <w:pStyle w:val="Heading1"/>
        <w:pBdr>
          <w:bottom w:val="single" w:color="2E75B6" w:sz="6" w:space="1"/>
        </w:pBdr>
        <w:spacing w:before="320" w:after="160"/>
      </w:pPr>
      <w:r>
        <w:rPr>
          <w:rFonts w:ascii="Arial" w:cs="Arial" w:eastAsia="Arial" w:hAnsi="Arial"/>
          <w:b/>
          <w:bCs/>
          <w:color w:val="1F4E79"/>
          <w:sz w:val="32"/>
          <w:szCs w:val="32"/>
        </w:rPr>
        <w:t xml:space="preserve">1. Session Overview</w:t>
      </w:r>
    </w:p>
    <w:p>
      <w:pPr>
        <w:spacing w:before="80" w:after="80"/>
      </w:pPr>
      <w:r>
        <w:t xml:space="preserve"/>
      </w:r>
    </w:p>
    <w:p>
      <w:pPr>
        <w:spacing w:before="60" w:after="60"/>
      </w:pPr>
      <w:r>
        <w:rPr>
          <w:rFonts w:ascii="Arial" w:cs="Arial" w:eastAsia="Arial" w:hAnsi="Arial"/>
          <w:sz w:val="22"/>
          <w:szCs w:val="22"/>
        </w:rPr>
        <w:t xml:space="preserve">Day 3 completed Phase B — Architecture Design — in full, and produced the Phase C implementation plan. The session was heavily concept-focused: four interactive architecture diagrams were built, two SSO protocols (SAML 2.0 and OIDC) were taught in depth, the Entra Application Proxy flow was mapped, and the Conditional Access evaluation chain was documented. The session ended with a full Phase C task sequence agreed and ready to execute.</w:t>
      </w:r>
    </w:p>
    <w:p>
      <w:pPr>
        <w:spacing w:before="80" w:after="80"/>
      </w:pPr>
      <w:r>
        <w:t xml:space="preserve"/>
      </w:r>
    </w:p>
    <w:p>
      <w:pPr>
        <w:spacing w:before="60" w:after="60"/>
      </w:pPr>
      <w:r>
        <w:rPr>
          <w:rFonts w:ascii="Arial" w:cs="Arial" w:eastAsia="Arial" w:hAnsi="Arial"/>
          <w:sz w:val="22"/>
          <w:szCs w:val="22"/>
        </w:rPr>
        <w:t xml:space="preserve">A significant portion of the session was spent on foundational protocol understanding — PKCE, the difference between SAML and OIDC, why protocol choice is a security decision at scale, and what App Proxy is and is not. These concepts underpin every Phase C and Phase D task.</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2. Phase B Deliverables — All Complete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Diagram</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 1 — Sync pipeline</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 → Entra Connect → Entra ID, OU scoping, PHS, attribute flow</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 2 — SSO trust flows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(RoboFleet) and OIDC + PKCE (ResearchHub) side by 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 3 — CA evaluation chain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collection → policy engine → grant / grant with controls / block</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Diagram 4 — Log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Sign-in, audit, provisioning logs → Entra store → Graph / Portal / KQL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3. What You Learned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3.1  AD → Entra Connect Sync Pipeline</w:t>
      </w:r>
    </w:p>
    <w:p>
      <w:pPr>
        <w:spacing w:before="60" w:after="60"/>
      </w:pPr>
      <w:r>
        <w:rPr>
          <w:rFonts w:ascii="Arial" w:cs="Arial" w:eastAsia="Arial" w:hAnsi="Arial"/>
          <w:sz w:val="22"/>
          <w:szCs w:val="22"/>
        </w:rPr>
        <w:t xml:space="preserve">Entra Connect is installed on-premises and makes an outbound connection to Entra ID on a 30-minute delta cycle. OU scoping filters determine which objects sync — for SSO Labs, only _EMEA\SSOLabs\Employees and _EMEA\SSOLabs\Contractors are in scope. Password Hash Sync runs on a separate 2-minute channel. Synced users appear in Entra with On-premises synced: Yes on their profile.</w:t>
      </w:r>
    </w:p>
    <w:p>
      <w:pPr>
        <w:spacing w:before="80" w:after="80"/>
      </w:pPr>
      <w:r>
        <w:t xml:space="preserve"/>
      </w:r>
    </w:p>
    <w:p>
      <w:pPr>
        <w:spacing w:before="60" w:after="60"/>
      </w:pPr>
      <w:r>
        <w:rPr>
          <w:rFonts w:ascii="Arial" w:cs="Arial" w:eastAsia="Arial" w:hAnsi="Arial"/>
          <w:sz w:val="22"/>
          <w:szCs w:val="22"/>
        </w:rPr>
        <w:t xml:space="preserve">Key Microsoft terminology: sync engine (Entra Connect), metaverse (the transformation layer), connector space (staging area), delta sync vs full sync, OU scoping filter, attribute mapping.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SAML 2.0 — RoboFleet Portal</w:t>
      </w:r>
    </w:p>
    <w:p>
      <w:pPr>
        <w:spacing w:before="60" w:after="60"/>
      </w:pPr>
      <w:r>
        <w:rPr>
          <w:rFonts w:ascii="Arial" w:cs="Arial" w:eastAsia="Arial" w:hAnsi="Arial"/>
          <w:sz w:val="22"/>
          <w:szCs w:val="22"/>
        </w:rPr>
        <w:t xml:space="preserve">SAML is used for third-party SaaS apps where the vendor defines the protocol. The flow is SP-initiated: RoboFleet sends an AuthnRequest to Entra, Entra authenticates the user and enforces CA, then POSTs a signed XML assertion to RoboFleet's ACS URL. RoboFleet validates the signature using Entra's signing certificate and creates a session.</w:t>
      </w:r>
    </w:p>
    <w:p>
      <w:pPr>
        <w:spacing w:before="80" w:after="80"/>
      </w:pPr>
      <w:r>
        <w:t xml:space="preserve"/>
      </w:r>
    </w:p>
    <w:p>
      <w:pPr>
        <w:spacing w:before="60" w:after="60"/>
      </w:pPr>
      <w:r>
        <w:rPr>
          <w:rFonts w:ascii="Arial" w:cs="Arial" w:eastAsia="Arial" w:hAnsi="Arial"/>
          <w:sz w:val="22"/>
          <w:szCs w:val="22"/>
        </w:rPr>
        <w:t xml:space="preserve">Critical distinction: after the assertion is consumed, the conversation with Entra is over. SAML has no back-channel. The app cannot call Entra again to check current authorization state. This is why SAML is unsuitable for apps requiring live group membership or ongoing API access.</w:t>
      </w:r>
    </w:p>
    <w:p>
      <w:pPr>
        <w:spacing w:before="80" w:after="80"/>
      </w:pPr>
      <w:r>
        <w:t xml:space="preserve"/>
      </w:r>
    </w:p>
    <w:p>
      <w:pPr>
        <w:spacing w:before="60" w:after="60"/>
      </w:pPr>
      <w:r>
        <w:rPr>
          <w:rFonts w:ascii="Arial" w:cs="Arial" w:eastAsia="Arial" w:hAnsi="Arial"/>
          <w:sz w:val="22"/>
          <w:szCs w:val="22"/>
        </w:rPr>
        <w:t xml:space="preserve">Key terms: IdP (Entra), SP / relying party (RoboFleet), ACS URL, NameID, AttributeStatement, IssueInstant, NotBefore / NotOnOrAfter, signing certificate, assertion.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OIDC + OAuth 2.0 + PKCE — ResearchHub</w:t>
      </w:r>
    </w:p>
    <w:p>
      <w:pPr>
        <w:spacing w:before="60" w:after="60"/>
      </w:pPr>
      <w:r>
        <w:rPr>
          <w:rFonts w:ascii="Arial" w:cs="Arial" w:eastAsia="Arial" w:hAnsi="Arial"/>
          <w:sz w:val="22"/>
          <w:szCs w:val="22"/>
        </w:rPr>
        <w:t xml:space="preserve">OIDC is used for first-party apps SSO Labs builds and controls. The flow uses authorization code + PKCE: ResearchHub generates a code verifier, hashes it to a code challenge, sends the challenge to Entra at login, receives an authorization code, then exchanges the code AND the original verifier for tokens at Entra's token endpoint in a back-channel call.</w:t>
      </w:r>
    </w:p>
    <w:p>
      <w:pPr>
        <w:spacing w:before="80" w:after="80"/>
      </w:pPr>
      <w:r>
        <w:t xml:space="preserve"/>
      </w:r>
    </w:p>
    <w:p>
      <w:pPr>
        <w:spacing w:before="60" w:after="60"/>
      </w:pPr>
      <w:r>
        <w:rPr>
          <w:rFonts w:ascii="Arial" w:cs="Arial" w:eastAsia="Arial" w:hAnsi="Arial"/>
          <w:sz w:val="22"/>
          <w:szCs w:val="22"/>
        </w:rPr>
        <w:t xml:space="preserve">PKCE solves code interception attacks. An attacker who steals the authorization code cannot complete the token exchange without the verifier — which never leaves ResearchHub's server memory. The token endpoint rejects any exchange that cannot prove the verifier matches the stored challenge.</w:t>
      </w:r>
    </w:p>
    <w:p>
      <w:pPr>
        <w:spacing w:before="80" w:after="80"/>
      </w:pPr>
      <w:r>
        <w:t xml:space="preserve"/>
      </w:r>
    </w:p>
    <w:p>
      <w:pPr>
        <w:spacing w:before="60" w:after="60"/>
      </w:pPr>
      <w:r>
        <w:rPr>
          <w:rFonts w:ascii="Arial" w:cs="Arial" w:eastAsia="Arial" w:hAnsi="Arial"/>
          <w:sz w:val="22"/>
          <w:szCs w:val="22"/>
        </w:rPr>
        <w:t xml:space="preserve">After token acquisition, ResearchHub calls Microsoft Graph /me/memberOf to get live group memberships. This is the core difference from SAML — OIDC opens an ongoing channel to Graph that enables continuous authorization checks on every token refresh (every 60-75 minutes).</w:t>
      </w:r>
    </w:p>
    <w:p>
      <w:pPr>
        <w:spacing w:before="80" w:after="80"/>
      </w:pPr>
      <w:r>
        <w:t xml:space="preserve"/>
      </w:r>
    </w:p>
    <w:p>
      <w:pPr>
        <w:spacing w:before="60" w:after="60"/>
      </w:pPr>
      <w:r>
        <w:rPr>
          <w:rFonts w:ascii="Arial" w:cs="Arial" w:eastAsia="Arial" w:hAnsi="Arial"/>
          <w:sz w:val="22"/>
          <w:szCs w:val="22"/>
        </w:rPr>
        <w:t xml:space="preserve">Key terms: authorization endpoint, token endpoint, code verifier, code challenge, PKCE (Proof Key for Code Exchange), ID token, access token, refresh token, scope, redirect URI, admin consent, Microsoft Graph.</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3.4  Why OIDC Over SAML for ResearchHub — The Scale Argument</w:t>
      </w:r>
    </w:p>
    <w:p>
      <w:pPr>
        <w:spacing w:before="60" w:after="60"/>
      </w:pPr>
      <w:r>
        <w:rPr>
          <w:rFonts w:ascii="Arial" w:cs="Arial" w:eastAsia="Arial" w:hAnsi="Arial"/>
          <w:sz w:val="22"/>
          <w:szCs w:val="22"/>
        </w:rPr>
        <w:t xml:space="preserve">SAML trusts a user once at login and that trust is static for the session. If a researcher's clearance is revoked at 9am but they logged in at 8am, SAML has no mechanism to reflect that change until the next login. For a robotics facility handling defense IP, that gap is a real security exposure.</w:t>
      </w:r>
    </w:p>
    <w:p>
      <w:pPr>
        <w:spacing w:before="80" w:after="80"/>
      </w:pPr>
      <w:r>
        <w:t xml:space="preserve"/>
      </w:r>
    </w:p>
    <w:p>
      <w:pPr>
        <w:spacing w:before="60" w:after="60"/>
      </w:pPr>
      <w:r>
        <w:rPr>
          <w:rFonts w:ascii="Arial" w:cs="Arial" w:eastAsia="Arial" w:hAnsi="Arial"/>
          <w:sz w:val="22"/>
          <w:szCs w:val="22"/>
        </w:rPr>
        <w:t xml:space="preserve">OIDC with short-lived access tokens forces re-evaluation every 60-75 minutes. When the token expires, ResearchHub silently refreshes it — and the new token reflects current group memberships. Revoked access is enforced on the next refresh without user interruption. At enterprise scale, OIDC also enables token propagation through downstream microservices, which SAML cannot do. Auditors under GDPR and NIST 800-53 want evidence of time-bounded authorization decisions — OIDC provides this, SAML does not.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3.5  Entra Application Proxy — LabOps Console</w:t>
      </w:r>
    </w:p>
    <w:p>
      <w:pPr>
        <w:spacing w:before="60" w:after="60"/>
      </w:pPr>
      <w:r>
        <w:rPr>
          <w:rFonts w:ascii="Arial" w:cs="Arial" w:eastAsia="Arial" w:hAnsi="Arial"/>
          <w:sz w:val="22"/>
          <w:szCs w:val="22"/>
        </w:rPr>
        <w:t xml:space="preserve">Application Proxy is not an SSO protocol. It is a reverse proxy with pre-authentication. The distinction is critical for interviews: in SAML and OIDC, the app participates in authentication. In App Proxy, authentication happens before the request reaches the app — the app never handles a login and never knows Entra exists.</w:t>
      </w:r>
    </w:p>
    <w:p>
      <w:pPr>
        <w:spacing w:before="80" w:after="80"/>
      </w:pPr>
      <w:r>
        <w:t xml:space="preserve"/>
      </w:r>
    </w:p>
    <w:p>
      <w:pPr>
        <w:spacing w:before="60" w:after="60"/>
      </w:pPr>
      <w:r>
        <w:rPr>
          <w:rFonts w:ascii="Arial" w:cs="Arial" w:eastAsia="Arial" w:hAnsi="Arial"/>
          <w:sz w:val="22"/>
          <w:szCs w:val="22"/>
        </w:rPr>
        <w:t xml:space="preserve">The connector is installed on-premises and makes an outbound HTTPS tunnel to Entra. No inbound firewall ports are opened. When a user hits the public URL, Entra intercepts the request, authenticates the user, enforces CA policies, then forwards the pre-authenticated request through the connector to LabOps on the internal network. LabOps responds, the connector sends the response back up the tunnel, Entra forwards it to the browser.</w:t>
      </w:r>
    </w:p>
    <w:p>
      <w:pPr>
        <w:spacing w:before="80" w:after="80"/>
      </w:pPr>
      <w:r>
        <w:t xml:space="preserve"/>
      </w:r>
    </w:p>
    <w:p>
      <w:pPr>
        <w:spacing w:before="60" w:after="60"/>
      </w:pPr>
      <w:r>
        <w:rPr>
          <w:rFonts w:ascii="Arial" w:cs="Arial" w:eastAsia="Arial" w:hAnsi="Arial"/>
          <w:sz w:val="22"/>
          <w:szCs w:val="22"/>
        </w:rPr>
        <w:t xml:space="preserve">This is why App Proxy works for legacy apps — no code changes required. The identity layer is bolted on in front of the app at the network level.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3.6  Conditional Access Evaluation Chain</w:t>
      </w:r>
    </w:p>
    <w:p>
      <w:pPr>
        <w:spacing w:before="60" w:after="60"/>
      </w:pPr>
      <w:r>
        <w:rPr>
          <w:rFonts w:ascii="Arial" w:cs="Arial" w:eastAsia="Arial" w:hAnsi="Arial"/>
          <w:sz w:val="22"/>
          <w:szCs w:val="22"/>
        </w:rPr>
        <w:t xml:space="preserve">Every sign-in triggers CA evaluation. Entra collects four signal categories simultaneously: user/group identity, device state (joined, compliant, managed), location (named location, country, IP range), and risk score (Low / Medium / High from Entra ID Protection). All active CA policies are evaluated in parallel and the most restrictive matching policy wins.</w:t>
      </w:r>
    </w:p>
    <w:p>
      <w:pPr>
        <w:spacing w:before="80" w:after="80"/>
      </w:pPr>
      <w:r>
        <w:t xml:space="preserve"/>
      </w:r>
    </w:p>
    <w:p>
      <w:pPr>
        <w:spacing w:before="60" w:after="60"/>
      </w:pPr>
      <w:r>
        <w:rPr>
          <w:rFonts w:ascii="Arial" w:cs="Arial" w:eastAsia="Arial" w:hAnsi="Arial"/>
          <w:sz w:val="22"/>
          <w:szCs w:val="22"/>
        </w:rPr>
        <w:t xml:space="preserve">Three possible outcomes: Grant (token issued, no further challenge), Grant with controls (user must satisfy MFA, device compliance, or terms of use before token is issued), Block (access denied with a specific error code). Error codes 53003, 50097, and 50076 map to CA block, device non-compliant, and MFA required respectively — these are the codes you diagnose in Phase E runbooks.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3.7  Diagnostic Log Pipeline</w:t>
      </w:r>
    </w:p>
    <w:p>
      <w:pPr>
        <w:spacing w:before="60" w:after="60"/>
      </w:pPr>
      <w:r>
        <w:rPr>
          <w:rFonts w:ascii="Arial" w:cs="Arial" w:eastAsia="Arial" w:hAnsi="Arial"/>
          <w:sz w:val="22"/>
          <w:szCs w:val="22"/>
        </w:rPr>
        <w:t xml:space="preserve">Three log types serve three distinct investigation purposes. Sign-in logs answer: why can't this user sign in? Audit logs answer: what changed in the tenant and who changed it? Provisioning logs answer: why isn't this AD user appearing in Entra?</w:t>
      </w:r>
    </w:p>
    <w:p>
      <w:pPr>
        <w:spacing w:before="80" w:after="80"/>
      </w:pPr>
      <w:r>
        <w:t xml:space="preserve"/>
      </w:r>
    </w:p>
    <w:p>
      <w:pPr>
        <w:spacing w:before="60" w:after="60"/>
      </w:pPr>
      <w:r>
        <w:rPr>
          <w:rFonts w:ascii="Arial" w:cs="Arial" w:eastAsia="Arial" w:hAnsi="Arial"/>
          <w:sz w:val="22"/>
          <w:szCs w:val="22"/>
        </w:rPr>
        <w:t xml:space="preserve">All three logs land in the Entra log store with 30-day default retention. They are queryable via three surfaces: Microsoft Graph API (direct REST calls, used for scripted evidence collection), the Entra portal UI (built on Graph, no setup required, first stop for live investigation), and Log Analytics with KQL (requires Azure workspace export, enables long retention, alerting, and compliance dashboards).</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4. Protocol Comparison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SAML 2.0 (RoboFleet)</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OIDC / OAuth 2.0 (ResearchHub)</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 Proxy (LabOps)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Format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XML assertion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 JWT tokens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protocol — reverse proxy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participates in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validates assertion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exchanges code for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pre-auth by Entra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Back-channel to Entra?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one-shot POST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token endpoint + Graph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Via connector tunnel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group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stale from login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Graph on every refresh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case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SaaS apps you don't control</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Apps SSO Labs builds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Legacy apps with no cloud 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assertion (XML)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 token + access token (JWT)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visible to app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 in Entra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app</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registration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Proxy + connector</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5. Phase C Implementation Plan — Next Session</w:t>
      </w:r>
    </w:p>
    <w:p>
      <w:pPr>
        <w:spacing w:before="80" w:after="80"/>
      </w:pPr>
      <w:r>
        <w:t xml:space="preserve"/>
      </w:r>
    </w:p>
    <w:p>
      <w:pPr>
        <w:spacing w:before="60" w:after="60"/>
      </w:pPr>
      <w:r>
        <w:rPr>
          <w:rFonts w:ascii="Arial" w:cs="Arial" w:eastAsia="Arial" w:hAnsi="Arial"/>
          <w:sz w:val="22"/>
          <w:szCs w:val="22"/>
        </w:rPr>
        <w:t xml:space="preserve">Phase C is the construction phase. Everything designed in Phase A and diagrammed in Phase B gets built on real infrastructure. The revised task sequence accounts for the correct dependency order and the decision to build real Flask apps instead of using test endpoints.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1 — Build three SSO Labs apps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Flask app (SAML) on port 5004, ResearchHub Flask app (OIDC) on port 5005, LabOps Console Flask app (App Proxy target) on port 5006. Simple HTML pages with login and dashboard routes.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2 — Register apps in Entra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as Enterprise App (SAML) — upload SP metadata, configure UPN → NameID claim, groups → role claim. ResearchHub as App Registration (OIDC) — redirect URIs, API permissions, admin consent. LabOps via App Proxy — install connector, publish internal URL.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3 — Create test users in AD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Nine users across Employees and Contractors OUs. UPN format: firstname.lastname@yearwood.local. Password: consistent lab password, never expires.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4 — Install Entra Connect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on Windows Server 2025. Scope to _EMEA\SSOLabs\Employees and _EMEA\SSOLabs\Contractors only. Configure attribute mapping. Verify test user syncs within one cycle.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5 — Assign users to apps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synced Entra groups to RoboFleet and ResearchHub. Contractors excluded from ResearchHub via group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6 — Build CA policies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1: MFA for all users (bga001 excluded). Policy 2: Stronger MFA for admin directory roles (bga001 excluded). Policy 3: Block legacy authentication (no exclusions). Compliant device requirement deferred — documented as production recommendation.</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6. Planned Test User Population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960"/>
        <w:gridCol w:w="16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 path</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Elena Vasquez</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elena.vasquez@yearwood.local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_EMEA\SSOLabs\Employees\Research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Researcher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Kai Nakamura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kai.nakamura@yearwood.local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_EMEA\SSOLabs\Employees\Research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Analyst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Marco Rossi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marco.rossi@yearwood.local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_EMEA\SSOLabs\Employees\Engineering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Robotics Engineer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Aisha Okonkwo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aisha.okonkwo@yearwood.local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_EMEA\SSOLabs\Employees\Engineering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Firmware Engineer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Lars Hoffmann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lars.hoffmann@yearwood.local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_EMEA\SSOLabs\Employees\Operations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 Sharma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priya.sharma@yearwood.local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_EMEA\SSOLabs\Employees\IT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Administrator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Diego Reyes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diego.reyes@yearwood.local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_EMEA\SSOLabs\Contractors\Robotics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Robotics Specialist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Yuki Tanaka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yuki.tanaka@yearwood.local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_EMEA\SSOLabs\Contractors\Firmware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Firmware Consultant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 Fletcher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sam.fletcher@yearwood.local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_EMEA\SSOLabs\Contractors\Contract Engineers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Engineer</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7. Revised Conditional Access Policy Baseline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60"/>
        <w:gridCol w:w="1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Grant control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Exclusions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CA-001: MFA all users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users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 MFA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bga001 break-glass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CA-002: Admin MFA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Global Admin + Priv Role Admin (directory roles)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 MFA (prod: phishing-resistant)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bga001 break-glass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CA-003: Block legacy auth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users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CA-004: Compliant device (deferred)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users — corporate apps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 compliant device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Deferred — Intune not configured</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8. Application Port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Existing SAML lab apps (ports 5001-5003)</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Pre-existing Flask apps — Slack, Google Workspace, SharePoint simulators from previous JML project. Not part of this lab.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Portal — port 5004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 SAML 2.0 enterprise app. Flask. Protected dashboard shows SAML assertion claims.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ResearchHub — port 5005</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 OIDC / OAuth 2.0 app registration. Flask + MSAL. Protected dashboard shows ID token claims and Graph group memberships.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LabOps Console — port 5006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 App Proxy target. Simple Flask app with no auth code. Entra App Proxy handles pre-authentication in front of it.</w:t>
            </w:r>
          </w:p>
        </w:tc>
      </w:tr>
    </w:tbl>
    <w:p>
      <w:pPr>
        <w:spacing w:before="80" w:after="80"/>
      </w:pPr>
      <w:r>
        <w:t xml:space="preserve"/>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9. Key Interview Concepts from This Session</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App Proxy is not an SSO protocol — it is a reverse proxy with pre-authentication. The app never participates in auth.</w:t>
      </w:r>
    </w:p>
    <w:p>
      <w:pPr>
        <w:pStyle w:val="ListParagraph"/>
        <w:numPr>
          <w:ilvl w:val="0"/>
          <w:numId w:val="2"/>
        </w:numPr>
        <w:spacing w:before="40" w:after="40"/>
      </w:pPr>
      <w:r>
        <w:rPr>
          <w:rFonts w:ascii="Arial" w:cs="Arial" w:eastAsia="Arial" w:hAnsi="Arial"/>
          <w:sz w:val="22"/>
          <w:szCs w:val="22"/>
        </w:rPr>
        <w:t xml:space="preserve">SAML assertions are consumed once and are static. OIDC tokens expire and refresh — enabling continuous authorization.</w:t>
      </w:r>
    </w:p>
    <w:p>
      <w:pPr>
        <w:pStyle w:val="ListParagraph"/>
        <w:numPr>
          <w:ilvl w:val="0"/>
          <w:numId w:val="2"/>
        </w:numPr>
        <w:spacing w:before="40" w:after="40"/>
      </w:pPr>
      <w:r>
        <w:rPr>
          <w:rFonts w:ascii="Arial" w:cs="Arial" w:eastAsia="Arial" w:hAnsi="Arial"/>
          <w:sz w:val="22"/>
          <w:szCs w:val="22"/>
        </w:rPr>
        <w:t xml:space="preserve">PKCE prevents code interception attacks by requiring the app that started the flow to prove it knows the code verifier at token exchange time.</w:t>
      </w:r>
    </w:p>
    <w:p>
      <w:pPr>
        <w:pStyle w:val="ListParagraph"/>
        <w:numPr>
          <w:ilvl w:val="0"/>
          <w:numId w:val="2"/>
        </w:numPr>
        <w:spacing w:before="40" w:after="40"/>
      </w:pPr>
      <w:r>
        <w:rPr>
          <w:rFonts w:ascii="Arial" w:cs="Arial" w:eastAsia="Arial" w:hAnsi="Arial"/>
          <w:sz w:val="22"/>
          <w:szCs w:val="22"/>
        </w:rPr>
        <w:t xml:space="preserve">The CA policy engine evaluates all active policies in parallel — the most restrictive matching policy wins.</w:t>
      </w:r>
    </w:p>
    <w:p>
      <w:pPr>
        <w:pStyle w:val="ListParagraph"/>
        <w:numPr>
          <w:ilvl w:val="0"/>
          <w:numId w:val="2"/>
        </w:numPr>
        <w:spacing w:before="40" w:after="40"/>
      </w:pPr>
      <w:r>
        <w:rPr>
          <w:rFonts w:ascii="Arial" w:cs="Arial" w:eastAsia="Arial" w:hAnsi="Arial"/>
          <w:sz w:val="22"/>
          <w:szCs w:val="22"/>
        </w:rPr>
        <w:t xml:space="preserve">Error code 53003 = CA block, 50097 = device non-compliant, 50076 = MFA required but not satisfied.</w:t>
      </w:r>
    </w:p>
    <w:p>
      <w:pPr>
        <w:pStyle w:val="ListParagraph"/>
        <w:numPr>
          <w:ilvl w:val="0"/>
          <w:numId w:val="2"/>
        </w:numPr>
        <w:spacing w:before="40" w:after="40"/>
      </w:pPr>
      <w:r>
        <w:rPr>
          <w:rFonts w:ascii="Arial" w:cs="Arial" w:eastAsia="Arial" w:hAnsi="Arial"/>
          <w:sz w:val="22"/>
          <w:szCs w:val="22"/>
        </w:rPr>
        <w:t xml:space="preserve">Sign-in logs = why can't user sign in. Audit logs = what changed and who changed it. Provisioning logs = why isn't the AD user in Entra.</w:t>
      </w:r>
    </w:p>
    <w:p>
      <w:pPr>
        <w:pStyle w:val="ListParagraph"/>
        <w:numPr>
          <w:ilvl w:val="0"/>
          <w:numId w:val="2"/>
        </w:numPr>
        <w:spacing w:before="40" w:after="40"/>
      </w:pPr>
      <w:r>
        <w:rPr>
          <w:rFonts w:ascii="Arial" w:cs="Arial" w:eastAsia="Arial" w:hAnsi="Arial"/>
          <w:sz w:val="22"/>
          <w:szCs w:val="22"/>
        </w:rPr>
        <w:t xml:space="preserve">Protocol choice is a security decision: SAML for SaaS you don't control, OIDC for apps you build, App Proxy for legacy apps with no cloud auth.</w:t>
      </w:r>
    </w:p>
    <w:p>
      <w:pPr>
        <w:pStyle w:val="ListParagraph"/>
        <w:numPr>
          <w:ilvl w:val="0"/>
          <w:numId w:val="2"/>
        </w:numPr>
        <w:spacing w:before="40" w:after="40"/>
      </w:pPr>
      <w:r>
        <w:rPr>
          <w:rFonts w:ascii="Arial" w:cs="Arial" w:eastAsia="Arial" w:hAnsi="Arial"/>
          <w:sz w:val="22"/>
          <w:szCs w:val="22"/>
        </w:rPr>
        <w:t xml:space="preserve">The connector outbound tunnel means no inbound firewall ports are opened — the connector reaches out to Entra, not the other way around.</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10. Next Session Checklist</w:t>
      </w:r>
    </w:p>
    <w:p>
      <w:pPr>
        <w:spacing w:before="80" w:after="80"/>
      </w:pPr>
      <w:r>
        <w:t xml:space="preserve"/>
      </w:r>
    </w:p>
    <w:p>
      <w:pPr>
        <w:spacing w:before="60" w:after="60"/>
      </w:pPr>
      <w:r>
        <w:rPr>
          <w:rFonts w:ascii="Arial" w:cs="Arial" w:eastAsia="Arial" w:hAnsi="Arial"/>
          <w:sz w:val="22"/>
          <w:szCs w:val="22"/>
        </w:rPr>
        <w:t xml:space="preserve">Come back with the following ready:</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Windows Server VM running — yearwood.local AD live</w:t>
      </w:r>
    </w:p>
    <w:p>
      <w:pPr>
        <w:pStyle w:val="ListParagraph"/>
        <w:numPr>
          <w:ilvl w:val="0"/>
          <w:numId w:val="2"/>
        </w:numPr>
        <w:spacing w:before="40" w:after="40"/>
      </w:pPr>
      <w:r>
        <w:rPr>
          <w:rFonts w:ascii="Arial" w:cs="Arial" w:eastAsia="Arial" w:hAnsi="Arial"/>
          <w:sz w:val="22"/>
          <w:szCs w:val="22"/>
        </w:rPr>
        <w:t xml:space="preserve">Entra portal open at entra.microsoft.com</w:t>
      </w:r>
    </w:p>
    <w:p>
      <w:pPr>
        <w:pStyle w:val="ListParagraph"/>
        <w:numPr>
          <w:ilvl w:val="0"/>
          <w:numId w:val="2"/>
        </w:numPr>
        <w:spacing w:before="40" w:after="40"/>
      </w:pPr>
      <w:r>
        <w:rPr>
          <w:rFonts w:ascii="Arial" w:cs="Arial" w:eastAsia="Arial" w:hAnsi="Arial"/>
          <w:sz w:val="22"/>
          <w:szCs w:val="22"/>
        </w:rPr>
        <w:t xml:space="preserve">PowerShell window open on the VM</w:t>
      </w:r>
    </w:p>
    <w:p>
      <w:pPr>
        <w:pStyle w:val="ListParagraph"/>
        <w:numPr>
          <w:ilvl w:val="0"/>
          <w:numId w:val="2"/>
        </w:numPr>
        <w:spacing w:before="40" w:after="40"/>
      </w:pPr>
      <w:r>
        <w:rPr>
          <w:rFonts w:ascii="Arial" w:cs="Arial" w:eastAsia="Arial" w:hAnsi="Arial"/>
          <w:sz w:val="22"/>
          <w:szCs w:val="22"/>
        </w:rPr>
        <w:t xml:space="preserve">Python confirmed working on the VM (python --version)</w:t>
      </w:r>
    </w:p>
    <w:p>
      <w:pPr>
        <w:pStyle w:val="ListParagraph"/>
        <w:numPr>
          <w:ilvl w:val="0"/>
          <w:numId w:val="2"/>
        </w:numPr>
        <w:spacing w:before="40" w:after="40"/>
      </w:pPr>
      <w:r>
        <w:rPr>
          <w:rFonts w:ascii="Arial" w:cs="Arial" w:eastAsia="Arial" w:hAnsi="Arial"/>
          <w:sz w:val="22"/>
          <w:szCs w:val="22"/>
        </w:rPr>
        <w:t xml:space="preserve">Ports 5004, 5005, 5006 confirmed available (no conflicts)</w:t>
      </w:r>
    </w:p>
    <w:p>
      <w:pPr>
        <w:pStyle w:val="ListParagraph"/>
        <w:numPr>
          <w:ilvl w:val="0"/>
          <w:numId w:val="2"/>
        </w:numPr>
        <w:spacing w:before="40" w:after="40"/>
      </w:pPr>
      <w:r>
        <w:rPr>
          <w:rFonts w:ascii="Arial" w:cs="Arial" w:eastAsia="Arial" w:hAnsi="Arial"/>
          <w:sz w:val="22"/>
          <w:szCs w:val="22"/>
        </w:rPr>
        <w:t xml:space="preserve">The three SSO Labs app logos saved — ready to embed in the app HTML pages</w:t>
      </w:r>
    </w:p>
    <w:p>
      <w:pPr>
        <w:spacing w:before="80" w:after="80"/>
      </w:pPr>
      <w:r>
        <w:t xml:space="preserve"/>
      </w:r>
    </w:p>
    <w:p>
      <w:pPr>
        <w:spacing w:before="60" w:after="60"/>
      </w:pPr>
      <w:r>
        <w:rPr>
          <w:rFonts w:ascii="Arial" w:cs="Arial" w:eastAsia="Arial" w:hAnsi="Arial"/>
          <w:sz w:val="22"/>
          <w:szCs w:val="22"/>
        </w:rPr>
        <w:t xml:space="preserve">Day 4 starts with Task 1: building the three Flask apps before any Entra configuration is touched.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Hybrid Identity Lab  ·  Day 3 Debrief  ·  Phase B Complete  ·  Phase C Planned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2026-04-03T21:28:19.651Z</dcterms:created>
  <dcterms:modified xsi:type="dcterms:W3CDTF">2026-04-03T21:28:19.651Z</dcterms:modified>
</cp:coreProperties>
</file>

<file path=docProps/custom.xml><?xml version="1.0" encoding="utf-8"?>
<Properties xmlns="http://schemas.openxmlformats.org/officeDocument/2006/custom-properties" xmlns:vt="http://schemas.openxmlformats.org/officeDocument/2006/docPropsVTypes"/>
</file>