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52"/>
          <w:szCs w:val="52"/>
        </w:rPr>
        <w:t xml:space="preserve">Hybrid Identity Lab</w:t>
      </w:r>
    </w:p>
    <w:p>
      <w:pPr>
        <w:spacing w:after="120" w:before="0"/>
        <w:jc w:val="center"/>
      </w:pPr>
      <w:r>
        <w:rPr>
          <w:rFonts w:ascii="Arial" w:cs="Arial" w:eastAsia="Arial" w:hAnsi="Arial"/>
          <w:b/>
          <w:bCs/>
          <w:color w:val="2E75B6"/>
          <w:sz w:val="34"/>
          <w:szCs w:val="34"/>
        </w:rPr>
        <w:t xml:space="preserve">Day 4 Debrief — Phase C Tasks 1 &amp; 2 Complete</w:t>
      </w:r>
    </w:p>
    <w:p>
      <w:pPr>
        <w:spacing w:after="80" w:before="0"/>
        <w:jc w:val="center"/>
      </w:pPr>
      <w:r>
        <w:rPr>
          <w:rFonts w:ascii="Arial" w:cs="Arial" w:eastAsia="Arial" w:hAnsi="Arial"/>
          <w:color w:val="666666"/>
          <w:sz w:val="20"/>
          <w:szCs w:val="20"/>
        </w:rPr>
        <w:t xml:space="preserve">SSO Labs Robotics  ·  yearwood.local  ·  ssolabs1001.onmicrosoft.com  ·  Zürich, Switzerland</w:t>
      </w:r>
    </w:p>
    <w:p>
      <w:pPr>
        <w:spacing w:after="200" w:before="0"/>
        <w:jc w:val="center"/>
      </w:pPr>
      <w:r>
        <w:rPr>
          <w:rFonts w:ascii="Arial" w:cs="Arial" w:eastAsia="Arial" w:hAnsi="Arial"/>
          <w:color w:val="666666"/>
          <w:sz w:val="20"/>
          <w:szCs w:val="20"/>
        </w:rPr>
        <w:t xml:space="preserve">Date: April 4, 2026  ·  Author: Evan Yearwood</w:t>
      </w:r>
    </w:p>
    <w:p>
      <w:pPr>
        <w:pBdr>
          <w:bottom w:val="single" w:color="2E75B6" w:sz="8" w:space="1"/>
        </w:pBdr>
        <w:spacing w:after="240" w:before="0"/>
      </w:pPr>
    </w:p>
    <w:p>
      <w:pPr>
        <w:pStyle w:val="Heading1"/>
        <w:pBdr>
          <w:bottom w:val="single" w:color="2E75B6" w:sz="6" w:space="1"/>
        </w:pBdr>
        <w:spacing w:after="160" w:before="320"/>
      </w:pPr>
      <w:r>
        <w:rPr>
          <w:rFonts w:ascii="Arial" w:cs="Arial" w:eastAsia="Arial" w:hAnsi="Arial"/>
          <w:b/>
          <w:bCs/>
          <w:color w:val="1F4E79"/>
          <w:sz w:val="32"/>
          <w:szCs w:val="32"/>
        </w:rPr>
        <w:t xml:space="preserve">1. Session Overview</w:t>
      </w:r>
    </w:p>
    <w:p>
      <w:pPr>
        <w:spacing w:after="80" w:before="80"/>
      </w:pPr>
      <w:r>
        <w:t xml:space="preserve"/>
      </w:r>
    </w:p>
    <w:p>
      <w:pPr>
        <w:spacing w:after="60" w:before="60"/>
      </w:pPr>
      <w:r>
        <w:rPr>
          <w:rFonts w:ascii="Arial" w:cs="Arial" w:eastAsia="Arial" w:hAnsi="Arial"/>
          <w:sz w:val="22"/>
          <w:szCs w:val="22"/>
        </w:rPr>
        <w:t xml:space="preserve">Day 4 completed Phase C Tasks 1 and 2 — building the three SSO Labs applications from scratch and registering them in Entra ID. All three apps are now running simultaneously on the Windows Server VM, authenticated against the live ssolabs1001.onmicrosoft.com tenant, and launchable via a single PowerShell launcher script.</w:t>
      </w:r>
    </w:p>
    <w:p>
      <w:pPr>
        <w:spacing w:after="80" w:before="80"/>
      </w:pPr>
      <w:r>
        <w:t xml:space="preserve"/>
      </w:r>
    </w:p>
    <w:p>
      <w:pPr>
        <w:spacing w:after="60" w:before="60"/>
      </w:pPr>
      <w:r>
        <w:rPr>
          <w:rFonts w:ascii="Arial" w:cs="Arial" w:eastAsia="Arial" w:hAnsi="Arial"/>
          <w:sz w:val="22"/>
          <w:szCs w:val="22"/>
        </w:rPr>
        <w:t xml:space="preserve">The session involved significant debugging of OIDC authentication flows — session persistence issues, reserved scope errors, MSAL client type decisions, and a licensing blocker that required a pivot from the planned App Proxy architecture to a direct Entra confidential client implementation for LabOps.</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What Was Built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2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Portal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5004</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SAML 2.0 · SP-initiated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OIDC · Confidential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LabOps Console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5006</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OIDC · Confidential client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App File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Files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(SAML)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config.py, app.py, style.css, base.html, landing.html, dashboard.html, assertion.html, error.html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ResearchHub (OIDC)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config.py, app.py, style.css, base.html, landing.html, dashboard.html, profile.html, error.html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LabOps Console (OIDC)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config.py, app.py, landing.html, home.html, schedule.html, error.html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start-all.ps1 — right-click Run with PowerShell to start all three simultaneously</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Key Features Per App</w:t>
      </w:r>
    </w:p>
    <w:p>
      <w:pPr>
        <w:spacing w:after="60" w:before="60"/>
      </w:pPr>
      <w:r>
        <w:rPr>
          <w:rFonts w:ascii="Arial" w:cs="Arial" w:eastAsia="Arial" w:hAnsi="Arial"/>
          <w:sz w:val="22"/>
          <w:szCs w:val="22"/>
        </w:rPr>
        <w:t xml:space="preserve">RoboFleet Portal (SAML) — landing page with SP-initiated SSO button, fleet dashboard showing six robot units with live status, active missions table, and a SAML Assertion Viewer page showing all nine AttributeStatement claims decoded with their full claim URIs and meaning. The assertion viewer is the primary portfolio artifact for SAML understanding.</w:t>
      </w:r>
    </w:p>
    <w:p>
      <w:pPr>
        <w:spacing w:after="80" w:before="80"/>
      </w:pPr>
      <w:r>
        <w:t xml:space="preserve"/>
      </w:r>
    </w:p>
    <w:p>
      <w:pPr>
        <w:spacing w:after="60" w:before="60"/>
      </w:pPr>
      <w:r>
        <w:rPr>
          <w:rFonts w:ascii="Arial" w:cs="Arial" w:eastAsia="Arial" w:hAnsi="Arial"/>
          <w:sz w:val="22"/>
          <w:szCs w:val="22"/>
        </w:rPr>
        <w:t xml:space="preserve">ResearchHub (OIDC) — landing page with Entra sign-in, dashboard showing live Entra group memberships pulled from Microsoft Graph /me/memberOf, research projects table, recent activity feed, and a Profile and Claims page showing every ID token claim decoded and labeled alongside the raw /me Graph response.</w:t>
      </w:r>
    </w:p>
    <w:p>
      <w:pPr>
        <w:spacing w:after="80" w:before="80"/>
      </w:pPr>
      <w:r>
        <w:t xml:space="preserve"/>
      </w:r>
    </w:p>
    <w:p>
      <w:pPr>
        <w:spacing w:after="60" w:before="60"/>
      </w:pPr>
      <w:r>
        <w:rPr>
          <w:rFonts w:ascii="Arial" w:cs="Arial" w:eastAsia="Arial" w:hAnsi="Arial"/>
          <w:sz w:val="22"/>
          <w:szCs w:val="22"/>
        </w:rPr>
        <w:t xml:space="preserve">LabOps Console (OIDC) — landing page with App Proxy production note explaining the licensing constraint, authenticated home page showing system status dashboard and stat cards, lab equipment schedule table with team and researcher assignments, full navbar with sign out.</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Entra Registrations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2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Registration type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Client 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config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ResearchHub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Registration (OIDC)</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01ebabbd-0fb0-4af4-a981-604719be6f33</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client, User.Read + Group.Read.All, admin consent granted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App (SAML)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ec8279ae-dbd8-43b7-adee-8f2c0c0aaeab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SAML SSO, ACS URL localhost:5004/sso/acs, signing cert active until 4/4/2029</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LabOps Console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Registration (OIDC)</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088e46d1-7c87-487a-b221-29965be88734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client, User.Read, admin consent granted</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Errors Encountered and Resolved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ValueError: cannot use reserved scope values (openid, profile, email)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Removed openid, profile, email from SCOPE in config.py — MSAL adds these automatically and rejects them if passed explicitly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 mismatch — stored: 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Flask default cookie session dropped on cross-site redirect to Entra. Fixed by switching to flask-session filesystem sessions which persist server-side across the OAuth redirect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AADSTS7000218: client_assertion or client_secret required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App registered with Web redirect URI type but public client flows were also enabled — conflicting signals to Entra. Fixed by switching to ConfidentialClientApplication with a real client secret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flask-session 0.8.0 API change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SESSION_USE_SIGNER key no longer valid in 0.8.0. Replaced with SESSION_COOKIE_SAMESITE: Lax which correctly handles the cross-site session cookie behavior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Proxy blade returns 404</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Entra Application Proxy requires Entra ID P2 or Entra Private Access license. M365 E3 trial only includes P1. Resolved by implementing direct Entra confidential client auth on LabOps with portfolio documentation of the production App Proxy pattern</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Key Concepts Learned</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MSAL — Microsoft Authentication Library</w:t>
      </w:r>
    </w:p>
    <w:p>
      <w:pPr>
        <w:spacing w:after="60" w:before="60"/>
      </w:pPr>
      <w:r>
        <w:rPr>
          <w:rFonts w:ascii="Arial" w:cs="Arial" w:eastAsia="Arial" w:hAnsi="Arial"/>
          <w:sz w:val="22"/>
          <w:szCs w:val="22"/>
        </w:rPr>
        <w:t xml:space="preserve">MSAL is the Microsoft library that handles the OIDC and OAuth 2.0 protocol mechanics so application code doesn't have to. When you call get_authorization_request_url(), MSAL internally generates the PKCE code verifier and challenge, constructs the correct authorization URL, and handles the token exchange format. It exists in Python (msal), JavaScript (@azure/msal-browser), and .NET (Microsoft.Identity.Client).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Public Client vs Confidential Client</w:t>
      </w:r>
    </w:p>
    <w:p>
      <w:pPr>
        <w:spacing w:after="60" w:before="60"/>
      </w:pPr>
      <w:r>
        <w:rPr>
          <w:rFonts w:ascii="Arial" w:cs="Arial" w:eastAsia="Arial" w:hAnsi="Arial"/>
          <w:sz w:val="22"/>
          <w:szCs w:val="22"/>
        </w:rPr>
        <w:t xml:space="preserve">Public clients (mobile apps, SPAs, desktop apps) cannot safely store a secret — the code runs on a device the developer doesn't control. PKCE was designed for these. Confidential clients (Flask server-side apps) run on a server the developer controls and can safely store a client secret. MSAL still uses PKCE under the hood for confidential clients in addition to the secret — both protections run simultaneously. Microsoft's current guidance recommends using both together for server-side apps.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Why SAML Uses Enterprise Apps and OIDC Uses App Registrations</w:t>
      </w:r>
    </w:p>
    <w:p>
      <w:pPr>
        <w:spacing w:after="60" w:before="60"/>
      </w:pPr>
      <w:r>
        <w:rPr>
          <w:rFonts w:ascii="Arial" w:cs="Arial" w:eastAsia="Arial" w:hAnsi="Arial"/>
          <w:sz w:val="22"/>
          <w:szCs w:val="22"/>
        </w:rPr>
        <w:t xml:space="preserve">App Registrations are the developer-facing configuration for apps that use modern protocols. Enterprise Apps are the tenant-facing configuration for how an application integrates with SSO. Every App Registration gets an Enterprise App automatically. SAML is configured at the Enterprise App level because it represents a trust relationship with an external SP — the ACS URL, entity ID, signing certificate, and claim mappings all live there. OIDC lives in App Registrations because those hold the client credentials, redirect URIs, and API permissions.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5.4  Flask Session Persistence Across OAuth Redirects</w:t>
      </w:r>
    </w:p>
    <w:p>
      <w:pPr>
        <w:spacing w:after="60" w:before="60"/>
      </w:pPr>
      <w:r>
        <w:rPr>
          <w:rFonts w:ascii="Arial" w:cs="Arial" w:eastAsia="Arial" w:hAnsi="Arial"/>
          <w:sz w:val="22"/>
          <w:szCs w:val="22"/>
        </w:rPr>
        <w:t xml:space="preserve">Flask's default session uses a signed cookie stored in the browser. When an OAuth flow redirects the user to Entra and back, the browser treats this as a cross-site navigation. Depending on the SameSite cookie policy, the session cookie may not be sent on the return redirect — causing the state to be lost and the CSRF check to fail. The fix is server-side session storage (flask-session with filesystem backend) where the session lives on disk and the browser only holds a session ID, not the full session data.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5.5  Entra Application Proxy Licensing</w:t>
      </w:r>
    </w:p>
    <w:p>
      <w:pPr>
        <w:spacing w:after="60" w:before="60"/>
      </w:pPr>
      <w:r>
        <w:rPr>
          <w:rFonts w:ascii="Arial" w:cs="Arial" w:eastAsia="Arial" w:hAnsi="Arial"/>
          <w:sz w:val="22"/>
          <w:szCs w:val="22"/>
        </w:rPr>
        <w:t xml:space="preserve">Application Proxy — which allows publishing on-premises apps to the internet without opening inbound firewall ports — requires Entra ID P2 or Entra Private Access licensing. It is not included in Entra ID P1 which comes with M365 E3. In production the LabOps architecture would use App Proxy: connector installed on yearwood.local makes an outbound tunnel to Entra, users hit the public msappproxy.net URL, Entra pre-authenticates and enforces CA before forwarding requests through the connector to LabOps. The app requires zero authentication code.</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App Launcher Reference</w:t>
      </w:r>
    </w:p>
    <w:p>
      <w:pPr>
        <w:spacing w:after="80" w:before="80"/>
      </w:pPr>
      <w:r>
        <w:t xml:space="preserve"/>
      </w:r>
    </w:p>
    <w:p>
      <w:pPr>
        <w:spacing w:after="60" w:before="60"/>
      </w:pPr>
      <w:r>
        <w:rPr>
          <w:rFonts w:ascii="Arial" w:cs="Arial" w:eastAsia="Arial" w:hAnsi="Arial"/>
          <w:sz w:val="22"/>
          <w:szCs w:val="22"/>
        </w:rPr>
        <w:t xml:space="preserve">All three apps are launched simultaneously by right-clicking start-all.ps1 and selecting Run with PowerShell. This opens three PowerShell windows, one per app, each activating the shared venv and starting Flask on its assigned 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URL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Portal (SAML)</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http://localhost:5004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ResearchHub (OIDC)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http://localhost:5005</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LabOps Console (OIDC)</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http://localhost:5006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Launcher script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C:\ssolabs-apps\start-all.ps1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environment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C:\ssolabs-apps\venv</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Remaining Phase C Tasks — Next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3 — Create test users in AD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Nine users across Employees and Contractors OUs with correct UPN format and password never expires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4 — Install Entra Connect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Install on Windows Server 2025, scope to _EMEA\SSOLabs\Employees and Contractors, verify sync within one cycle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5 — Assign groups to apps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Assign synced Entra groups to RoboFleet and ResearchHub enterprise apps, contractors excluded from ResearchHub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6 — Build CA policies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CA-001 MFA all users, CA-002 stronger MFA for admin roles, CA-003 block legacy authentication — all with bga001 break-glass excluded from 001 and 002</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Hybrid Identity Lab  ·  Day 4 Debrief  ·  Phase C Tasks 1 &amp; 2 Complete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2026-04-04T21:21:43.210Z</dcterms:created>
  <dcterms:modified xsi:type="dcterms:W3CDTF">2026-04-04T21:21:43.211Z</dcterms:modified>
</cp:coreProperties>
</file>

<file path=docProps/custom.xml><?xml version="1.0" encoding="utf-8"?>
<Properties xmlns="http://schemas.openxmlformats.org/officeDocument/2006/custom-properties" xmlns:vt="http://schemas.openxmlformats.org/officeDocument/2006/docPropsVTypes"/>
</file>