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sz w:val="28"/>
          <w:szCs w:val="28"/>
        </w:rPr>
        <w:t xml:space="preserve">Hybrid Identity Lab</w:t>
      </w:r>
    </w:p>
    <w:p>
      <w:pPr>
        <w:spacing w:after="40"/>
      </w:pPr>
      <w:r>
        <w:rPr>
          <w:rFonts w:ascii="Arial" w:cs="Arial" w:eastAsia="Arial" w:hAnsi="Arial"/>
          <w:b/>
          <w:bCs/>
          <w:sz w:val="24"/>
          <w:szCs w:val="24"/>
        </w:rPr>
        <w:t xml:space="preserve">Day 6 Debrief — Phase C Completion &amp; Phase D Integration Testing</w:t>
      </w:r>
    </w:p>
    <w:p>
      <w:pPr>
        <w:spacing w:after="40"/>
      </w:pPr>
      <w:r>
        <w:rPr>
          <w:rFonts w:ascii="Arial" w:cs="Arial" w:eastAsia="Arial" w:hAnsi="Arial"/>
          <w:color w:val="666666"/>
          <w:sz w:val="20"/>
          <w:szCs w:val="20"/>
        </w:rPr>
        <w:t xml:space="preserve">SSO Labs Robotics · yearwood.local · ssolabs1001.onmicrosoft.com · Zürich, Switzerland</w:t>
      </w:r>
    </w:p>
    <w:p>
      <w:pPr>
        <w:spacing w:after="240"/>
      </w:pPr>
      <w:r>
        <w:rPr>
          <w:rFonts w:ascii="Arial" w:cs="Arial" w:eastAsia="Arial" w:hAnsi="Arial"/>
          <w:color w:val="666666"/>
          <w:sz w:val="20"/>
          <w:szCs w:val="20"/>
        </w:rPr>
        <w:t xml:space="preserve">Date: April 8, 2026 · Author: Evan Yearwood</w:t>
      </w:r>
    </w:p>
    <w:p>
      <w:pPr>
        <w:pStyle w:val="Heading1"/>
        <w:spacing w:after="200" w:before="360"/>
      </w:pPr>
      <w:r>
        <w:rPr>
          <w:rFonts w:ascii="Arial" w:cs="Arial" w:eastAsia="Arial" w:hAnsi="Arial"/>
          <w:b/>
          <w:bCs/>
          <w:sz w:val="32"/>
          <w:szCs w:val="32"/>
        </w:rPr>
        <w:t xml:space="preserve">1. Session Overview</w:t>
      </w:r>
    </w:p>
    <w:p>
      <w:pPr>
        <w:spacing w:after="120"/>
      </w:pPr>
      <w:r>
        <w:rPr>
          <w:rFonts w:ascii="Arial" w:cs="Arial" w:eastAsia="Arial" w:hAnsi="Arial"/>
          <w:sz w:val="22"/>
          <w:szCs w:val="22"/>
        </w:rPr>
        <w:t xml:space="preserve">Day 6 completed the final Phase C tasks and the full Phase D integration testing sequence. Phase C wrapped up with assigning synced AD groups to the three enterprise apps and building three Conditional Access policies. Phase D validated the entire hybrid identity stack at the protocol level — capturing and annotating a live SAML assertion, decoding OIDC JWT claims, scripting app-only Microsoft Graph API calls using the client credentials flow, and testing all three CA policies using the What If simulation tool.</w:t>
      </w:r>
    </w:p>
    <w:p>
      <w:pPr>
        <w:spacing w:after="120"/>
      </w:pPr>
      <w:r>
        <w:rPr>
          <w:rFonts w:ascii="Arial" w:cs="Arial" w:eastAsia="Arial" w:hAnsi="Arial"/>
          <w:sz w:val="22"/>
          <w:szCs w:val="22"/>
        </w:rPr>
        <w:t xml:space="preserve">The session included debugging a state mismatch error in the ResearchHub OIDC callback caused by browser cookie policy dropping the Flask session on cross-origin redirect, an MSAL module import failure when running a Python script outside the virtual environment, and a discussion about Security Defaults vs Conditional Access and why they cannot coexist.</w:t>
      </w:r>
    </w:p>
    <w:p>
      <w:pPr>
        <w:pStyle w:val="Heading1"/>
        <w:spacing w:after="200" w:before="360"/>
      </w:pPr>
      <w:r>
        <w:rPr>
          <w:rFonts w:ascii="Arial" w:cs="Arial" w:eastAsia="Arial" w:hAnsi="Arial"/>
          <w:b/>
          <w:bCs/>
          <w:sz w:val="32"/>
          <w:szCs w:val="32"/>
        </w:rPr>
        <w:t xml:space="preserve">2. Phase C Completion — Tasks 5 &amp; 6</w:t>
      </w:r>
    </w:p>
    <w:p>
      <w:pPr>
        <w:pStyle w:val="Heading2"/>
        <w:spacing w:after="160" w:before="240"/>
      </w:pPr>
      <w:r>
        <w:rPr>
          <w:rFonts w:ascii="Arial" w:cs="Arial" w:eastAsia="Arial" w:hAnsi="Arial"/>
          <w:b/>
          <w:bCs/>
          <w:sz w:val="28"/>
          <w:szCs w:val="28"/>
        </w:rPr>
        <w:t xml:space="preserve">2.1 Task 5 — Group-to-App Assignment</w:t>
      </w:r>
    </w:p>
    <w:p>
      <w:pPr>
        <w:spacing w:after="120"/>
      </w:pPr>
      <w:r>
        <w:rPr>
          <w:rFonts w:ascii="Arial" w:cs="Arial" w:eastAsia="Arial" w:hAnsi="Arial"/>
          <w:sz w:val="22"/>
          <w:szCs w:val="22"/>
        </w:rPr>
        <w:t xml:space="preserve">The four synced AD security groups were assigned to enterprise apps in the Entra portal according to the access matrix defined in Phase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Group</w:t>
            </w:r>
          </w:p>
        </w:tc>
        <w:tc>
          <w:tcPr>
            <w:tcW w:type="dxa" w:w="17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RoboFleet</w:t>
            </w:r>
          </w:p>
        </w:tc>
        <w:tc>
          <w:tcPr>
            <w:tcW w:type="dxa" w:w="17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ResearchHub</w:t>
            </w:r>
          </w:p>
        </w:tc>
        <w:tc>
          <w:tcPr>
            <w:tcW w:type="dxa" w:w="17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LabOps</w:t>
            </w:r>
          </w:p>
        </w:tc>
        <w:tc>
          <w:tcPr>
            <w:tcW w:type="dxa" w:w="17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Members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SSO-Employees</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48</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SSO-Contractors</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w:t>
            </w:r>
          </w:p>
        </w:tc>
      </w:tr>
    </w:tbl>
    <w:p>
      <w:pPr>
        <w:spacing w:after="120"/>
      </w:pPr>
      <w:r>
        <w:rPr>
          <w:rFonts w:ascii="Arial" w:cs="Arial" w:eastAsia="Arial" w:hAnsi="Arial"/>
          <w:sz w:val="22"/>
          <w:szCs w:val="22"/>
        </w:rPr>
        <w:t xml:space="preserve">Contractors are explicitly excluded from ResearchHub per the Phase A policy baseline. This enforces the principle that contractors should not have access to internal research data.</w:t>
      </w:r>
    </w:p>
    <w:p>
      <w:pPr>
        <w:pStyle w:val="Heading2"/>
        <w:spacing w:after="160" w:before="240"/>
      </w:pPr>
      <w:r>
        <w:rPr>
          <w:rFonts w:ascii="Arial" w:cs="Arial" w:eastAsia="Arial" w:hAnsi="Arial"/>
          <w:b/>
          <w:bCs/>
          <w:sz w:val="28"/>
          <w:szCs w:val="28"/>
        </w:rPr>
        <w:t xml:space="preserve">2.2 Task 6 — Conditional Access Policies</w:t>
      </w:r>
    </w:p>
    <w:p>
      <w:pPr>
        <w:spacing w:after="120"/>
      </w:pPr>
      <w:r>
        <w:rPr>
          <w:rFonts w:ascii="Arial" w:cs="Arial" w:eastAsia="Arial" w:hAnsi="Arial"/>
          <w:sz w:val="22"/>
          <w:szCs w:val="22"/>
        </w:rPr>
        <w:t xml:space="preserve">Before building CA policies, Security Defaults was disabled. Security Defaults is a baseline protection Microsoft enables automatically on new tenants that forces MFA registration for all users. It operates independently of Conditional Access and the two cannot run simultaneously — Security Defaults must be disabled before custom CA policies can take effect.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600"/>
        <w:gridCol w:w="1960"/>
        <w:gridCol w:w="180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Policy</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Scope</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Grant</w:t>
            </w:r>
          </w:p>
        </w:tc>
        <w:tc>
          <w:tcPr>
            <w:tcW w:type="dxa" w:w="1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Session</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Exclusions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CA-001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users, all cloud apps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 MFA</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Sign-in frequency: 1 day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bga001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CA-002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Global Admin, Privileged Role Admin directory roles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 MFA</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Sign-in frequency: 1 day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bga001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CA-003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users, all cloud apps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Block access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bl>
    <w:p>
      <w:pPr>
        <w:spacing w:after="120"/>
      </w:pPr>
      <w:r>
        <w:rPr>
          <w:rFonts w:ascii="Arial" w:cs="Arial" w:eastAsia="Arial" w:hAnsi="Arial"/>
          <w:sz w:val="22"/>
          <w:szCs w:val="22"/>
        </w:rPr>
        <w:t xml:space="preserve">CA-003 targets the Client apps condition set to Exchange ActiveSync clients and Other clients. These are legacy authentication protocols (IMAP, POP3, SMTP, older Office clients) that cannot perform MFA. Without CA-003, an attacker could bypass MFA entirely by authenticating via a legacy protocol. The break-glass account bga001 is excluded from CA-001 and CA-002 to ensure emergency access is always available, but is not excluded from CA-003 because legacy auth should be blocked universally.</w:t>
      </w:r>
    </w:p>
    <w:p>
      <w:pPr>
        <w:pStyle w:val="Heading1"/>
        <w:spacing w:after="200" w:before="360"/>
      </w:pPr>
      <w:r>
        <w:rPr>
          <w:rFonts w:ascii="Arial" w:cs="Arial" w:eastAsia="Arial" w:hAnsi="Arial"/>
          <w:b/>
          <w:bCs/>
          <w:sz w:val="32"/>
          <w:szCs w:val="32"/>
        </w:rPr>
        <w:t xml:space="preserve">3. Phase D — Integration Testing</w:t>
      </w:r>
    </w:p>
    <w:p>
      <w:pPr>
        <w:pStyle w:val="Heading2"/>
        <w:spacing w:after="160" w:before="240"/>
      </w:pPr>
      <w:r>
        <w:rPr>
          <w:rFonts w:ascii="Arial" w:cs="Arial" w:eastAsia="Arial" w:hAnsi="Arial"/>
          <w:b/>
          <w:bCs/>
          <w:sz w:val="28"/>
          <w:szCs w:val="28"/>
        </w:rPr>
        <w:t xml:space="preserve">3.1 Task 1 — SAML Assertion Capture and Annotation</w:t>
      </w:r>
    </w:p>
    <w:p>
      <w:pPr>
        <w:spacing w:after="120"/>
      </w:pPr>
      <w:r>
        <w:rPr>
          <w:rFonts w:ascii="Arial" w:cs="Arial" w:eastAsia="Arial" w:hAnsi="Arial"/>
          <w:sz w:val="22"/>
          <w:szCs w:val="22"/>
        </w:rPr>
        <w:t xml:space="preserve">A live SAML assertion was captured from the RoboFleet Portal (port 5004) by intercepting the ACS POST in the browser developer tools Network tab. The base64-encoded SAMLResponse was decoded and annotated element by element.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Element</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 and Significance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Response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_402bffdd-8cb8-404e-9a6d-a3f347a84664 — unique response identifier for replay prevention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Issuer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https://sts.windows.net/bcc9cddb-d898-458a-b4b5-136525a3c991/ — Entra tenant STS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urn:oasis:names:tc:SAML:2.0:status:Success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Signature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RSA-SHA256 with enveloped signature transform — proves assertion was not tampered with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MarkStephen@ssolabs1001.onmicrosoft.com (emailAddress format)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SubjectConfirmation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Bearer method — assertion valid for whoever presents it, no proof of possession required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Conditions NotBefore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11:51:19 UTC — 5 minutes before IssueInstant (clock skew tolerance)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Conditions NotOnOrAfter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12:56:19 UTC — 1 hour validity window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Audience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http://localhost:5004/sso/acs — SP entity ID, prevents assertion reuse across apps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authnmethodsreferences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PasswordProtectedTransport + multipleauthn — proves MFA was completed. This is how CA-001 enforcement is verifiable in the assertion.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objectidentifier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acc44847-d897-452a-8cae-f4f2a1eb7e2d — immutable user ID in Entra directory</w:t>
            </w:r>
          </w:p>
        </w:tc>
      </w:tr>
    </w:tbl>
    <w:p>
      <w:pPr>
        <w:pStyle w:val="Heading2"/>
        <w:spacing w:after="160" w:before="240"/>
      </w:pPr>
      <w:r>
        <w:rPr>
          <w:rFonts w:ascii="Arial" w:cs="Arial" w:eastAsia="Arial" w:hAnsi="Arial"/>
          <w:b/>
          <w:bCs/>
          <w:sz w:val="28"/>
          <w:szCs w:val="28"/>
        </w:rPr>
        <w:t xml:space="preserve">3.2 Task 2 — JWT / OIDC Token Decode</w:t>
      </w:r>
    </w:p>
    <w:p>
      <w:pPr>
        <w:spacing w:after="120"/>
      </w:pPr>
      <w:r>
        <w:rPr>
          <w:rFonts w:ascii="Arial" w:cs="Arial" w:eastAsia="Arial" w:hAnsi="Arial"/>
          <w:sz w:val="22"/>
          <w:szCs w:val="22"/>
        </w:rPr>
        <w:t xml:space="preserve">The ID token claims from ResearchHub (port 5005, OIDC with PKCE) were captured from the Profile &amp; Claims page which displays decoded id_token_claims alongside Microsoft Graph /me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Claim</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Meaning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01ebabbd-0fb0-4af4-a981-604719bc6f33</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Audience — ResearchHub Client ID. Token scoped to this app only.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https://login.microsoftonline.com/bcc9cddb.../v2.0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Issuer — Entra v2.0 endpoint (SAML uses sts.windows.net instead)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acc44847-d897-452a-8cae-f4f2a1eb7e2d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 ID — same immutable ID as SAML objectidentifier claim</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4oFofp1MF7016u...</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Subject — per-user per-app unique ID. Different from oid for privacy.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1775649736</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Expiry — ~65 minutes after issuance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bcc9cddb-d898-458a-b4b5-136525a3c991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Tenant ID — same value in SAML tenantid and JWT iss URL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Microsoft identity platform v2.0 token format</w:t>
            </w:r>
          </w:p>
        </w:tc>
      </w:tr>
    </w:tbl>
    <w:p>
      <w:pPr>
        <w:spacing w:after="120"/>
      </w:pPr>
      <w:r>
        <w:rPr>
          <w:rFonts w:ascii="Arial" w:cs="Arial" w:eastAsia="Arial" w:hAnsi="Arial"/>
          <w:sz w:val="22"/>
          <w:szCs w:val="22"/>
        </w:rPr>
        <w:t xml:space="preserve">The critical cross-protocol observation: both the SAML assertion and the JWT carry the same oid (acc44847-d897-452a-8cae-f4f2a1eb7e2d) and the same tid (bcc9cddb-d898-458a-b4b5-136525a3c991), proving the same user authenticated to the same tenant through two different protocols with two different token formats.</w:t>
      </w:r>
    </w:p>
    <w:p>
      <w:pPr>
        <w:pStyle w:val="Heading2"/>
        <w:spacing w:after="160" w:before="240"/>
      </w:pPr>
      <w:r>
        <w:rPr>
          <w:rFonts w:ascii="Arial" w:cs="Arial" w:eastAsia="Arial" w:hAnsi="Arial"/>
          <w:b/>
          <w:bCs/>
          <w:sz w:val="28"/>
          <w:szCs w:val="28"/>
        </w:rPr>
        <w:t xml:space="preserve">3.3 Task 3 — Microsoft Graph Client Credentials Script</w:t>
      </w:r>
    </w:p>
    <w:p>
      <w:pPr>
        <w:spacing w:after="120"/>
      </w:pPr>
      <w:r>
        <w:rPr>
          <w:rFonts w:ascii="Arial" w:cs="Arial" w:eastAsia="Arial" w:hAnsi="Arial"/>
          <w:sz w:val="22"/>
          <w:szCs w:val="22"/>
        </w:rPr>
        <w:t xml:space="preserve">A Python script (graph_client_credentials.py) was built to authenticate as the ResearchHub application using the OAuth 2.0 client credentials flow — no user present, no browser, no MFA. The script uses MSAL (Microsoft Authentication Library) to obtain an app-only Bearer token and calls Microsoft Graph with Application permissions.</w:t>
      </w:r>
    </w:p>
    <w:p>
      <w:pPr>
        <w:spacing w:after="120" w:before="240"/>
      </w:pPr>
      <w:r>
        <w:rPr>
          <w:rFonts w:ascii="Arial" w:cs="Arial" w:eastAsia="Arial" w:hAnsi="Arial"/>
          <w:b/>
          <w:bCs/>
          <w:sz w:val="24"/>
          <w:szCs w:val="24"/>
        </w:rPr>
        <w:t xml:space="preserve">Permissions configured: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Permission</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Consent</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User.Read.All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granted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 all user profiles without user sign-in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Group.Read.All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granted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 all groups and membership without user sign-in</w:t>
            </w:r>
          </w:p>
        </w:tc>
      </w:tr>
    </w:tbl>
    <w:p>
      <w:pPr>
        <w:spacing w:after="120" w:before="240"/>
      </w:pPr>
      <w:r>
        <w:rPr>
          <w:rFonts w:ascii="Arial" w:cs="Arial" w:eastAsia="Arial" w:hAnsi="Arial"/>
          <w:b/>
          <w:bCs/>
          <w:sz w:val="24"/>
          <w:szCs w:val="24"/>
        </w:rPr>
        <w:t xml:space="preserve">Script execution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Step</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Result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Authentication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Bearer token acquired, 3599 second lifetime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/users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 OK — 20 users returned (capped with $top=20), all Member type, all Enabled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/groups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 OK — 7 groups returned: 4 Security, 3 Microsoft 365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Group drill-down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SSO-Employees: 48 members, SSO-Contractors: 18 members, SSO-Admins: 8 members, SSO-AllUsers: 66 members — all matching AD source</w:t>
            </w:r>
          </w:p>
        </w:tc>
      </w:tr>
    </w:tbl>
    <w:p>
      <w:pPr>
        <w:spacing w:after="120"/>
      </w:pPr>
      <w:r>
        <w:rPr>
          <w:rFonts w:ascii="Arial" w:cs="Arial" w:eastAsia="Arial" w:hAnsi="Arial"/>
          <w:sz w:val="22"/>
          <w:szCs w:val="22"/>
        </w:rPr>
        <w:t xml:space="preserve">This is the foundational pattern behind IAM automation. Delegated permissions act on behalf of a signed-in user and can only access what that user is allowed to see. Application permissions act as the service itself with admin-granted access to the entire directory. JML automation, audit scripts, compliance scanners, and identity governance platforms all use this pattern.</w:t>
      </w:r>
    </w:p>
    <w:p>
      <w:pPr>
        <w:pStyle w:val="Heading2"/>
        <w:spacing w:after="160" w:before="240"/>
      </w:pPr>
      <w:r>
        <w:rPr>
          <w:rFonts w:ascii="Arial" w:cs="Arial" w:eastAsia="Arial" w:hAnsi="Arial"/>
          <w:b/>
          <w:bCs/>
          <w:sz w:val="28"/>
          <w:szCs w:val="28"/>
        </w:rPr>
        <w:t xml:space="preserve">3.4 Task 4 — Conditional Access What If Testing</w:t>
      </w:r>
    </w:p>
    <w:p>
      <w:pPr>
        <w:spacing w:after="120"/>
      </w:pPr>
      <w:r>
        <w:rPr>
          <w:rFonts w:ascii="Arial" w:cs="Arial" w:eastAsia="Arial" w:hAnsi="Arial"/>
          <w:sz w:val="22"/>
          <w:szCs w:val="22"/>
        </w:rPr>
        <w:t xml:space="preserve">The Entra What If simulation tool was used to validate all three CA policies without requiring users to actually sign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400"/>
        <w:gridCol w:w="1200"/>
        <w:gridCol w:w="1200"/>
        <w:gridCol w:w="256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Simulation</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User</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Client App</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Platform</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Policies</w:t>
            </w:r>
          </w:p>
        </w:tc>
        <w:tc>
          <w:tcPr>
            <w:tcW w:type="dxa" w:w="2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Result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Elena Vasquez</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Browser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Windows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CA-001</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 MFA, sign-in frequency 1 day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Elena Vasquez</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Exchange ActiveSync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Windows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CA-001, CA-003</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Block access — block overrides grant when multiple policies fire</w:t>
            </w:r>
          </w:p>
        </w:tc>
      </w:tr>
    </w:tbl>
    <w:p>
      <w:pPr>
        <w:spacing w:after="120"/>
      </w:pPr>
      <w:r>
        <w:rPr>
          <w:rFonts w:ascii="Arial" w:cs="Arial" w:eastAsia="Arial" w:hAnsi="Arial"/>
          <w:sz w:val="22"/>
          <w:szCs w:val="22"/>
        </w:rPr>
        <w:t xml:space="preserve">Simulation 2 is the critical result. When CA-001 (require MFA) and CA-003 (block legacy auth) both fire simultaneously, the block control takes precedence. Legacy protocols cannot perform MFA, so even though CA-001 would require it, CA-003 kills the connection before the MFA challenge is presented. This is why CA-003 exists — without it, legacy auth is a permanent MFA bypass.</w:t>
      </w:r>
    </w:p>
    <w:p>
      <w:pPr>
        <w:spacing w:after="120"/>
      </w:pPr>
      <w:r>
        <w:rPr>
          <w:rFonts w:ascii="Arial" w:cs="Arial" w:eastAsia="Arial" w:hAnsi="Arial"/>
          <w:sz w:val="22"/>
          <w:szCs w:val="22"/>
        </w:rPr>
        <w:t xml:space="preserve">CA-002 could not be tested via What If because the only Global Administrator (Mark Stephen) is excluded from CA-001 and CA-002. This is a realistic production scenario — in a real tenant, additional users would be assigned directory roles and CA-002 would fire for them.</w:t>
      </w:r>
    </w:p>
    <w:p>
      <w:pPr>
        <w:pStyle w:val="Heading1"/>
        <w:spacing w:after="200" w:before="360"/>
      </w:pPr>
      <w:r>
        <w:rPr>
          <w:rFonts w:ascii="Arial" w:cs="Arial" w:eastAsia="Arial" w:hAnsi="Arial"/>
          <w:b/>
          <w:bCs/>
          <w:sz w:val="32"/>
          <w:szCs w:val="32"/>
        </w:rPr>
        <w:t xml:space="preserve">4. Errors Encountered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Error</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Resolution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Defaults blocking CA policy creation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Disabled Security Defaults via Entra ID &gt; Overview &gt; Properties &gt; Manage Security Defaults. Selected reason: My organization is using Conditional Access. Security Defaults and CA cannot run simultaneously.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ResearchHub OIDC state mismatch — Stored: None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Flask session cookie not surviving cross-origin redirect from Entra back to localhost. Added SESSION_COOKIE_SAMESITE=Lax and SESSION_COOKIE_SECURE=False to Flask config. Cleared stale flask_session directory. Cookie was being dropped because SECURE=True requires HTTPS and the lab runs on HTTP.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ModuleNotFoundError: No module named msal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MSAL was installed inside the Flask app virtual environment but the script was run from a global PowerShell session. Resolved by running pip install msal requests at the global level.</w:t>
            </w:r>
          </w:p>
        </w:tc>
      </w:tr>
    </w:tbl>
    <w:p>
      <w:pPr>
        <w:pStyle w:val="Heading1"/>
        <w:spacing w:after="200" w:before="360"/>
      </w:pPr>
      <w:r>
        <w:rPr>
          <w:rFonts w:ascii="Arial" w:cs="Arial" w:eastAsia="Arial" w:hAnsi="Arial"/>
          <w:b/>
          <w:bCs/>
          <w:sz w:val="32"/>
          <w:szCs w:val="32"/>
        </w:rPr>
        <w:t xml:space="preserve">5. Hybrid Identity Architecture — Current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Layer</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Status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 domain (yearwood.local)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Windows Server 2025, 66 users, 13 OUs, 4 security groups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Entra Connect sync</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Running, delta sync every 30 minutes, Password Hash Sync enabled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Entra ID tenant (ssolabs1001)</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66 synced users, 4 synced groups, 3 enterprise apps, 3 CA policies enabled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RoboFleet Portal (SAML)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 5004, SSO-Employees + SSO-Contractors assigned, SAML assertion captured and annotated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ResearchHub (OIDC)</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 5005, SSO-Employees only, JWT decoded, Graph /me live, client credentials script working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LabOps Console (OIDC)</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 5006, SSO-Employees + SSO-Contractors assigned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Conditional Access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CA-001 (MFA all users), CA-002 (MFA admin roles), CA-003 (block legacy auth) — all 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Graph automation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graph_client_credentials.py — app-only auth, User.Read.All + Group.Read.All Application permissions</w:t>
            </w:r>
          </w:p>
        </w:tc>
      </w:tr>
    </w:tbl>
    <w:p>
      <w:pPr>
        <w:pStyle w:val="Heading1"/>
        <w:spacing w:after="200" w:before="360"/>
      </w:pPr>
      <w:r>
        <w:rPr>
          <w:rFonts w:ascii="Arial" w:cs="Arial" w:eastAsia="Arial" w:hAnsi="Arial"/>
          <w:b/>
          <w:bCs/>
          <w:sz w:val="32"/>
          <w:szCs w:val="32"/>
        </w:rPr>
        <w:t xml:space="preserve">6. SAML vs OIDC — Cross-Protocol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Concept</w:t>
            </w:r>
          </w:p>
        </w:tc>
        <w:tc>
          <w:tcPr>
            <w:tcW w:type="dxa" w:w="35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SAML Assertion</w:t>
            </w:r>
          </w:p>
        </w:tc>
        <w:tc>
          <w:tcPr>
            <w:tcW w:type="dxa" w:w="35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JWT ID Token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Who is this user?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NameID (emailAddress format)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preferred_username / oid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Who issued it?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Issuer (sts.windows.net)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iss (login.microsoftonline.com/v2.0)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Who is it for?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AudienceRestriction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 (Client 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does it expire?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NotOnOrAfter (ISO 8601 timestamp)</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 (Unix timestamp)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Tamper protection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XML Signature (RSA-SHA256)</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 Signature (RS256, third segment)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MFA proof</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authnmethodsreferences: multipleauthn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amr claim in access token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Format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XML (base64-encoded)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 (base64url-encoded, dot-separated)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Immutable user ID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objectidentifier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oid</w:t>
            </w:r>
          </w:p>
        </w:tc>
      </w:tr>
    </w:tbl>
    <w:p>
      <w:pPr>
        <w:pStyle w:val="Heading1"/>
        <w:spacing w:after="200" w:before="360"/>
      </w:pPr>
      <w:r>
        <w:rPr>
          <w:rFonts w:ascii="Arial" w:cs="Arial" w:eastAsia="Arial" w:hAnsi="Arial"/>
          <w:b/>
          <w:bCs/>
          <w:sz w:val="32"/>
          <w:szCs w:val="32"/>
        </w:rPr>
        <w:t xml:space="preserve">7. Remaining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Phase</w:t>
            </w:r>
          </w:p>
        </w:tc>
        <w:tc>
          <w:tcPr>
            <w:tcW w:type="dxa" w:w="7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Operational Readiness — Write five runbooks for common Entra/AD hybrid incidents: Entra Connect sync failure, CA blocking legitimate users, SAML assertion failure, MFA registration lockout, AD user not appearing in Entra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F</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Evidence Pack — Audit-ready exports using Graph PowerShell and KQL: privileged role inventory, CA policy export, group membership with timestamps, 30-day sign-in summary, change log, compliance narrative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 5 (D)</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Commit graph_client_credentials.py, decoded SAML XML, and What If screenshots to GitHub repo (github.com/EvanHYearwood)</w:t>
            </w:r>
          </w:p>
        </w:tc>
      </w:tr>
    </w:tbl>
    <w:p>
      <w:pPr>
        <w:pStyle w:val="Heading1"/>
        <w:spacing w:after="200" w:before="360"/>
      </w:pPr>
      <w:r>
        <w:rPr>
          <w:rFonts w:ascii="Arial" w:cs="Arial" w:eastAsia="Arial" w:hAnsi="Arial"/>
          <w:b/>
          <w:bCs/>
          <w:sz w:val="32"/>
          <w:szCs w:val="32"/>
        </w:rPr>
        <w:t xml:space="preserve">8. Key Interview Concepts from This Session</w:t>
      </w:r>
    </w:p>
    <w:p>
      <w:pPr>
        <w:pStyle w:val="ListParagraph"/>
        <w:numPr>
          <w:ilvl w:val="0"/>
          <w:numId w:val="2"/>
        </w:numPr>
        <w:spacing w:after="60"/>
      </w:pPr>
      <w:r>
        <w:rPr>
          <w:rFonts w:ascii="Arial" w:cs="Arial" w:eastAsia="Arial" w:hAnsi="Arial"/>
          <w:sz w:val="22"/>
          <w:szCs w:val="22"/>
        </w:rPr>
        <w:t xml:space="preserve">Security Defaults and Conditional Access cannot run simultaneously. Security Defaults must be disabled before custom CA policies take effect. The toggle is under Entra ID &gt; Overview &gt; Properties &gt; Manage Security Defaults.</w:t>
      </w:r>
    </w:p>
    <w:p>
      <w:pPr>
        <w:pStyle w:val="ListParagraph"/>
        <w:numPr>
          <w:ilvl w:val="0"/>
          <w:numId w:val="2"/>
        </w:numPr>
        <w:spacing w:after="60"/>
      </w:pPr>
      <w:r>
        <w:rPr>
          <w:rFonts w:ascii="Arial" w:cs="Arial" w:eastAsia="Arial" w:hAnsi="Arial"/>
          <w:sz w:val="22"/>
          <w:szCs w:val="22"/>
        </w:rPr>
        <w:t xml:space="preserve">When multiple CA policies fire on the same sign-in, the most restrictive control wins. Block always overrides grant. This is why CA-003 (block legacy auth) takes precedence over CA-001 (require MFA) when both apply.</w:t>
      </w:r>
    </w:p>
    <w:p>
      <w:pPr>
        <w:pStyle w:val="ListParagraph"/>
        <w:numPr>
          <w:ilvl w:val="0"/>
          <w:numId w:val="2"/>
        </w:numPr>
        <w:spacing w:after="60"/>
      </w:pPr>
      <w:r>
        <w:rPr>
          <w:rFonts w:ascii="Arial" w:cs="Arial" w:eastAsia="Arial" w:hAnsi="Arial"/>
          <w:sz w:val="22"/>
          <w:szCs w:val="22"/>
        </w:rPr>
        <w:t xml:space="preserve">A break-glass account must be excluded from MFA-enforcing CA policies but should not be excluded from legacy auth blocking. bga001 should be a cloud-only account, never tied to AD sync, with a long complex password stored securely offline.</w:t>
      </w:r>
    </w:p>
    <w:p>
      <w:pPr>
        <w:pStyle w:val="ListParagraph"/>
        <w:numPr>
          <w:ilvl w:val="0"/>
          <w:numId w:val="2"/>
        </w:numPr>
        <w:spacing w:after="60"/>
      </w:pPr>
      <w:r>
        <w:rPr>
          <w:rFonts w:ascii="Arial" w:cs="Arial" w:eastAsia="Arial" w:hAnsi="Arial"/>
          <w:sz w:val="22"/>
          <w:szCs w:val="22"/>
        </w:rPr>
        <w:t xml:space="preserve">The SAML authnmethodsreferences claim containing multipleauthn is the protocol-level proof that MFA was completed. This is how an SP or auditor can verify MFA enforcement without trusting the IdP configuration alone.</w:t>
      </w:r>
    </w:p>
    <w:p>
      <w:pPr>
        <w:pStyle w:val="ListParagraph"/>
        <w:numPr>
          <w:ilvl w:val="0"/>
          <w:numId w:val="2"/>
        </w:numPr>
        <w:spacing w:after="60"/>
      </w:pPr>
      <w:r>
        <w:rPr>
          <w:rFonts w:ascii="Arial" w:cs="Arial" w:eastAsia="Arial" w:hAnsi="Arial"/>
          <w:sz w:val="22"/>
          <w:szCs w:val="22"/>
        </w:rPr>
        <w:t xml:space="preserve">In a JWT, oid is the immutable user identifier consistent across all apps in the tenant. sub is unique per-user per-app for privacy. Authorization decisions should key on oid, not email or UPN, because those can change.</w:t>
      </w:r>
    </w:p>
    <w:p>
      <w:pPr>
        <w:pStyle w:val="ListParagraph"/>
        <w:numPr>
          <w:ilvl w:val="0"/>
          <w:numId w:val="2"/>
        </w:numPr>
        <w:spacing w:after="60"/>
      </w:pPr>
      <w:r>
        <w:rPr>
          <w:rFonts w:ascii="Arial" w:cs="Arial" w:eastAsia="Arial" w:hAnsi="Arial"/>
          <w:sz w:val="22"/>
          <w:szCs w:val="22"/>
        </w:rPr>
        <w:t xml:space="preserve">Delegated permissions act on behalf of a signed-in user and are limited to what that user can access. Application permissions act as the service itself with admin-granted tenant-wide access. The client credentials flow is how IAM automation authenticates without a human present.</w:t>
      </w:r>
    </w:p>
    <w:p>
      <w:pPr>
        <w:pStyle w:val="ListParagraph"/>
        <w:numPr>
          <w:ilvl w:val="0"/>
          <w:numId w:val="2"/>
        </w:numPr>
        <w:spacing w:after="60"/>
      </w:pPr>
      <w:r>
        <w:rPr>
          <w:rFonts w:ascii="Arial" w:cs="Arial" w:eastAsia="Arial" w:hAnsi="Arial"/>
          <w:sz w:val="22"/>
          <w:szCs w:val="22"/>
        </w:rPr>
        <w:t xml:space="preserve">MSAL (Microsoft Authentication Library) handles token acquisition, caching, and refresh. The scope https://graph.microsoft.com/.default requests all Application permissions that have been admin-consented for the app registration.</w:t>
      </w:r>
    </w:p>
    <w:p>
      <w:pPr>
        <w:pStyle w:val="ListParagraph"/>
        <w:numPr>
          <w:ilvl w:val="0"/>
          <w:numId w:val="2"/>
        </w:numPr>
        <w:spacing w:after="60"/>
      </w:pPr>
      <w:r>
        <w:rPr>
          <w:rFonts w:ascii="Arial" w:cs="Arial" w:eastAsia="Arial" w:hAnsi="Arial"/>
          <w:sz w:val="22"/>
          <w:szCs w:val="22"/>
        </w:rPr>
        <w:t xml:space="preserve">The Flask session cookie state mismatch in OIDC is a common production issue. SESSION_COOKIE_SECURE must be False when running on HTTP, and SESSION_COOKIE_SAMESITE=Lax allows cookies to survive top-level cross-origin GET redirects from the IdP callback.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4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2026-04-08T12:26:58.600Z</dcterms:created>
  <dcterms:modified xsi:type="dcterms:W3CDTF">2026-04-08T12:26:58.601Z</dcterms:modified>
</cp:coreProperties>
</file>

<file path=docProps/custom.xml><?xml version="1.0" encoding="utf-8"?>
<Properties xmlns="http://schemas.openxmlformats.org/officeDocument/2006/custom-properties" xmlns:vt="http://schemas.openxmlformats.org/officeDocument/2006/docPropsVTypes"/>
</file>