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Arial" w:cs="Arial" w:eastAsia="Arial" w:hAnsi="Arial"/>
          <w:b/>
          <w:bCs/>
          <w:color w:val="1F3864"/>
          <w:sz w:val="56"/>
          <w:szCs w:val="56"/>
        </w:rPr>
        <w:t xml:space="preserve">DAY 3 DEBRIEF</w:t>
      </w:r>
    </w:p>
    <w:p>
      <w:pPr>
        <w:spacing w:before="0" w:after="80"/>
        <w:jc w:val="center"/>
      </w:pPr>
      <w:r>
        <w:rPr>
          <w:rFonts w:ascii="Arial" w:cs="Arial" w:eastAsia="Arial" w:hAnsi="Arial"/>
          <w:color w:val="2E75B6"/>
          <w:sz w:val="28"/>
          <w:szCs w:val="28"/>
        </w:rPr>
        <w:t xml:space="preserve">AD + Okta RBAC Lab — Lab Complete</w:t>
      </w:r>
    </w:p>
    <w:p>
      <w:pPr>
        <w:spacing w:before="0" w:after="80"/>
        <w:jc w:val="center"/>
      </w:pPr>
      <w:r>
        <w:rPr>
          <w:rFonts w:ascii="Arial" w:cs="Arial" w:eastAsia="Arial" w:hAnsi="Arial"/>
          <w:i/>
          <w:iCs/>
          <w:color w:val="888888"/>
          <w:sz w:val="22"/>
          <w:szCs w:val="22"/>
        </w:rPr>
        <w:t xml:space="preserve">Yearwood.Local  —  March 12, 2026</w:t>
      </w:r>
    </w:p>
    <w:p>
      <w:pPr>
        <w:spacing w:before="0" w:after="480"/>
        <w:jc w:val="center"/>
      </w:pPr>
      <w:r>
        <w:rPr>
          <w:rFonts w:ascii="Arial" w:cs="Arial" w:eastAsia="Arial" w:hAnsi="Arial"/>
          <w:i/>
          <w:iCs/>
          <w:color w:val="555555"/>
          <w:sz w:val="22"/>
          <w:szCs w:val="22"/>
        </w:rPr>
        <w:t xml:space="preserve">RBAC fully implemented and verified. Three sessions. One working identity architecture.</w:t>
      </w:r>
    </w:p>
    <w:p>
      <w:pPr>
        <w:pBdr>
          <w:bottom w:val="single" w:color="2E75B6" w:sz="6" w:space="1"/>
        </w:pBdr>
        <w:spacing w:before="200" w:after="200"/>
      </w:pPr>
      <w:r>
        <w:t xml:space="preserve"/>
      </w:r>
    </w:p>
    <w:p>
      <w:pPr>
        <w:pStyle w:val="Heading1"/>
        <w:spacing w:before="320" w:after="160"/>
      </w:pPr>
      <w:r>
        <w:rPr>
          <w:rFonts w:ascii="Arial" w:cs="Arial" w:eastAsia="Arial" w:hAnsi="Arial"/>
          <w:b/>
          <w:bCs/>
          <w:color w:val="1F3864"/>
          <w:sz w:val="34"/>
          <w:szCs w:val="34"/>
        </w:rPr>
        <w:t xml:space="preserve">1. Session Objective</w:t>
      </w:r>
    </w:p>
    <w:p>
      <w:pPr>
        <w:spacing w:before="80" w:after="80"/>
      </w:pPr>
      <w:r>
        <w:rPr>
          <w:rFonts w:ascii="Arial" w:cs="Arial" w:eastAsia="Arial" w:hAnsi="Arial"/>
          <w:color w:val="222222"/>
          <w:sz w:val="22"/>
          <w:szCs w:val="22"/>
        </w:rPr>
        <w:t xml:space="preserve">Day 3 had one goal: complete the RBAC lab. After two sessions of troubleshooting the APP_GROUP root cause, the decision was made to stop fighting Okta's internal plumbing and implement a working workaround. The session delivered a fully functional RBAC implementation verified by Okta's Access Testing Tool.</w:t>
      </w:r>
    </w:p>
    <w:p>
      <w:pPr>
        <w:spacing w:before="80" w:after="80"/>
      </w:pPr>
      <w:r>
        <w:t xml:space="preserve"/>
      </w:r>
    </w:p>
    <w:p>
      <w:pPr>
        <w:pBdr>
          <w:bottom w:val="single" w:color="2E75B6" w:sz="6" w:space="1"/>
        </w:pBdr>
        <w:spacing w:before="200" w:after="200"/>
      </w:pPr>
      <w:r>
        <w:t xml:space="preserve"/>
      </w:r>
    </w:p>
    <w:p>
      <w:pPr>
        <w:pStyle w:val="Heading1"/>
        <w:spacing w:before="320" w:after="160"/>
      </w:pPr>
      <w:r>
        <w:rPr>
          <w:rFonts w:ascii="Arial" w:cs="Arial" w:eastAsia="Arial" w:hAnsi="Arial"/>
          <w:b/>
          <w:bCs/>
          <w:color w:val="1F3864"/>
          <w:sz w:val="34"/>
          <w:szCs w:val="34"/>
        </w:rPr>
        <w:t xml:space="preserve">2. What Happened This Session</w:t>
      </w:r>
    </w:p>
    <w:p>
      <w:pPr>
        <w:pStyle w:val="Heading2"/>
        <w:spacing w:before="240" w:after="120"/>
      </w:pPr>
      <w:r>
        <w:rPr>
          <w:rFonts w:ascii="Arial" w:cs="Arial" w:eastAsia="Arial" w:hAnsi="Arial"/>
          <w:b/>
          <w:bCs/>
          <w:color w:val="2E75B6"/>
          <w:sz w:val="26"/>
          <w:szCs w:val="26"/>
        </w:rPr>
        <w:t xml:space="preserve">2.1 Strategic Decision — Workaround Over Root Cause</w:t>
      </w:r>
    </w:p>
    <w:p>
      <w:pPr>
        <w:spacing w:before="80" w:after="80"/>
      </w:pPr>
      <w:r>
        <w:rPr>
          <w:rFonts w:ascii="Arial" w:cs="Arial" w:eastAsia="Arial" w:hAnsi="Arial"/>
          <w:color w:val="222222"/>
          <w:sz w:val="22"/>
          <w:szCs w:val="22"/>
        </w:rPr>
        <w:t xml:space="preserve">At the start of Day 3 the session opened with an honest assessment of the previous two sessions. Two root cause theories had been tested and both failed. Rather than pursue a third theory, the decision was made to work around the APP_GROUP problem entirely by creating new clean groups in AD with V2 naming.</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1F3864" w:sz="1"/>
              <w:left w:val="single" w:color="1F3864" w:sz="1"/>
              <w:bottom w:val="single" w:color="1F3864" w:sz="1"/>
              <w:right w:val="single" w:color="1F3864" w:sz="1"/>
            </w:tcBorders>
            <w:shd w:fill="E8F0FE" w:val="clear"/>
            <w:tcMar>
              <w:top w:type="dxa" w:w="120"/>
              <w:left w:type="dxa" w:w="150"/>
              <w:bottom w:type="dxa" w:w="120"/>
              <w:right w:type="dxa" w:w="150"/>
            </w:tcMar>
          </w:tcPr>
          <w:p>
            <w:pPr>
              <w:jc w:val="center"/>
            </w:pPr>
            <w:r>
              <w:rPr>
                <w:rFonts w:ascii="Arial" w:cs="Arial" w:eastAsia="Arial" w:hAnsi="Arial"/>
                <w:b/>
                <w:bCs/>
                <w:color w:val="1F3864"/>
                <w:sz w:val="20"/>
                <w:szCs w:val="20"/>
              </w:rPr>
              <w:t xml:space="preserve">KEY DECISION</w:t>
            </w:r>
          </w:p>
        </w:tc>
        <w:tc>
          <w:tcPr>
            <w:tcW w:type="dxa" w:w="7960"/>
            <w:tcBorders>
              <w:top w:val="single" w:color="CCCCCC" w:sz="1"/>
              <w:left w:val="single" w:color="CCCCCC" w:sz="1"/>
              <w:bottom w:val="single" w:color="CCCCCC" w:sz="1"/>
              <w:right w:val="single" w:color="CCCCCC" w:sz="1"/>
            </w:tcBorders>
            <w:shd w:fill="FAFAFA" w:val="clear"/>
            <w:tcMar>
              <w:top w:type="dxa" w:w="120"/>
              <w:left w:type="dxa" w:w="150"/>
              <w:bottom w:type="dxa" w:w="120"/>
              <w:right w:type="dxa" w:w="150"/>
            </w:tcMar>
          </w:tcPr>
          <w:p>
            <w:r>
              <w:rPr>
                <w:rFonts w:ascii="Arial" w:cs="Arial" w:eastAsia="Arial" w:hAnsi="Arial"/>
                <w:color w:val="333333"/>
                <w:sz w:val="20"/>
                <w:szCs w:val="20"/>
              </w:rPr>
              <w:t xml:space="preserve">Stop fighting APP_GROUPs. Create V2 groups in AD fresh, sync them to Okta, assign apps to them. The old GG_ groups sit idle and harmless. RBAC works as intended.</w:t>
            </w:r>
          </w:p>
        </w:tc>
      </w:tr>
    </w:tbl>
    <w:p>
      <w:pPr>
        <w:spacing w:before="80" w:after="80"/>
      </w:pPr>
      <w:r>
        <w:t xml:space="preserve"/>
      </w:r>
    </w:p>
    <w:p>
      <w:pPr>
        <w:pStyle w:val="Heading2"/>
        <w:spacing w:before="240" w:after="120"/>
      </w:pPr>
      <w:r>
        <w:rPr>
          <w:rFonts w:ascii="Arial" w:cs="Arial" w:eastAsia="Arial" w:hAnsi="Arial"/>
          <w:b/>
          <w:bCs/>
          <w:color w:val="2E75B6"/>
          <w:sz w:val="26"/>
          <w:szCs w:val="26"/>
        </w:rPr>
        <w:t xml:space="preserve">2.2 V2 Groups Created in AD</w:t>
      </w:r>
    </w:p>
    <w:p>
      <w:pPr>
        <w:spacing w:before="80" w:after="80"/>
      </w:pPr>
      <w:r>
        <w:rPr>
          <w:rFonts w:ascii="Arial" w:cs="Arial" w:eastAsia="Arial" w:hAnsi="Arial"/>
          <w:color w:val="222222"/>
          <w:sz w:val="22"/>
          <w:szCs w:val="22"/>
        </w:rPr>
        <w:t xml:space="preserve">Four new Security Groups were manually created in AD under the _NA &gt; Groups OU:</w:t>
      </w:r>
    </w:p>
    <w:p>
      <w:pPr>
        <w:pStyle w:val="ListParagraph"/>
        <w:numPr>
          <w:ilvl w:val="0"/>
          <w:numId w:val="2"/>
        </w:numPr>
        <w:spacing w:before="60" w:after="60"/>
      </w:pPr>
      <w:r>
        <w:rPr>
          <w:rFonts w:ascii="Arial" w:cs="Arial" w:eastAsia="Arial" w:hAnsi="Arial"/>
          <w:color w:val="222222"/>
          <w:sz w:val="22"/>
          <w:szCs w:val="22"/>
        </w:rPr>
        <w:t xml:space="preserve">V2_Finance</w:t>
      </w:r>
    </w:p>
    <w:p>
      <w:pPr>
        <w:pStyle w:val="ListParagraph"/>
        <w:numPr>
          <w:ilvl w:val="0"/>
          <w:numId w:val="2"/>
        </w:numPr>
        <w:spacing w:before="60" w:after="60"/>
      </w:pPr>
      <w:r>
        <w:rPr>
          <w:rFonts w:ascii="Arial" w:cs="Arial" w:eastAsia="Arial" w:hAnsi="Arial"/>
          <w:color w:val="222222"/>
          <w:sz w:val="22"/>
          <w:szCs w:val="22"/>
        </w:rPr>
        <w:t xml:space="preserve">V2_Helpdesk</w:t>
      </w:r>
    </w:p>
    <w:p>
      <w:pPr>
        <w:pStyle w:val="ListParagraph"/>
        <w:numPr>
          <w:ilvl w:val="0"/>
          <w:numId w:val="2"/>
        </w:numPr>
        <w:spacing w:before="60" w:after="60"/>
      </w:pPr>
      <w:r>
        <w:rPr>
          <w:rFonts w:ascii="Arial" w:cs="Arial" w:eastAsia="Arial" w:hAnsi="Arial"/>
          <w:color w:val="222222"/>
          <w:sz w:val="22"/>
          <w:szCs w:val="22"/>
        </w:rPr>
        <w:t xml:space="preserve">V2_HR</w:t>
      </w:r>
    </w:p>
    <w:p>
      <w:pPr>
        <w:pStyle w:val="ListParagraph"/>
        <w:numPr>
          <w:ilvl w:val="0"/>
          <w:numId w:val="2"/>
        </w:numPr>
        <w:spacing w:before="60" w:after="60"/>
      </w:pPr>
      <w:r>
        <w:rPr>
          <w:rFonts w:ascii="Arial" w:cs="Arial" w:eastAsia="Arial" w:hAnsi="Arial"/>
          <w:color w:val="222222"/>
          <w:sz w:val="22"/>
          <w:szCs w:val="22"/>
        </w:rPr>
        <w:t xml:space="preserve">V2_Cloud_Engineer</w:t>
      </w:r>
    </w:p>
    <w:p>
      <w:pPr>
        <w:spacing w:before="80" w:after="80"/>
      </w:pPr>
      <w:r>
        <w:t xml:space="preserve"/>
      </w:r>
    </w:p>
    <w:p>
      <w:pPr>
        <w:spacing w:before="80" w:after="80"/>
      </w:pPr>
      <w:r>
        <w:rPr>
          <w:rFonts w:ascii="Arial" w:cs="Arial" w:eastAsia="Arial" w:hAnsi="Arial"/>
          <w:color w:val="222222"/>
          <w:sz w:val="22"/>
          <w:szCs w:val="22"/>
        </w:rPr>
        <w:t xml:space="preserve">The original GG_ groups were updated with description 'Deprecated' to visually flag them as inactive. This is a real-world best practice — never delete groups immediately, mark them first and monitor before removal.</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2.3 Users Migrated via PowerShell</w:t>
      </w:r>
    </w:p>
    <w:p>
      <w:pPr>
        <w:spacing w:before="80" w:after="80"/>
      </w:pPr>
      <w:r>
        <w:rPr>
          <w:rFonts w:ascii="Arial" w:cs="Arial" w:eastAsia="Arial" w:hAnsi="Arial"/>
          <w:color w:val="222222"/>
          <w:sz w:val="22"/>
          <w:szCs w:val="22"/>
        </w:rPr>
        <w:t xml:space="preserve">Two PowerShell scripts were run to migrate users cleanly:</w:t>
      </w:r>
    </w:p>
    <w:p>
      <w:pPr>
        <w:pStyle w:val="ListParagraph"/>
        <w:numPr>
          <w:ilvl w:val="0"/>
          <w:numId w:val="2"/>
        </w:numPr>
        <w:spacing w:before="60" w:after="60"/>
      </w:pPr>
      <w:r>
        <w:rPr>
          <w:rFonts w:ascii="Arial" w:cs="Arial" w:eastAsia="Arial" w:hAnsi="Arial"/>
          <w:color w:val="222222"/>
          <w:sz w:val="22"/>
          <w:szCs w:val="22"/>
        </w:rPr>
        <w:t xml:space="preserve">Script 1: Copied all members from each GG_ group to its V2 counterpart</w:t>
      </w:r>
    </w:p>
    <w:p>
      <w:pPr>
        <w:pStyle w:val="ListParagraph"/>
        <w:numPr>
          <w:ilvl w:val="0"/>
          <w:numId w:val="2"/>
        </w:numPr>
        <w:spacing w:before="60" w:after="60"/>
      </w:pPr>
      <w:r>
        <w:rPr>
          <w:rFonts w:ascii="Arial" w:cs="Arial" w:eastAsia="Arial" w:hAnsi="Arial"/>
          <w:color w:val="222222"/>
          <w:sz w:val="22"/>
          <w:szCs w:val="22"/>
        </w:rPr>
        <w:t xml:space="preserve">Script 2: Removed all members from the GG_ groups</w:t>
      </w:r>
    </w:p>
    <w:p>
      <w:pPr>
        <w:spacing w:before="80" w:after="80"/>
      </w:pPr>
      <w:r>
        <w:t xml:space="preserve"/>
      </w:r>
    </w:p>
    <w:p>
      <w:pPr>
        <w:spacing w:before="80" w:after="80"/>
      </w:pPr>
      <w:r>
        <w:rPr>
          <w:rFonts w:ascii="Arial" w:cs="Arial" w:eastAsia="Arial" w:hAnsi="Arial"/>
          <w:color w:val="222222"/>
          <w:sz w:val="22"/>
          <w:szCs w:val="22"/>
        </w:rPr>
        <w:t xml:space="preserve">Post-migration AD membership verified via Get-ADGroupMember. Okta picked up the V2 groups on the next Full Import with correct member counts and proper AD linkage (DN and externalId both populated).</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2.4 Full Audit via Okta API</w:t>
      </w:r>
    </w:p>
    <w:p>
      <w:pPr>
        <w:spacing w:before="80" w:after="80"/>
      </w:pPr>
      <w:r>
        <w:rPr>
          <w:rFonts w:ascii="Arial" w:cs="Arial" w:eastAsia="Arial" w:hAnsi="Arial"/>
          <w:color w:val="222222"/>
          <w:sz w:val="22"/>
          <w:szCs w:val="22"/>
        </w:rPr>
        <w:t xml:space="preserve">Before assigning apps, a comprehensive audit was run via PowerShell against the Okta API to verify the state of both V2 and deprecated groups. The audit checked: Okta group type, AD directory linkage, all members with status and source, and existing app assignments.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200"/>
        <w:gridCol w:w="2000"/>
        <w:gridCol w:w="1560"/>
      </w:tblGrid>
      <w:tr>
        <w:trPr>
          <w:tblHeader/>
        </w:trPr>
        <w:tc>
          <w:tcPr>
            <w:tcW w:type="dxa" w:w="220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Group</w:t>
            </w:r>
          </w:p>
        </w:tc>
        <w:tc>
          <w:tcPr>
            <w:tcW w:type="dxa" w:w="140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Type</w:t>
            </w:r>
          </w:p>
        </w:tc>
        <w:tc>
          <w:tcPr>
            <w:tcW w:type="dxa" w:w="220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AD Linked</w:t>
            </w:r>
          </w:p>
        </w:tc>
        <w:tc>
          <w:tcPr>
            <w:tcW w:type="dxa" w:w="200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Members</w:t>
            </w:r>
          </w:p>
        </w:tc>
        <w:tc>
          <w:tcPr>
            <w:tcW w:type="dxa" w:w="156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App Assignments</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color w:val="333333"/>
                <w:sz w:val="20"/>
                <w:szCs w:val="20"/>
              </w:rPr>
              <w:t xml:space="preserve">V2_Finance</w:t>
            </w:r>
          </w:p>
        </w:tc>
        <w:tc>
          <w:tcPr>
            <w:tcW w:type="dxa" w:w="14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color w:val="333333"/>
                <w:sz w:val="20"/>
                <w:szCs w:val="20"/>
              </w:rPr>
              <w:t xml:space="preserve">APP_GROUP</w:t>
            </w:r>
          </w:p>
        </w:tc>
        <w:tc>
          <w:tcPr>
            <w:tcW w:type="dxa" w:w="22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color w:val="333333"/>
                <w:sz w:val="20"/>
                <w:szCs w:val="20"/>
              </w:rPr>
              <w:t xml:space="preserve">Yes — yearwood.local</w:t>
            </w:r>
          </w:p>
        </w:tc>
        <w:tc>
          <w:tcPr>
            <w:tcW w:type="dxa" w:w="20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color w:val="333333"/>
                <w:sz w:val="20"/>
                <w:szCs w:val="20"/>
              </w:rPr>
              <w:t xml:space="preserve">4 (2 active, 2 staged)</w:t>
            </w:r>
          </w:p>
        </w:tc>
        <w:tc>
          <w:tcPr>
            <w:tcW w:type="dxa" w:w="156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color w:val="333333"/>
                <w:sz w:val="20"/>
                <w:szCs w:val="20"/>
              </w:rPr>
              <w:t xml:space="preserve">None — clean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V2_Helpdesk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APP_GROUP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Yes — yearwood.local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4 (1 active, 3 staged)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None — clean</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color w:val="333333"/>
                <w:sz w:val="20"/>
                <w:szCs w:val="20"/>
              </w:rPr>
              <w:t xml:space="preserve">V2_HR</w:t>
            </w:r>
          </w:p>
        </w:tc>
        <w:tc>
          <w:tcPr>
            <w:tcW w:type="dxa" w:w="14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color w:val="333333"/>
                <w:sz w:val="20"/>
                <w:szCs w:val="20"/>
              </w:rPr>
              <w:t xml:space="preserve">APP_GROUP</w:t>
            </w:r>
          </w:p>
        </w:tc>
        <w:tc>
          <w:tcPr>
            <w:tcW w:type="dxa" w:w="22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color w:val="333333"/>
                <w:sz w:val="20"/>
                <w:szCs w:val="20"/>
              </w:rPr>
              <w:t xml:space="preserve">Yes — yearwood.local</w:t>
            </w:r>
          </w:p>
        </w:tc>
        <w:tc>
          <w:tcPr>
            <w:tcW w:type="dxa" w:w="20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color w:val="333333"/>
                <w:sz w:val="20"/>
                <w:szCs w:val="20"/>
              </w:rPr>
              <w:t xml:space="preserve">3 (1 active, 2 staged)</w:t>
            </w:r>
          </w:p>
        </w:tc>
        <w:tc>
          <w:tcPr>
            <w:tcW w:type="dxa" w:w="156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color w:val="333333"/>
                <w:sz w:val="20"/>
                <w:szCs w:val="20"/>
              </w:rPr>
              <w:t xml:space="preserve">None — clean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V2_Cloud_Engineer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APP_GROUP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Yes — yearwood.local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3 (2 active, 1 staged)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None — clean</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color w:val="333333"/>
                <w:sz w:val="20"/>
                <w:szCs w:val="20"/>
              </w:rPr>
              <w:t xml:space="preserve">GG_Finance</w:t>
            </w:r>
          </w:p>
        </w:tc>
        <w:tc>
          <w:tcPr>
            <w:tcW w:type="dxa" w:w="14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color w:val="333333"/>
                <w:sz w:val="20"/>
                <w:szCs w:val="20"/>
              </w:rPr>
              <w:t xml:space="preserve">APP_GROUP</w:t>
            </w:r>
          </w:p>
        </w:tc>
        <w:tc>
          <w:tcPr>
            <w:tcW w:type="dxa" w:w="22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color w:val="333333"/>
                <w:sz w:val="20"/>
                <w:szCs w:val="20"/>
              </w:rPr>
              <w:t xml:space="preserve">Yes — yearwood.local</w:t>
            </w:r>
          </w:p>
        </w:tc>
        <w:tc>
          <w:tcPr>
            <w:tcW w:type="dxa" w:w="20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color w:val="333333"/>
                <w:sz w:val="20"/>
                <w:szCs w:val="20"/>
              </w:rPr>
              <w:t xml:space="preserve">Empty</w:t>
            </w:r>
          </w:p>
        </w:tc>
        <w:tc>
          <w:tcPr>
            <w:tcW w:type="dxa" w:w="156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color w:val="333333"/>
                <w:sz w:val="20"/>
                <w:szCs w:val="20"/>
              </w:rPr>
              <w:t xml:space="preserve">None — clean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GG_Helpdesk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APP_GROUP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Yes — yearwood.local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Empty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None — clean</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color w:val="333333"/>
                <w:sz w:val="20"/>
                <w:szCs w:val="20"/>
              </w:rPr>
              <w:t xml:space="preserve">GG_HR</w:t>
            </w:r>
          </w:p>
        </w:tc>
        <w:tc>
          <w:tcPr>
            <w:tcW w:type="dxa" w:w="14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color w:val="333333"/>
                <w:sz w:val="20"/>
                <w:szCs w:val="20"/>
              </w:rPr>
              <w:t xml:space="preserve">APP_GROUP</w:t>
            </w:r>
          </w:p>
        </w:tc>
        <w:tc>
          <w:tcPr>
            <w:tcW w:type="dxa" w:w="22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color w:val="333333"/>
                <w:sz w:val="20"/>
                <w:szCs w:val="20"/>
              </w:rPr>
              <w:t xml:space="preserve">Yes — yearwood.local</w:t>
            </w:r>
          </w:p>
        </w:tc>
        <w:tc>
          <w:tcPr>
            <w:tcW w:type="dxa" w:w="20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color w:val="333333"/>
                <w:sz w:val="20"/>
                <w:szCs w:val="20"/>
              </w:rPr>
              <w:t xml:space="preserve">Empty</w:t>
            </w:r>
          </w:p>
        </w:tc>
        <w:tc>
          <w:tcPr>
            <w:tcW w:type="dxa" w:w="156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color w:val="333333"/>
                <w:sz w:val="20"/>
                <w:szCs w:val="20"/>
              </w:rPr>
              <w:t xml:space="preserve">None — clean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GG_Cloud_Engineer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APP_GROUP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Yes — yearwood.local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Empty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None — clean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1F3864" w:sz="1"/>
              <w:left w:val="single" w:color="1F3864" w:sz="1"/>
              <w:bottom w:val="single" w:color="1F3864" w:sz="1"/>
              <w:right w:val="single" w:color="1F3864" w:sz="1"/>
            </w:tcBorders>
            <w:shd w:fill="FFF8E6" w:val="clear"/>
            <w:tcMar>
              <w:top w:type="dxa" w:w="120"/>
              <w:left w:type="dxa" w:w="150"/>
              <w:bottom w:type="dxa" w:w="120"/>
              <w:right w:type="dxa" w:w="150"/>
            </w:tcMar>
          </w:tcPr>
          <w:p>
            <w:pPr>
              <w:jc w:val="center"/>
            </w:pPr>
            <w:r>
              <w:rPr>
                <w:rFonts w:ascii="Arial" w:cs="Arial" w:eastAsia="Arial" w:hAnsi="Arial"/>
                <w:b/>
                <w:bCs/>
                <w:color w:val="8B6000"/>
                <w:sz w:val="20"/>
                <w:szCs w:val="20"/>
              </w:rPr>
              <w:t xml:space="preserve">NOTE</w:t>
            </w:r>
          </w:p>
        </w:tc>
        <w:tc>
          <w:tcPr>
            <w:tcW w:type="dxa" w:w="7960"/>
            <w:tcBorders>
              <w:top w:val="single" w:color="CCCCCC" w:sz="1"/>
              <w:left w:val="single" w:color="CCCCCC" w:sz="1"/>
              <w:bottom w:val="single" w:color="CCCCCC" w:sz="1"/>
              <w:right w:val="single" w:color="CCCCCC" w:sz="1"/>
            </w:tcBorders>
            <w:shd w:fill="FAFAFA" w:val="clear"/>
            <w:tcMar>
              <w:top w:type="dxa" w:w="120"/>
              <w:left w:type="dxa" w:w="150"/>
              <w:bottom w:type="dxa" w:w="120"/>
              <w:right w:type="dxa" w:w="150"/>
            </w:tcMar>
          </w:tcPr>
          <w:p>
            <w:r>
              <w:rPr>
                <w:rFonts w:ascii="Arial" w:cs="Arial" w:eastAsia="Arial" w:hAnsi="Arial"/>
                <w:color w:val="333333"/>
                <w:sz w:val="20"/>
                <w:szCs w:val="20"/>
              </w:rPr>
              <w:t xml:space="preserve">All groups show type APP_GROUP. After investigation this is expected behavior in Okta trial orgs for AD-synced groups. Critically, all V2 groups have a valid DN and externalId confirming proper AD linkage — this is what matters for sync to work correctly.</w:t>
            </w:r>
          </w:p>
        </w:tc>
      </w:tr>
    </w:tbl>
    <w:p>
      <w:pPr>
        <w:spacing w:before="80" w:after="80"/>
      </w:pPr>
      <w:r>
        <w:t xml:space="preserve"/>
      </w:r>
    </w:p>
    <w:p>
      <w:pPr>
        <w:pStyle w:val="Heading2"/>
        <w:spacing w:before="240" w:after="120"/>
      </w:pPr>
      <w:r>
        <w:rPr>
          <w:rFonts w:ascii="Arial" w:cs="Arial" w:eastAsia="Arial" w:hAnsi="Arial"/>
          <w:b/>
          <w:bCs/>
          <w:color w:val="2E75B6"/>
          <w:sz w:val="26"/>
          <w:szCs w:val="26"/>
        </w:rPr>
        <w:t xml:space="preserve">2.5 RBAC Matrix Defined</w:t>
      </w:r>
    </w:p>
    <w:p>
      <w:pPr>
        <w:spacing w:before="80" w:after="80"/>
      </w:pPr>
      <w:r>
        <w:rPr>
          <w:rFonts w:ascii="Arial" w:cs="Arial" w:eastAsia="Arial" w:hAnsi="Arial"/>
          <w:color w:val="222222"/>
          <w:sz w:val="22"/>
          <w:szCs w:val="22"/>
        </w:rPr>
        <w:t xml:space="preserve">A realistic RBAC matrix was defined for the three SAML applications in scope: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87"/>
        <w:gridCol w:w="2287"/>
        <w:gridCol w:w="2286"/>
      </w:tblGrid>
      <w:tr>
        <w:trPr>
          <w:tblHeader/>
        </w:trPr>
        <w:tc>
          <w:tcPr>
            <w:tcW w:type="dxa" w:w="250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Role Group</w:t>
            </w:r>
          </w:p>
        </w:tc>
        <w:tc>
          <w:tcPr>
            <w:tcW w:type="dxa" w:w="2287"/>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Gworkspace</w:t>
            </w:r>
          </w:p>
        </w:tc>
        <w:tc>
          <w:tcPr>
            <w:tcW w:type="dxa" w:w="2287"/>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SharePoint</w:t>
            </w:r>
          </w:p>
        </w:tc>
        <w:tc>
          <w:tcPr>
            <w:tcW w:type="dxa" w:w="2286"/>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Slack</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color w:val="333333"/>
                <w:sz w:val="20"/>
                <w:szCs w:val="20"/>
              </w:rPr>
              <w:t xml:space="preserve">V2_Finance</w:t>
            </w:r>
          </w:p>
        </w:tc>
        <w:tc>
          <w:tcPr>
            <w:tcW w:type="dxa" w:w="2287"/>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color w:val="333333"/>
                <w:sz w:val="20"/>
                <w:szCs w:val="20"/>
              </w:rPr>
              <w:t xml:space="preserve">No</w:t>
            </w:r>
          </w:p>
        </w:tc>
        <w:tc>
          <w:tcPr>
            <w:tcW w:type="dxa" w:w="2287"/>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color w:val="333333"/>
                <w:sz w:val="20"/>
                <w:szCs w:val="20"/>
              </w:rPr>
              <w:t xml:space="preserve">Yes</w:t>
            </w:r>
          </w:p>
        </w:tc>
        <w:tc>
          <w:tcPr>
            <w:tcW w:type="dxa" w:w="2286"/>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color w:val="333333"/>
                <w:sz w:val="20"/>
                <w:szCs w:val="20"/>
              </w:rPr>
              <w:t xml:space="preserve">Yes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V2_Helpdesk</w:t>
            </w:r>
          </w:p>
        </w:tc>
        <w:tc>
          <w:tcPr>
            <w:tcW w:type="dxa" w:w="2287"/>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No</w:t>
            </w:r>
          </w:p>
        </w:tc>
        <w:tc>
          <w:tcPr>
            <w:tcW w:type="dxa" w:w="2287"/>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Yes</w:t>
            </w:r>
          </w:p>
        </w:tc>
        <w:tc>
          <w:tcPr>
            <w:tcW w:type="dxa" w:w="228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Yes</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color w:val="333333"/>
                <w:sz w:val="20"/>
                <w:szCs w:val="20"/>
              </w:rPr>
              <w:t xml:space="preserve">V2_HR</w:t>
            </w:r>
          </w:p>
        </w:tc>
        <w:tc>
          <w:tcPr>
            <w:tcW w:type="dxa" w:w="2287"/>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color w:val="333333"/>
                <w:sz w:val="20"/>
                <w:szCs w:val="20"/>
              </w:rPr>
              <w:t xml:space="preserve">Yes</w:t>
            </w:r>
          </w:p>
        </w:tc>
        <w:tc>
          <w:tcPr>
            <w:tcW w:type="dxa" w:w="2287"/>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color w:val="333333"/>
                <w:sz w:val="20"/>
                <w:szCs w:val="20"/>
              </w:rPr>
              <w:t xml:space="preserve">Yes</w:t>
            </w:r>
          </w:p>
        </w:tc>
        <w:tc>
          <w:tcPr>
            <w:tcW w:type="dxa" w:w="2286"/>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color w:val="333333"/>
                <w:sz w:val="20"/>
                <w:szCs w:val="20"/>
              </w:rPr>
              <w:t xml:space="preserve">Yes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V2_Cloud_Engineer</w:t>
            </w:r>
          </w:p>
        </w:tc>
        <w:tc>
          <w:tcPr>
            <w:tcW w:type="dxa" w:w="2287"/>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Yes</w:t>
            </w:r>
          </w:p>
        </w:tc>
        <w:tc>
          <w:tcPr>
            <w:tcW w:type="dxa" w:w="2287"/>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Yes</w:t>
            </w:r>
          </w:p>
        </w:tc>
        <w:tc>
          <w:tcPr>
            <w:tcW w:type="dxa" w:w="2286"/>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Yes</w:t>
            </w:r>
          </w:p>
        </w:tc>
      </w:tr>
    </w:tbl>
    <w:p>
      <w:pPr>
        <w:spacing w:before="80" w:after="80"/>
      </w:pPr>
      <w:r>
        <w:t xml:space="preserve"/>
      </w:r>
    </w:p>
    <w:p>
      <w:pPr>
        <w:spacing w:before="80" w:after="80"/>
      </w:pPr>
      <w:r>
        <w:rPr>
          <w:rFonts w:ascii="Arial" w:cs="Arial" w:eastAsia="Arial" w:hAnsi="Arial"/>
          <w:color w:val="222222"/>
          <w:sz w:val="22"/>
          <w:szCs w:val="22"/>
        </w:rPr>
        <w:t xml:space="preserve">Rationale: Gworkspace is restricted to HR and Cloud Engineers as they require the full Google suite for people management and technical collaboration. SharePoint and Slack are universal across all roles for file sharing and messaging.</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2.6 App Assignments via API</w:t>
      </w:r>
    </w:p>
    <w:p>
      <w:pPr>
        <w:spacing w:before="80" w:after="80"/>
      </w:pPr>
      <w:r>
        <w:rPr>
          <w:rFonts w:ascii="Arial" w:cs="Arial" w:eastAsia="Arial" w:hAnsi="Arial"/>
          <w:color w:val="222222"/>
          <w:sz w:val="22"/>
          <w:szCs w:val="22"/>
        </w:rPr>
        <w:t xml:space="preserve">A single PowerShell script executed all 10 group-to-app assignments via the Okta API using PUT /api/v1/apps/{appId}/groups/{groupId}. All 10 assignments succeeded on first run with zero errors.</w:t>
      </w:r>
    </w:p>
    <w:p>
      <w:pPr>
        <w:spacing w:before="80" w:after="80"/>
      </w:pPr>
      <w:r>
        <w:t xml:space="preserve"/>
      </w:r>
    </w:p>
    <w:p>
      <w:pPr>
        <w:spacing w:before="80" w:after="80"/>
      </w:pPr>
      <w:r>
        <w:rPr>
          <w:rFonts w:ascii="Arial" w:cs="Arial" w:eastAsia="Arial" w:hAnsi="Arial"/>
          <w:color w:val="222222"/>
          <w:sz w:val="22"/>
          <w:szCs w:val="22"/>
        </w:rPr>
        <w:t xml:space="preserve">Apps and IDs assigned:</w:t>
      </w:r>
    </w:p>
    <w:p>
      <w:pPr>
        <w:pStyle w:val="ListParagraph"/>
        <w:numPr>
          <w:ilvl w:val="0"/>
          <w:numId w:val="2"/>
        </w:numPr>
        <w:spacing w:before="60" w:after="60"/>
      </w:pPr>
      <w:r>
        <w:rPr>
          <w:rFonts w:ascii="Arial" w:cs="Arial" w:eastAsia="Arial" w:hAnsi="Arial"/>
          <w:color w:val="222222"/>
          <w:sz w:val="22"/>
          <w:szCs w:val="22"/>
        </w:rPr>
        <w:t xml:space="preserve">Gworkspace (Yearwood) — 0oa10udva7dKvxhy6698 → V2_HR, V2_Cloud_Engineer</w:t>
      </w:r>
    </w:p>
    <w:p>
      <w:pPr>
        <w:pStyle w:val="ListParagraph"/>
        <w:numPr>
          <w:ilvl w:val="0"/>
          <w:numId w:val="2"/>
        </w:numPr>
        <w:spacing w:before="60" w:after="60"/>
      </w:pPr>
      <w:r>
        <w:rPr>
          <w:rFonts w:ascii="Arial" w:cs="Arial" w:eastAsia="Arial" w:hAnsi="Arial"/>
          <w:color w:val="222222"/>
          <w:sz w:val="22"/>
          <w:szCs w:val="22"/>
        </w:rPr>
        <w:t xml:space="preserve">SharePoint (Yearwood) — 0oa10udz71oUlRBY4698 → all 4 groups</w:t>
      </w:r>
    </w:p>
    <w:p>
      <w:pPr>
        <w:pStyle w:val="ListParagraph"/>
        <w:numPr>
          <w:ilvl w:val="0"/>
          <w:numId w:val="2"/>
        </w:numPr>
        <w:spacing w:before="60" w:after="60"/>
      </w:pPr>
      <w:r>
        <w:rPr>
          <w:rFonts w:ascii="Arial" w:cs="Arial" w:eastAsia="Arial" w:hAnsi="Arial"/>
          <w:color w:val="222222"/>
          <w:sz w:val="22"/>
          <w:szCs w:val="22"/>
        </w:rPr>
        <w:t xml:space="preserve">Slack (Yearwood) — 0oa10udxzmhLauUhf698 → all 4 groups</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2.7 Verification — Access Testing Tool</w:t>
      </w:r>
    </w:p>
    <w:p>
      <w:pPr>
        <w:spacing w:before="80" w:after="80"/>
      </w:pPr>
      <w:r>
        <w:rPr>
          <w:rFonts w:ascii="Arial" w:cs="Arial" w:eastAsia="Arial" w:hAnsi="Arial"/>
          <w:color w:val="222222"/>
          <w:sz w:val="22"/>
          <w:szCs w:val="22"/>
        </w:rPr>
        <w:t xml:space="preserve">Okta's built-in Access Testing Tool was used to verify RBAC for Chris Hall (V2_Cloud_Engineer). All three apps returned green: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560"/>
        <w:gridCol w:w="3000"/>
      </w:tblGrid>
      <w:tr>
        <w:trPr>
          <w:tblHeader/>
        </w:trPr>
        <w:tc>
          <w:tcPr>
            <w:tcW w:type="dxa" w:w="200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User</w:t>
            </w:r>
          </w:p>
        </w:tc>
        <w:tc>
          <w:tcPr>
            <w:tcW w:type="dxa" w:w="280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Application</w:t>
            </w:r>
          </w:p>
        </w:tc>
        <w:tc>
          <w:tcPr>
            <w:tcW w:type="dxa" w:w="156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Result</w:t>
            </w:r>
          </w:p>
        </w:tc>
        <w:tc>
          <w:tcPr>
            <w:tcW w:type="dxa" w:w="300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Access Via</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color w:val="333333"/>
                <w:sz w:val="20"/>
                <w:szCs w:val="20"/>
              </w:rPr>
              <w:t xml:space="preserve">Chris Hall</w:t>
            </w:r>
          </w:p>
        </w:tc>
        <w:tc>
          <w:tcPr>
            <w:tcW w:type="dxa" w:w="28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color w:val="333333"/>
                <w:sz w:val="20"/>
                <w:szCs w:val="20"/>
              </w:rPr>
              <w:t xml:space="preserve">Gworkspace (Yearwood)</w:t>
            </w:r>
          </w:p>
        </w:tc>
        <w:tc>
          <w:tcPr>
            <w:tcW w:type="dxa" w:w="156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color w:val="333333"/>
                <w:sz w:val="20"/>
                <w:szCs w:val="20"/>
              </w:rPr>
              <w:t xml:space="preserve">Allowed</w:t>
            </w:r>
          </w:p>
        </w:tc>
        <w:tc>
          <w:tcPr>
            <w:tcW w:type="dxa" w:w="30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color w:val="333333"/>
                <w:sz w:val="20"/>
                <w:szCs w:val="20"/>
              </w:rPr>
              <w:t xml:space="preserve">V2_Cloud_Engineer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Chris Hall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SharePoint (Yearwood)</w:t>
            </w:r>
          </w:p>
        </w:tc>
        <w:tc>
          <w:tcPr>
            <w:tcW w:type="dxa" w:w="1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Allowed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V2_Cloud_Engineer</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color w:val="333333"/>
                <w:sz w:val="20"/>
                <w:szCs w:val="20"/>
              </w:rPr>
              <w:t xml:space="preserve">Chris Hall</w:t>
            </w:r>
          </w:p>
        </w:tc>
        <w:tc>
          <w:tcPr>
            <w:tcW w:type="dxa" w:w="28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color w:val="333333"/>
                <w:sz w:val="20"/>
                <w:szCs w:val="20"/>
              </w:rPr>
              <w:t xml:space="preserve">Slack (Yearwood)</w:t>
            </w:r>
          </w:p>
        </w:tc>
        <w:tc>
          <w:tcPr>
            <w:tcW w:type="dxa" w:w="156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color w:val="333333"/>
                <w:sz w:val="20"/>
                <w:szCs w:val="20"/>
              </w:rPr>
              <w:t xml:space="preserve">Allowed</w:t>
            </w:r>
          </w:p>
        </w:tc>
        <w:tc>
          <w:tcPr>
            <w:tcW w:type="dxa" w:w="30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color w:val="333333"/>
                <w:sz w:val="20"/>
                <w:szCs w:val="20"/>
              </w:rPr>
              <w:t xml:space="preserve">V2_Cloud_Engineer</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1F3864" w:sz="1"/>
              <w:left w:val="single" w:color="1F3864" w:sz="1"/>
              <w:bottom w:val="single" w:color="1F3864" w:sz="1"/>
              <w:right w:val="single" w:color="1F3864" w:sz="1"/>
            </w:tcBorders>
            <w:shd w:fill="EAF4EA" w:val="clear"/>
            <w:tcMar>
              <w:top w:type="dxa" w:w="120"/>
              <w:left w:type="dxa" w:w="150"/>
              <w:bottom w:type="dxa" w:w="120"/>
              <w:right w:type="dxa" w:w="150"/>
            </w:tcMar>
          </w:tcPr>
          <w:p>
            <w:pPr>
              <w:jc w:val="center"/>
            </w:pPr>
            <w:r>
              <w:rPr>
                <w:rFonts w:ascii="Arial" w:cs="Arial" w:eastAsia="Arial" w:hAnsi="Arial"/>
                <w:b/>
                <w:bCs/>
                <w:color w:val="375623"/>
                <w:sz w:val="20"/>
                <w:szCs w:val="20"/>
              </w:rPr>
              <w:t xml:space="preserve">VERIFIED</w:t>
            </w:r>
          </w:p>
        </w:tc>
        <w:tc>
          <w:tcPr>
            <w:tcW w:type="dxa" w:w="7960"/>
            <w:tcBorders>
              <w:top w:val="single" w:color="CCCCCC" w:sz="1"/>
              <w:left w:val="single" w:color="CCCCCC" w:sz="1"/>
              <w:bottom w:val="single" w:color="CCCCCC" w:sz="1"/>
              <w:right w:val="single" w:color="CCCCCC" w:sz="1"/>
            </w:tcBorders>
            <w:shd w:fill="FAFAFA" w:val="clear"/>
            <w:tcMar>
              <w:top w:type="dxa" w:w="120"/>
              <w:left w:type="dxa" w:w="150"/>
              <w:bottom w:type="dxa" w:w="120"/>
              <w:right w:type="dxa" w:w="150"/>
            </w:tcMar>
          </w:tcPr>
          <w:p>
            <w:r>
              <w:rPr>
                <w:rFonts w:ascii="Arial" w:cs="Arial" w:eastAsia="Arial" w:hAnsi="Arial"/>
                <w:color w:val="333333"/>
                <w:sz w:val="20"/>
                <w:szCs w:val="20"/>
              </w:rPr>
              <w:t xml:space="preserve">Access is granted via V2_Cloud_Engineer group membership — not via direct assignment, not via ghost membership. One clean pipeline: AD group → Okta sync → group-to-app assignment → access.</w:t>
            </w:r>
          </w:p>
        </w:tc>
      </w:tr>
    </w:tbl>
    <w:p>
      <w:pPr>
        <w:spacing w:before="80" w:after="80"/>
      </w:pPr>
      <w:r>
        <w:t xml:space="preserve"/>
      </w:r>
    </w:p>
    <w:p>
      <w:pPr>
        <w:pBdr>
          <w:bottom w:val="single" w:color="2E75B6" w:sz="6" w:space="1"/>
        </w:pBdr>
        <w:spacing w:before="200" w:after="200"/>
      </w:pPr>
      <w:r>
        <w:t xml:space="preserve"/>
      </w:r>
    </w:p>
    <w:p>
      <w:pPr>
        <w:pStyle w:val="Heading1"/>
        <w:spacing w:before="320" w:after="160"/>
      </w:pPr>
      <w:r>
        <w:rPr>
          <w:rFonts w:ascii="Arial" w:cs="Arial" w:eastAsia="Arial" w:hAnsi="Arial"/>
          <w:b/>
          <w:bCs/>
          <w:color w:val="1F3864"/>
          <w:sz w:val="34"/>
          <w:szCs w:val="34"/>
        </w:rPr>
        <w:t xml:space="preserve">3. Lessons Learned This Session</w:t>
      </w:r>
    </w:p>
    <w:p>
      <w:pPr>
        <w:pStyle w:val="Heading2"/>
        <w:spacing w:before="240" w:after="120"/>
      </w:pPr>
      <w:r>
        <w:rPr>
          <w:rFonts w:ascii="Arial" w:cs="Arial" w:eastAsia="Arial" w:hAnsi="Arial"/>
          <w:b/>
          <w:bCs/>
          <w:color w:val="2E75B6"/>
          <w:sz w:val="26"/>
          <w:szCs w:val="26"/>
        </w:rPr>
        <w:t xml:space="preserve">3.1 Pragmatism Over Perfection</w:t>
      </w:r>
    </w:p>
    <w:p>
      <w:pPr>
        <w:spacing w:before="80" w:after="80"/>
      </w:pPr>
      <w:r>
        <w:rPr>
          <w:rFonts w:ascii="Arial" w:cs="Arial" w:eastAsia="Arial" w:hAnsi="Arial"/>
          <w:color w:val="222222"/>
          <w:sz w:val="22"/>
          <w:szCs w:val="22"/>
        </w:rPr>
        <w:t xml:space="preserve">When a root cause has resisted two full sessions of investigation, the right call is to ask: can I achieve the outcome a different way? The V2 group workaround delivered a working RBAC implementation in under 30 minutes. The APP_GROUP root cause is still unknown — but the lab is complete.</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3.2 Always Audit Before You Act</w:t>
      </w:r>
    </w:p>
    <w:p>
      <w:pPr>
        <w:spacing w:before="80" w:after="80"/>
      </w:pPr>
      <w:r>
        <w:rPr>
          <w:rFonts w:ascii="Arial" w:cs="Arial" w:eastAsia="Arial" w:hAnsi="Arial"/>
          <w:color w:val="222222"/>
          <w:sz w:val="22"/>
          <w:szCs w:val="22"/>
        </w:rPr>
        <w:t xml:space="preserve">The PowerShell API audit scripts written this session are the right pattern for any IAM work. Before touching anything, pull the current state: group type, directory linkage, member source, app assignments. This would have saved significant time in Sessions 1 and 2 if done earlier.</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3.3 Leaver Process — Mark Before You Delete</w:t>
      </w:r>
    </w:p>
    <w:p>
      <w:pPr>
        <w:spacing w:before="80" w:after="80"/>
      </w:pPr>
      <w:r>
        <w:rPr>
          <w:rFonts w:ascii="Arial" w:cs="Arial" w:eastAsia="Arial" w:hAnsi="Arial"/>
          <w:color w:val="222222"/>
          <w:sz w:val="22"/>
          <w:szCs w:val="22"/>
        </w:rPr>
        <w:t xml:space="preserve">A key observation this session: deactivated users are not visually obvious in Okta or AD. This caused confusion when testing access with a user who was already deactivated.</w:t>
      </w:r>
    </w:p>
    <w:p>
      <w:pPr>
        <w:spacing w:before="80" w:after="80"/>
      </w:pPr>
      <w:r>
        <w:t xml:space="preserve"/>
      </w:r>
    </w:p>
    <w:p>
      <w:pPr>
        <w:spacing w:before="80" w:after="80"/>
      </w:pPr>
      <w:r>
        <w:rPr>
          <w:rFonts w:ascii="Arial" w:cs="Arial" w:eastAsia="Arial" w:hAnsi="Arial"/>
          <w:color w:val="222222"/>
          <w:sz w:val="22"/>
          <w:szCs w:val="22"/>
        </w:rPr>
        <w:t xml:space="preserve">Best practice leaver workflow:</w:t>
      </w:r>
    </w:p>
    <w:p>
      <w:pPr>
        <w:pStyle w:val="ListParagraph"/>
        <w:numPr>
          <w:ilvl w:val="0"/>
          <w:numId w:val="2"/>
        </w:numPr>
        <w:spacing w:before="60" w:after="60"/>
      </w:pPr>
      <w:r>
        <w:rPr>
          <w:rFonts w:ascii="Arial" w:cs="Arial" w:eastAsia="Arial" w:hAnsi="Arial"/>
          <w:color w:val="222222"/>
          <w:sz w:val="22"/>
          <w:szCs w:val="22"/>
        </w:rPr>
        <w:t xml:space="preserve">AD: Disable account AND move to DisabledUsers OU AND add description with date and reason</w:t>
      </w:r>
    </w:p>
    <w:p>
      <w:pPr>
        <w:pStyle w:val="ListParagraph"/>
        <w:numPr>
          <w:ilvl w:val="0"/>
          <w:numId w:val="2"/>
        </w:numPr>
        <w:spacing w:before="60" w:after="60"/>
      </w:pPr>
      <w:r>
        <w:rPr>
          <w:rFonts w:ascii="Arial" w:cs="Arial" w:eastAsia="Arial" w:hAnsi="Arial"/>
          <w:color w:val="222222"/>
          <w:sz w:val="22"/>
          <w:szCs w:val="22"/>
        </w:rPr>
        <w:t xml:space="preserve">AD: Remove from all role groups immediately so Okta sync revokes access</w:t>
      </w:r>
    </w:p>
    <w:p>
      <w:pPr>
        <w:pStyle w:val="ListParagraph"/>
        <w:numPr>
          <w:ilvl w:val="0"/>
          <w:numId w:val="2"/>
        </w:numPr>
        <w:spacing w:before="60" w:after="60"/>
      </w:pPr>
      <w:r>
        <w:rPr>
          <w:rFonts w:ascii="Arial" w:cs="Arial" w:eastAsia="Arial" w:hAnsi="Arial"/>
          <w:color w:val="222222"/>
          <w:sz w:val="22"/>
          <w:szCs w:val="22"/>
        </w:rPr>
        <w:t xml:space="preserve">Okta: Deactivate user AND add a note or custom attribute flagging termination</w:t>
      </w:r>
    </w:p>
    <w:p>
      <w:pPr>
        <w:pStyle w:val="ListParagraph"/>
        <w:numPr>
          <w:ilvl w:val="0"/>
          <w:numId w:val="2"/>
        </w:numPr>
        <w:spacing w:before="60" w:after="60"/>
      </w:pPr>
      <w:r>
        <w:rPr>
          <w:rFonts w:ascii="Arial" w:cs="Arial" w:eastAsia="Arial" w:hAnsi="Arial"/>
          <w:color w:val="222222"/>
          <w:sz w:val="22"/>
          <w:szCs w:val="22"/>
        </w:rPr>
        <w:t xml:space="preserve">Naming: Some orgs prefix disabled accounts with ZZ_ so they sort to the bottom of every list</w:t>
      </w:r>
    </w:p>
    <w:p>
      <w:pPr>
        <w:spacing w:before="80" w:after="80"/>
      </w:pPr>
      <w:r>
        <w:t xml:space="preserve"/>
      </w:r>
    </w:p>
    <w:p>
      <w:pPr>
        <w:pStyle w:val="Heading2"/>
        <w:spacing w:before="240" w:after="120"/>
      </w:pPr>
      <w:r>
        <w:rPr>
          <w:rFonts w:ascii="Arial" w:cs="Arial" w:eastAsia="Arial" w:hAnsi="Arial"/>
          <w:b/>
          <w:bCs/>
          <w:color w:val="2E75B6"/>
          <w:sz w:val="26"/>
          <w:szCs w:val="26"/>
        </w:rPr>
        <w:t xml:space="preserve">3.4 Deprecated ≠ Deleted</w:t>
      </w:r>
    </w:p>
    <w:p>
      <w:pPr>
        <w:spacing w:before="80" w:after="80"/>
      </w:pPr>
      <w:r>
        <w:rPr>
          <w:rFonts w:ascii="Arial" w:cs="Arial" w:eastAsia="Arial" w:hAnsi="Arial"/>
          <w:color w:val="222222"/>
          <w:sz w:val="22"/>
          <w:szCs w:val="22"/>
        </w:rPr>
        <w:t xml:space="preserve">The GG_ groups were marked Deprecated and emptied rather than deleted. This is correct IAM practice. Deleting groups immediately risks disrupting anything still referencing them. Mark, empty, monitor, then delete after a review period.</w:t>
      </w:r>
    </w:p>
    <w:p>
      <w:pPr>
        <w:spacing w:before="80" w:after="80"/>
      </w:pPr>
      <w:r>
        <w:t xml:space="preserve"/>
      </w:r>
    </w:p>
    <w:p>
      <w:pPr>
        <w:pBdr>
          <w:bottom w:val="single" w:color="2E75B6" w:sz="6" w:space="1"/>
        </w:pBdr>
        <w:spacing w:before="200" w:after="200"/>
      </w:pPr>
      <w:r>
        <w:t xml:space="preserve"/>
      </w:r>
    </w:p>
    <w:p>
      <w:pPr>
        <w:pStyle w:val="Heading1"/>
        <w:spacing w:before="320" w:after="160"/>
      </w:pPr>
      <w:r>
        <w:rPr>
          <w:rFonts w:ascii="Arial" w:cs="Arial" w:eastAsia="Arial" w:hAnsi="Arial"/>
          <w:b/>
          <w:bCs/>
          <w:color w:val="1F3864"/>
          <w:sz w:val="34"/>
          <w:szCs w:val="34"/>
        </w:rPr>
        <w:t xml:space="preserve">4. Final Lab State</w:t>
      </w:r>
    </w:p>
    <w:p>
      <w:pPr>
        <w:spacing w:before="80" w:after="80"/>
      </w:pPr>
      <w:r>
        <w:rPr>
          <w:rFonts w:ascii="Arial" w:cs="Arial" w:eastAsia="Arial" w:hAnsi="Arial"/>
          <w:color w:val="222222"/>
          <w:sz w:val="22"/>
          <w:szCs w:val="22"/>
        </w:rPr>
        <w:t xml:space="preserve">The environment at the close of Day 3:</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Component</w:t>
            </w:r>
          </w:p>
        </w:tc>
        <w:tc>
          <w:tcPr>
            <w:tcW w:type="dxa" w:w="5860"/>
            <w:tcBorders>
              <w:top w:val="single" w:color="1F3864" w:sz="1"/>
              <w:left w:val="single" w:color="1F3864" w:sz="1"/>
              <w:bottom w:val="single" w:color="1F3864" w:sz="1"/>
              <w:right w:val="single" w:color="1F3864" w:sz="1"/>
            </w:tcBorders>
            <w:shd w:fill="1F3864" w:val="clear"/>
            <w:tcMar>
              <w:top w:type="dxa" w:w="100"/>
              <w:left w:type="dxa" w:w="150"/>
              <w:bottom w:type="dxa" w:w="100"/>
              <w:right w:type="dxa" w:w="150"/>
            </w:tcMar>
          </w:tcPr>
          <w:p>
            <w:r>
              <w:rPr>
                <w:rFonts w:ascii="Arial" w:cs="Arial" w:eastAsia="Arial" w:hAnsi="Arial"/>
                <w:b/>
                <w:bCs/>
                <w:color w:val="FFFFFF"/>
                <w:sz w:val="20"/>
                <w:szCs w:val="20"/>
              </w:rPr>
              <w:t xml:space="preserve">State</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color w:val="333333"/>
                <w:sz w:val="20"/>
                <w:szCs w:val="20"/>
              </w:rPr>
              <w:t xml:space="preserve">AD Role Groups (V2)</w:t>
            </w:r>
          </w:p>
        </w:tc>
        <w:tc>
          <w:tcPr>
            <w:tcW w:type="dxa" w:w="586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color w:val="333333"/>
                <w:sz w:val="20"/>
                <w:szCs w:val="20"/>
              </w:rPr>
              <w:t xml:space="preserve">4 groups, correct members, clean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AD Role Groups (GG_)</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4 groups, empty, marked Deprecated</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color w:val="333333"/>
                <w:sz w:val="20"/>
                <w:szCs w:val="20"/>
              </w:rPr>
              <w:t xml:space="preserve">Okta V2 Groups</w:t>
            </w:r>
          </w:p>
        </w:tc>
        <w:tc>
          <w:tcPr>
            <w:tcW w:type="dxa" w:w="586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color w:val="333333"/>
                <w:sz w:val="20"/>
                <w:szCs w:val="20"/>
              </w:rPr>
              <w:t xml:space="preserve">AD-linked, correct members, apps assigned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Okta GG_ Groups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Empty, no app assignments, harmless</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color w:val="333333"/>
                <w:sz w:val="20"/>
                <w:szCs w:val="20"/>
              </w:rPr>
              <w:t xml:space="preserve">App Assignments</w:t>
            </w:r>
          </w:p>
        </w:tc>
        <w:tc>
          <w:tcPr>
            <w:tcW w:type="dxa" w:w="586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color w:val="333333"/>
                <w:sz w:val="20"/>
                <w:szCs w:val="20"/>
              </w:rPr>
              <w:t xml:space="preserve">10 group-to-app assignments, all correct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Direct User-to-App Assignments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333333"/>
                <w:sz w:val="20"/>
                <w:szCs w:val="20"/>
              </w:rPr>
              <w:t xml:space="preserve">Zero</w:t>
            </w:r>
          </w:p>
        </w:tc>
      </w:tr>
      <w:tr>
        <w:tc>
          <w:tcPr>
            <w:tcW w:type="dxa" w:w="350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color w:val="333333"/>
                <w:sz w:val="20"/>
                <w:szCs w:val="20"/>
              </w:rPr>
              <w:t xml:space="preserve">RBAC Verification</w:t>
            </w:r>
          </w:p>
        </w:tc>
        <w:tc>
          <w:tcPr>
            <w:tcW w:type="dxa" w:w="5860"/>
            <w:tcBorders>
              <w:top w:val="single" w:color="CCCCCC" w:sz="1"/>
              <w:left w:val="single" w:color="CCCCCC" w:sz="1"/>
              <w:bottom w:val="single" w:color="CCCCCC" w:sz="1"/>
              <w:right w:val="single" w:color="CCCCCC" w:sz="1"/>
            </w:tcBorders>
            <w:shd w:fill="F5F8FF" w:val="clear"/>
            <w:tcMar>
              <w:top w:type="dxa" w:w="80"/>
              <w:left w:type="dxa" w:w="150"/>
              <w:bottom w:type="dxa" w:w="80"/>
              <w:right w:type="dxa" w:w="150"/>
            </w:tcMar>
          </w:tcPr>
          <w:p>
            <w:r>
              <w:rPr>
                <w:rFonts w:ascii="Arial" w:cs="Arial" w:eastAsia="Arial" w:hAnsi="Arial"/>
                <w:color w:val="333333"/>
                <w:sz w:val="20"/>
                <w:szCs w:val="20"/>
              </w:rPr>
              <w:t xml:space="preserve">Passed via Okta Access Testing Tool</w:t>
            </w:r>
          </w:p>
        </w:tc>
      </w:tr>
    </w:tbl>
    <w:p>
      <w:pPr>
        <w:spacing w:before="80" w:after="80"/>
      </w:pPr>
      <w:r>
        <w:t xml:space="preserve"/>
      </w:r>
    </w:p>
    <w:p>
      <w:pPr>
        <w:pBdr>
          <w:bottom w:val="single" w:color="2E75B6" w:sz="6" w:space="1"/>
        </w:pBdr>
        <w:spacing w:before="200" w:after="200"/>
      </w:pPr>
      <w:r>
        <w:t xml:space="preserve"/>
      </w:r>
    </w:p>
    <w:p>
      <w:pPr>
        <w:pStyle w:val="Heading1"/>
        <w:spacing w:before="320" w:after="160"/>
      </w:pPr>
      <w:r>
        <w:rPr>
          <w:rFonts w:ascii="Arial" w:cs="Arial" w:eastAsia="Arial" w:hAnsi="Arial"/>
          <w:b/>
          <w:bCs/>
          <w:color w:val="1F3864"/>
          <w:sz w:val="34"/>
          <w:szCs w:val="34"/>
        </w:rPr>
        <w:t xml:space="preserve">5. Recommended Next Steps</w:t>
      </w:r>
    </w:p>
    <w:p>
      <w:pPr>
        <w:pStyle w:val="ListParagraph"/>
        <w:numPr>
          <w:ilvl w:val="0"/>
          <w:numId w:val="2"/>
        </w:numPr>
        <w:spacing w:before="60" w:after="60"/>
      </w:pPr>
      <w:r>
        <w:rPr>
          <w:rFonts w:ascii="Arial" w:cs="Arial" w:eastAsia="Arial" w:hAnsi="Arial"/>
          <w:color w:val="222222"/>
          <w:sz w:val="22"/>
          <w:szCs w:val="22"/>
        </w:rPr>
        <w:t xml:space="preserve">Activate staged users so they can actually authenticate</w:t>
      </w:r>
    </w:p>
    <w:p>
      <w:pPr>
        <w:pStyle w:val="ListParagraph"/>
        <w:numPr>
          <w:ilvl w:val="0"/>
          <w:numId w:val="2"/>
        </w:numPr>
        <w:spacing w:before="60" w:after="60"/>
      </w:pPr>
      <w:r>
        <w:rPr>
          <w:rFonts w:ascii="Arial" w:cs="Arial" w:eastAsia="Arial" w:hAnsi="Arial"/>
          <w:color w:val="222222"/>
          <w:sz w:val="22"/>
          <w:szCs w:val="22"/>
        </w:rPr>
        <w:t xml:space="preserve">Test a Finance user (e.g. James King) to verify they are blocked from Gworkspace</w:t>
      </w:r>
    </w:p>
    <w:p>
      <w:pPr>
        <w:pStyle w:val="ListParagraph"/>
        <w:numPr>
          <w:ilvl w:val="0"/>
          <w:numId w:val="2"/>
        </w:numPr>
        <w:spacing w:before="60" w:after="60"/>
      </w:pPr>
      <w:r>
        <w:rPr>
          <w:rFonts w:ascii="Arial" w:cs="Arial" w:eastAsia="Arial" w:hAnsi="Arial"/>
          <w:color w:val="222222"/>
          <w:sz w:val="22"/>
          <w:szCs w:val="22"/>
        </w:rPr>
        <w:t xml:space="preserve">Test a user move: change someone from V2_Finance to V2_HR in AD, run import, verify app access updates automatically</w:t>
      </w:r>
    </w:p>
    <w:p>
      <w:pPr>
        <w:pStyle w:val="ListParagraph"/>
        <w:numPr>
          <w:ilvl w:val="0"/>
          <w:numId w:val="2"/>
        </w:numPr>
        <w:spacing w:before="60" w:after="60"/>
      </w:pPr>
      <w:r>
        <w:rPr>
          <w:rFonts w:ascii="Arial" w:cs="Arial" w:eastAsia="Arial" w:hAnsi="Arial"/>
          <w:color w:val="222222"/>
          <w:sz w:val="22"/>
          <w:szCs w:val="22"/>
        </w:rPr>
        <w:t xml:space="preserve">Investigate APP_GROUP root cause in a future session — likely tied to the Import tab on the SAML apps</w:t>
      </w:r>
    </w:p>
    <w:p>
      <w:pPr>
        <w:pStyle w:val="ListParagraph"/>
        <w:numPr>
          <w:ilvl w:val="0"/>
          <w:numId w:val="2"/>
        </w:numPr>
        <w:spacing w:before="60" w:after="60"/>
      </w:pPr>
      <w:r>
        <w:rPr>
          <w:rFonts w:ascii="Arial" w:cs="Arial" w:eastAsia="Arial" w:hAnsi="Arial"/>
          <w:color w:val="222222"/>
          <w:sz w:val="22"/>
          <w:szCs w:val="22"/>
        </w:rPr>
        <w:t xml:space="preserve">Begin Okta Certified Administrator study — this lab has given you hands-on coverage of the hardest exam topics</w:t>
      </w:r>
    </w:p>
    <w:p>
      <w:pPr>
        <w:spacing w:before="80" w:after="80"/>
      </w:pPr>
      <w:r>
        <w:t xml:space="preserve"/>
      </w:r>
    </w:p>
    <w:p>
      <w:pPr>
        <w:spacing w:before="320" w:after="80"/>
        <w:jc w:val="center"/>
      </w:pPr>
      <w:r>
        <w:rPr>
          <w:rFonts w:ascii="Arial" w:cs="Arial" w:eastAsia="Arial" w:hAnsi="Arial"/>
          <w:b/>
          <w:bCs/>
          <w:i/>
          <w:iCs/>
          <w:color w:val="375623"/>
          <w:sz w:val="28"/>
          <w:szCs w:val="28"/>
        </w:rPr>
        <w:t xml:space="preserve">Lab Complete</w:t>
      </w:r>
    </w:p>
    <w:p>
      <w:pPr>
        <w:spacing w:before="0" w:after="0"/>
        <w:jc w:val="center"/>
      </w:pPr>
      <w:r>
        <w:rPr>
          <w:rFonts w:ascii="Arial" w:cs="Arial" w:eastAsia="Arial" w:hAnsi="Arial"/>
          <w:i/>
          <w:iCs/>
          <w:color w:val="AAAAAA"/>
          <w:sz w:val="20"/>
          <w:szCs w:val="20"/>
        </w:rPr>
        <w:t xml:space="preserve">Yearwood.Local IAM Lab Series  —  Day 3 of 3</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Yearwood.Local  |  AD + Okta RBAC Lab  |  Day 3 Debrief  |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34"/>
      <w:szCs w:val="34"/>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2026-03-12T23:24:07.545Z</dcterms:created>
  <dcterms:modified xsi:type="dcterms:W3CDTF">2026-03-12T23:24:07.564Z</dcterms:modified>
</cp:coreProperties>
</file>

<file path=docProps/custom.xml><?xml version="1.0" encoding="utf-8"?>
<Properties xmlns="http://schemas.openxmlformats.org/officeDocument/2006/custom-properties" xmlns:vt="http://schemas.openxmlformats.org/officeDocument/2006/docPropsVTypes"/>
</file>