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COMPLAINT TO THE MARYLAND INSURANCE ADMINISTRATION</w:t>
      </w:r>
    </w:p>
    <w:p>
      <w:r>
        <w:t>SYNTHETIC — NOT A REAL CASE</w:t>
      </w:r>
    </w:p>
    <w:p>
      <w:r>
        <w:t>Complainant: Sally Ridesdale, 414 Aigburth Vale, Towson, MD 21204.</w:t>
      </w:r>
    </w:p>
    <w:p>
      <w:r>
        <w:t>Respondent: Chesapeake Indemnity Mutual (synthetic), NAIC placeholder 99999. Policy CIM-CLS-0000-0000.</w:t>
      </w:r>
    </w:p>
    <w:p>
      <w:r>
        <w:t>Claim number: CIM-2025-03-5517.</w:t>
      </w:r>
    </w:p>
    <w:p>
      <w:r>
        <w:t>MIA case number (assigned): MIA-SYN-0000-0000.</w:t>
      </w:r>
    </w:p>
    <w:p>
      <w:r>
        <w:t>Date filed: 2025-09-12.</w:t>
      </w:r>
    </w:p>
    <w:p>
      <w:r>
        <w:t>____________________________________________</w:t>
      </w:r>
    </w:p>
    <w:p>
      <w:pPr>
        <w:pStyle w:val="Heading2"/>
      </w:pPr>
      <w:r>
        <w:t>I. Summary</w:t>
      </w:r>
    </w:p>
    <w:p>
      <w:r>
        <w:t>Chesapeake Indemnity Mutual ("CIM") has applied a $5,280.50 deduction labeled "non-customary charges" against the Agreed Value of Complainant's 1969 Ford Mustang Mach 1, insured under an Agreed Value endorsement (CIM-AV-ENDT-2023), and on June 24, 2025 transferred the vehicle to its salvage vendor while Complainant's written objection was on file and no release had been signed. Complainant requests MIA review of two issues:</w:t>
      </w:r>
    </w:p>
    <w:p>
      <w:pPr>
        <w:pStyle w:val="ListBullet"/>
      </w:pPr>
      <w:r>
        <w:t>Unauthorized salvage transfer in violation of CIM-SALV-2023 §3.</w:t>
      </w:r>
    </w:p>
    <w:p>
      <w:pPr>
        <w:pStyle w:val="ListBullet"/>
      </w:pPr>
      <w:r>
        <w:t>**Improper substitution of a vendor ACV for the Agreed Value, and improper re-characterization of a Specialist Shop's published rate schedule as "non-customary."**</w:t>
      </w:r>
    </w:p>
    <w:p>
      <w:pPr>
        <w:pStyle w:val="Heading2"/>
      </w:pPr>
      <w:r>
        <w:t>II. Facts</w:t>
      </w:r>
    </w:p>
    <w:p>
      <w:pPr>
        <w:pStyle w:val="ListBullet"/>
      </w:pPr>
      <w:r>
        <w:t>On March 15, 2025, Complainant's 1969 Ford Mustang Mach 1 was rear-ended at a stoplight in Columbia, MD. Complainant was not at fault. (Howard County PD report CPD-SYN-2025-0315-0042.)</w:t>
      </w:r>
    </w:p>
    <w:p>
      <w:pPr>
        <w:pStyle w:val="ListBullet"/>
      </w:pPr>
      <w:r>
        <w:t>On March 16, 2025, Complainant filed a first notice of loss with CIM. Claim CIM-2025-03-5517 opened.</w:t>
      </w:r>
    </w:p>
    <w:p>
      <w:pPr>
        <w:pStyle w:val="ListBullet"/>
      </w:pPr>
      <w:r>
        <w:t>On March 19, 2025, Dundalk Bodywork and Crabcakes — a general-population body shop in Baltimore County — declined the repair, citing parts-sourcing constraints for the 1969 platform and lack of a frame jig for vintage work.</w:t>
      </w:r>
    </w:p>
    <w:p>
      <w:pPr>
        <w:pStyle w:val="ListBullet"/>
      </w:pPr>
      <w:r>
        <w:t>On March 21, 2025, CIM adjuster Harlan Whitlock approved movement of the vehicle to Midlife Crisis Restorations of Wilmington, a vintage specialist in Wilmington, DE, for inspection. CIM's written approval planted the "customary-rate" limitation in advance of any written rate-schedule objection.</w:t>
      </w:r>
    </w:p>
    <w:p>
      <w:pPr>
        <w:pStyle w:val="ListBullet"/>
      </w:pPr>
      <w:r>
        <w:t>On March 24, 2025, Midlife Crisis Restorations forwarded its **published rate schedule** to CIM by email with the adjuster in CC: $95/hr vintage body labor, $55/day storage after day 7, parts sourcing cost + 15%. **CIM did not object in writing.** Under CIM-VEH-2023 §7.3, failure to object within 14 days constitutes acknowledgement of the schedule for this claim.</w:t>
      </w:r>
    </w:p>
    <w:p>
      <w:pPr>
        <w:pStyle w:val="ListBullet"/>
      </w:pPr>
      <w:r>
        <w:t>On April 7, 2025, MidAtlantic Vehicle Appraisers ("MAVA"), a vendor retained by CIM, inspected the vehicle at Midlife Crisis Restorations.</w:t>
      </w:r>
    </w:p>
    <w:p>
      <w:pPr>
        <w:pStyle w:val="ListBullet"/>
      </w:pPr>
      <w:r>
        <w:t>On April 17, 2025, MAVA issued report MAVA-2025-04-0117, producing an ACV of $52,719.50 and a repair estimate of $34,802.00 at "customary regional rates" of $75/hr labor — a rate inapplicable to vintage-platform work and not reflective of the Specialist Shop population contemplated by CIM-VEH-2023 Article VII.</w:t>
      </w:r>
    </w:p>
    <w:p>
      <w:pPr>
        <w:pStyle w:val="ListBullet"/>
      </w:pPr>
      <w:r>
        <w:t>On April 18, 2025, Complainant objected in writing to the MAVA methodology on two grounds: (a) vendor ACV cannot substitute for Agreed Value absent fraud or material misrepresentation under CIM-AV-ENDT-2023 §2, and (b) $75/hr is not the Specialist Shop rate.</w:t>
      </w:r>
    </w:p>
    <w:p>
      <w:pPr>
        <w:pStyle w:val="ListBullet"/>
      </w:pPr>
      <w:r>
        <w:t>On April 21, 2025, Complainant retrieved the full policy form set from the producing agency, Meritor Insurance Group, Annapolis MD, because CIM's online portal provided only the Declarations page.</w:t>
      </w:r>
    </w:p>
    <w:p>
      <w:pPr>
        <w:pStyle w:val="ListBullet"/>
      </w:pPr>
      <w:r>
        <w:t>On May 9, 2025, CIM issued a formal position letter offering Agreed Value minus a $5,280.50 deduction and minus the deductible. The deduction comprised three line items: storage beyond 7 days ($1,840.00), "specialist labor rate premium" ($2,640.50), and parts sourcing fee ($800.00).</w:t>
      </w:r>
    </w:p>
    <w:p>
      <w:pPr>
        <w:pStyle w:val="ListBullet"/>
      </w:pPr>
      <w:r>
        <w:t>On May 22, 2025, Complainant objected in writing, citing CIM-AV-ENDT-2023 §2(a), CIM-VEH-2023 §§7.2, 7.3, 9.1, and the prior unanswered rate-schedule transmission.</w:t>
      </w:r>
    </w:p>
    <w:p>
      <w:pPr>
        <w:pStyle w:val="ListBullet"/>
      </w:pPr>
      <w:r>
        <w:t>On June 10, 2025, CIM reiterated the offer as "final" and warned that absent signed release within 14 days the vehicle would be transferred to salvage under CIM-SALV-2023.</w:t>
      </w:r>
    </w:p>
    <w:p>
      <w:pPr>
        <w:pStyle w:val="ListBullet"/>
      </w:pPr>
      <w:r>
        <w:t>**On June 24, 2025, CIM transferred the vehicle to its salvage vendor, Tri-State Salvage Partners, Elkton MD, with no signed release and no written consent to pre-settlement transfer from Complainant.** Complainant's written objection of May 22 remained on file and had not been withdrawn.</w:t>
      </w:r>
    </w:p>
    <w:p>
      <w:pPr>
        <w:pStyle w:val="ListBullet"/>
      </w:pPr>
      <w:r>
        <w:t>On June 25, 2025, Complainant escalated in writing and demanded either return of the vehicle or payment of Agreed Value less deductible ($57,500.00). CIM did not respond substantively.</w:t>
      </w:r>
    </w:p>
    <w:p>
      <w:pPr>
        <w:pStyle w:val="ListBullet"/>
      </w:pPr>
      <w:r>
        <w:t>On August 15, 2025, Midlife Crisis Restorations provided an opinion letter and a regional rate survey confirming (a) Midlife Crisis Restorations' $95/hr is within the interquartile range for six regional vintage specialists, (b) parts-sourcing at cost + 15% is industry-standard, and (c) the $55/day storage rate is Midlife Crisis Restorations' published all-customer rate.</w:t>
      </w:r>
    </w:p>
    <w:p>
      <w:pPr>
        <w:pStyle w:val="Heading2"/>
      </w:pPr>
      <w:r>
        <w:t>III. Issues for MIA review</w:t>
      </w:r>
    </w:p>
    <w:p>
      <w:pPr>
        <w:pStyle w:val="Heading3"/>
      </w:pPr>
      <w:r>
        <w:t>A. Unauthorized salvage transfer (lead grievance).</w:t>
      </w:r>
    </w:p>
    <w:p>
      <w:r>
        <w:t>CIM-SALV-2023 §3 permits salvage transfer only upon (a) signed release completing a total-loss settlement, or (b) written pre-settlement consent of the insured. Neither occurred. The transfer was ultra vires under §3.3 of the same form and does not prejudice Complainant's right to pursue the full Agreed Value.</w:t>
      </w:r>
    </w:p>
    <w:p>
      <w:pPr>
        <w:pStyle w:val="Heading3"/>
      </w:pPr>
      <w:r>
        <w:t>B. Improper substitution of vendor ACV for Agreed Value.</w:t>
      </w:r>
    </w:p>
    <w:p>
      <w:r>
        <w:t>CIM-AV-ENDT-2023 §2 forecloses substitution of a vendor ACV for the Agreed Value absent fraud or material misrepresentation. CIM has not alleged either. The MAVA $52,719.50 ACV is not a permissible measure of indemnity.</w:t>
      </w:r>
    </w:p>
    <w:p>
      <w:pPr>
        <w:pStyle w:val="Heading3"/>
      </w:pPr>
      <w:r>
        <w:t>C. Improper "non-customary" characterization of Specialist Shop rates.</w:t>
      </w:r>
    </w:p>
    <w:p>
      <w:r>
        <w:t>CIM-VEH-2023 Article VII expressly contemplates Specialist Shop rates and defines "customary rate" relative to equivalent specialist work, not general-population body-shop rate. §7.3 treats an un-objected published schedule as acknowledged. The rate schedule was forwarded to CIM on March 24, 2025; no objection followed within 14 days.</w:t>
      </w:r>
    </w:p>
    <w:p>
      <w:pPr>
        <w:pStyle w:val="Heading2"/>
      </w:pPr>
      <w:r>
        <w:t>IV. Relief requested</w:t>
      </w:r>
    </w:p>
    <w:p>
      <w:pPr>
        <w:pStyle w:val="ListBullet"/>
      </w:pPr>
      <w:r>
        <w:t>Payment of Agreed Value ($58,000) less $500 deductible = **$57,500.00**, in full satisfaction of indemnity, without the $5,280.50 deduction.</w:t>
      </w:r>
    </w:p>
    <w:p>
      <w:pPr>
        <w:pStyle w:val="ListBullet"/>
      </w:pPr>
      <w:r>
        <w:t>Written correction of CIM's claim file to remove the "non-customary charges" characterization.</w:t>
      </w:r>
    </w:p>
    <w:p>
      <w:pPr>
        <w:pStyle w:val="ListBullet"/>
      </w:pPr>
      <w:r>
        <w:t>Confirmation that the June 24, 2025 salvage transfer and any settlement check issued after it shall not be treated as constructive acceptance of the May 9 offer.</w:t>
      </w:r>
    </w:p>
    <w:p>
      <w:pPr>
        <w:pStyle w:val="Heading2"/>
      </w:pPr>
      <w:r>
        <w:t>V. Supporting exhibits</w:t>
      </w:r>
    </w:p>
    <w:p>
      <w:r>
        <w:t>See complaint_packet/ directory. Index in exhibits/MANIFEST.md.</w:t>
      </w:r>
    </w:p>
    <w:p>
      <w:pPr>
        <w:pStyle w:val="ListBullet"/>
      </w:pPr>
      <w:r>
        <w:t>Exhibit A — Declarations page.</w:t>
      </w:r>
    </w:p>
    <w:p>
      <w:pPr>
        <w:pStyle w:val="ListBullet"/>
      </w:pPr>
      <w:r>
        <w:t>Exhibit B — Full policy form set (CIM-VEH-2023, CIM-AV-ENDT-2023, CIM-SALV-2023).</w:t>
      </w:r>
    </w:p>
    <w:p>
      <w:pPr>
        <w:pStyle w:val="ListBullet"/>
      </w:pPr>
      <w:r>
        <w:t>Exhibit C — Correspondence compilation (emails 001–020).</w:t>
      </w:r>
    </w:p>
    <w:p>
      <w:pPr>
        <w:pStyle w:val="ListBullet"/>
      </w:pPr>
      <w:r>
        <w:t>Exhibit D — MAVA valuation report (2025-04-17).</w:t>
      </w:r>
    </w:p>
    <w:p>
      <w:pPr>
        <w:pStyle w:val="ListBullet"/>
      </w:pPr>
      <w:r>
        <w:t>Exhibit E — Photographs (vehicle at Midlife Crisis Restorations; damage closeup; VIN plate placeholder).</w:t>
      </w:r>
    </w:p>
    <w:p>
      <w:pPr>
        <w:pStyle w:val="ListBullet"/>
      </w:pPr>
      <w:r>
        <w:t>Exhibit F — Midlife Crisis Restorations opinion letter and parts-market comparables (2025-08-15).</w:t>
      </w:r>
    </w:p>
    <w:p>
      <w:pPr>
        <w:pStyle w:val="ListBullet"/>
      </w:pPr>
      <w:r>
        <w:t>Exhibit G — Salvage-transfer notification (2025-06-24).</w:t>
      </w:r>
    </w:p>
    <w:p>
      <w:r>
        <w:t>____________________________________________</w:t>
      </w:r>
    </w:p>
    <w:p>
      <w:r>
        <w:t>Signature: /s/ Sally Ridesdale — 2025-09-12.</w:t>
      </w:r>
    </w:p>
    <w:p>
      <w:r>
        <w:t>SYNTHETIC — NOT A REAL CASE. This document is a teaching artifact.</w:t>
      </w:r>
    </w:p>
    <w:p/>
    <w:p>
      <w:r>
        <w:rPr>
          <w:i/>
        </w:rPr>
        <w:t>SYNTHETIC -- NOT A REAL CASE. This document is a teaching artifact.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SYNTHETIC -- NOT A REAL CASE -- The Maryland Mustang teaching example.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SYNTHETIC -- NOT A REAL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MIA Complaint -- Sally Ridesdale v. Chesapeake Indemnity Mutual (SYNTHETIC)</dc:title>
  <dc:subject>SYNTHETIC -- NOT A REAL CASE</dc:subject>
  <dc:creator>advocacy-toolkit synthetic-case</dc:creator>
  <cp:keywords>SYNTHETIC -- NOT A REAL CASE</cp:keywords>
  <dc:description>SYNTHETIC -- NOT A REAL CASE</dc:description>
  <cp:lastModifiedBy>advocacy-toolkit synthetic-case</cp:lastModifiedBy>
  <cp:revision>1</cp:revision>
  <dcterms:created xsi:type="dcterms:W3CDTF">2013-12-23T23:15:00Z</dcterms:created>
  <dcterms:modified xsi:type="dcterms:W3CDTF">2013-12-23T23:15:00Z</dcterms:modified>
  <cp:category/>
</cp:coreProperties>
</file>