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terp-operator-technical-specification"/>
    <w:p>
      <w:pPr>
        <w:pStyle w:val="Heading1"/>
      </w:pPr>
      <w:r>
        <w:t xml:space="preserve">TERP Operator: Technical Specification</w:t>
      </w:r>
    </w:p>
    <w:p>
      <w:pPr>
        <w:pStyle w:val="FirstParagraph"/>
      </w:pPr>
      <w:r>
        <w:rPr>
          <w:i/>
          <w:iCs/>
        </w:rPr>
        <w:t xml:space="preserve">Last updated: 2026-06-01</w:t>
      </w:r>
      <w:r>
        <w:t xml:space="preserve"> </w:t>
      </w:r>
      <w:r>
        <w:rPr>
          <w:i/>
          <w:iCs/>
        </w:rPr>
        <w:t xml:space="preserve">Companion to: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docs/customer-journey-map.md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docs/feature-reference.md</w:t>
      </w:r>
      <w:r>
        <w:t xml:space="preserve"> </w:t>
      </w:r>
      <w:r>
        <w:rPr>
          <w:i/>
          <w:iCs/>
        </w:rPr>
        <w:t xml:space="preserve">This document covers the technical languages, frameworks, architectural patterns, and logical framework underlying TERP Operator — the details not visible in the CJM itself.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70679a2d877731d0acdc5db1b5e9c5a6616c25">
        <w:r>
          <w:rPr>
            <w:rStyle w:val="Hyperlink"/>
          </w:rPr>
          <w:t xml:space="preserve">Technology Stack</w:t>
        </w:r>
      </w:hyperlink>
    </w:p>
    <w:p>
      <w:pPr>
        <w:pStyle w:val="Compact"/>
        <w:numPr>
          <w:ilvl w:val="0"/>
          <w:numId w:val="1001"/>
        </w:numPr>
      </w:pPr>
      <w:hyperlink w:anchor="X01d09a9ac25e590d9a10ac15c2c1e96989df88a">
        <w:r>
          <w:rPr>
            <w:rStyle w:val="Hyperlink"/>
          </w:rPr>
          <w:t xml:space="preserve">System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05f05aa9d4328b96fd01216391dbfa9ad3e70dc">
        <w:r>
          <w:rPr>
            <w:rStyle w:val="Hyperlink"/>
          </w:rPr>
          <w:t xml:space="preserve">Command System</w:t>
        </w:r>
      </w:hyperlink>
    </w:p>
    <w:p>
      <w:pPr>
        <w:pStyle w:val="Compact"/>
        <w:numPr>
          <w:ilvl w:val="0"/>
          <w:numId w:val="1001"/>
        </w:numPr>
      </w:pPr>
      <w:hyperlink w:anchor="Xe7d51658d8f2379c0969f4580b5bec6ca5fc228">
        <w:r>
          <w:rPr>
            <w:rStyle w:val="Hyperlink"/>
          </w:rPr>
          <w:t xml:space="preserve">Database Design</w:t>
        </w:r>
      </w:hyperlink>
    </w:p>
    <w:p>
      <w:pPr>
        <w:pStyle w:val="Compact"/>
        <w:numPr>
          <w:ilvl w:val="0"/>
          <w:numId w:val="1001"/>
        </w:numPr>
      </w:pPr>
      <w:hyperlink w:anchor="X4826ba283a98c0f072c5e844bd96a5e6ca597ac">
        <w:r>
          <w:rPr>
            <w:rStyle w:val="Hyperlink"/>
          </w:rPr>
          <w:t xml:space="preserve">API Layer (tRPC)</w:t>
        </w:r>
      </w:hyperlink>
    </w:p>
    <w:p>
      <w:pPr>
        <w:pStyle w:val="Compact"/>
        <w:numPr>
          <w:ilvl w:val="0"/>
          <w:numId w:val="1001"/>
        </w:numPr>
      </w:pPr>
      <w:hyperlink w:anchor="X0891b8e8a5ac654178fda712860f4d2c28a6551">
        <w:r>
          <w:rPr>
            <w:rStyle w:val="Hyperlink"/>
          </w:rPr>
          <w:t xml:space="preserve">Real-time Layer (Socket.io)</w:t>
        </w:r>
      </w:hyperlink>
    </w:p>
    <w:p>
      <w:pPr>
        <w:pStyle w:val="Compact"/>
        <w:numPr>
          <w:ilvl w:val="0"/>
          <w:numId w:val="1001"/>
        </w:numPr>
      </w:pPr>
      <w:hyperlink w:anchor="X7910d70aef466f98e3d95228165240e2e985a1b">
        <w:r>
          <w:rPr>
            <w:rStyle w:val="Hyperlink"/>
          </w:rPr>
          <w:t xml:space="preserve">Authentication and Session Management</w:t>
        </w:r>
      </w:hyperlink>
    </w:p>
    <w:p>
      <w:pPr>
        <w:pStyle w:val="Compact"/>
        <w:numPr>
          <w:ilvl w:val="0"/>
          <w:numId w:val="1001"/>
        </w:numPr>
      </w:pPr>
      <w:hyperlink w:anchor="Xbd31fce5074ef386b7efa71279ee2f07782de57">
        <w:r>
          <w:rPr>
            <w:rStyle w:val="Hyperlink"/>
          </w:rPr>
          <w:t xml:space="preserve">Role-Based Access Control (RBAC)</w:t>
        </w:r>
      </w:hyperlink>
    </w:p>
    <w:p>
      <w:pPr>
        <w:pStyle w:val="Compact"/>
        <w:numPr>
          <w:ilvl w:val="0"/>
          <w:numId w:val="1001"/>
        </w:numPr>
      </w:pPr>
      <w:hyperlink w:anchor="X8d45de6c7b61b41221f88a0f3ecfee67504b442">
        <w:r>
          <w:rPr>
            <w:rStyle w:val="Hyperlink"/>
          </w:rPr>
          <w:t xml:space="preserve">Audit Trail and JSONL Journaling</w:t>
        </w:r>
      </w:hyperlink>
    </w:p>
    <w:p>
      <w:pPr>
        <w:pStyle w:val="Compact"/>
        <w:numPr>
          <w:ilvl w:val="0"/>
          <w:numId w:val="1001"/>
        </w:numPr>
      </w:pPr>
      <w:hyperlink w:anchor="Xd4caa44fabb1e350c9dbc4ca42f79dd422f7011">
        <w:r>
          <w:rPr>
            <w:rStyle w:val="Hyperlink"/>
          </w:rPr>
          <w:t xml:space="preserve">Reversal System</w:t>
        </w:r>
      </w:hyperlink>
    </w:p>
    <w:p>
      <w:pPr>
        <w:pStyle w:val="Compact"/>
        <w:numPr>
          <w:ilvl w:val="0"/>
          <w:numId w:val="1001"/>
        </w:numPr>
      </w:pPr>
      <w:hyperlink w:anchor="X4950d4dd5050f0db9d280081246d2fa3ae0671f">
        <w:r>
          <w:rPr>
            <w:rStyle w:val="Hyperlink"/>
          </w:rPr>
          <w:t xml:space="preserve">Credit Engine</w:t>
        </w:r>
      </w:hyperlink>
    </w:p>
    <w:p>
      <w:pPr>
        <w:pStyle w:val="Compact"/>
        <w:numPr>
          <w:ilvl w:val="0"/>
          <w:numId w:val="1001"/>
        </w:numPr>
      </w:pPr>
      <w:hyperlink w:anchor="X860e7a51993496ec064060d130b68ce964f09eb">
        <w:r>
          <w:rPr>
            <w:rStyle w:val="Hyperlink"/>
          </w:rPr>
          <w:t xml:space="preserve">Inventory Movement Tracking</w:t>
        </w:r>
      </w:hyperlink>
    </w:p>
    <w:p>
      <w:pPr>
        <w:pStyle w:val="Compact"/>
        <w:numPr>
          <w:ilvl w:val="0"/>
          <w:numId w:val="1001"/>
        </w:numPr>
      </w:pPr>
      <w:hyperlink w:anchor="Xd261a0d5f25f2b702b13398538b90d18c93bbac">
        <w:r>
          <w:rPr>
            <w:rStyle w:val="Hyperlink"/>
          </w:rPr>
          <w:t xml:space="preserve">Media and File Storage</w:t>
        </w:r>
      </w:hyperlink>
    </w:p>
    <w:p>
      <w:pPr>
        <w:pStyle w:val="Compact"/>
        <w:numPr>
          <w:ilvl w:val="0"/>
          <w:numId w:val="1001"/>
        </w:numPr>
      </w:pPr>
      <w:hyperlink w:anchor="X967236564114ab35579b64b89e48653413377d9">
        <w:r>
          <w:rPr>
            <w:rStyle w:val="Hyperlink"/>
          </w:rPr>
          <w:t xml:space="preserve">Frontend Architecture</w:t>
        </w:r>
      </w:hyperlink>
    </w:p>
    <w:p>
      <w:pPr>
        <w:pStyle w:val="Compact"/>
        <w:numPr>
          <w:ilvl w:val="0"/>
          <w:numId w:val="1001"/>
        </w:numPr>
      </w:pPr>
      <w:hyperlink w:anchor="Xc9221a6ddd4c07822642f081abd20b27726ab38">
        <w:r>
          <w:rPr>
            <w:rStyle w:val="Hyperlink"/>
          </w:rPr>
          <w:t xml:space="preserve">Testing and Verification</w:t>
        </w:r>
      </w:hyperlink>
    </w:p>
    <w:p>
      <w:pPr>
        <w:pStyle w:val="Compact"/>
        <w:numPr>
          <w:ilvl w:val="0"/>
          <w:numId w:val="1001"/>
        </w:numPr>
      </w:pPr>
      <w:hyperlink w:anchor="Xe5c7dba4795f2da0d857d4e1d77d5802e4f67eb">
        <w:r>
          <w:rPr>
            <w:rStyle w:val="Hyperlink"/>
          </w:rPr>
          <w:t xml:space="preserve">Deployment and Environment</w:t>
        </w:r>
      </w:hyperlink>
    </w:p>
    <w:p>
      <w:pPr>
        <w:pStyle w:val="Compact"/>
        <w:numPr>
          <w:ilvl w:val="0"/>
          <w:numId w:val="1001"/>
        </w:numPr>
      </w:pPr>
      <w:hyperlink w:anchor="X9416f406131c98ceb57b3a5fd6a7443e5a5cff5">
        <w:r>
          <w:rPr>
            <w:rStyle w:val="Hyperlink"/>
          </w:rPr>
          <w:t xml:space="preserve">Known Technical Constraints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technology-stack"/>
    <w:p>
      <w:pPr>
        <w:pStyle w:val="Heading2"/>
      </w:pPr>
      <w:r>
        <w:t xml:space="preserve">1. Technology Stack</w:t>
      </w:r>
    </w:p>
    <w:bookmarkStart w:id="10" w:name="languages"/>
    <w:p>
      <w:pPr>
        <w:pStyle w:val="Heading3"/>
      </w:pPr>
      <w:r>
        <w:t xml:space="preserve">Languages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TypeScript (Node.js)</w:t>
            </w:r>
          </w:p>
        </w:tc>
        <w:tc>
          <w:tcPr/>
          <w:p>
            <w:pPr>
              <w:pStyle w:val="Compact"/>
            </w:pPr>
            <w:r>
              <w:t xml:space="preserve">5.x / Node 20+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migrations</w:t>
            </w:r>
          </w:p>
        </w:tc>
        <w:tc>
          <w:tcPr/>
          <w:p>
            <w:pPr>
              <w:pStyle w:val="Compact"/>
            </w:pPr>
            <w:r>
              <w:t xml:space="preserve">SQL (PostgreSQL dialect)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/ tooling</w:t>
            </w:r>
          </w:p>
        </w:tc>
        <w:tc>
          <w:tcPr/>
          <w:p>
            <w:pPr>
              <w:pStyle w:val="Compact"/>
            </w:pPr>
            <w:r>
              <w:t xml:space="preserve">Shell, 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"/>
    <w:bookmarkStart w:id="11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216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  <w:r>
              <w:t xml:space="preserve"> </w:t>
            </w: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UI component framework</w:t>
            </w:r>
          </w:p>
        </w:tc>
        <w:tc>
          <w:tcPr/>
          <w:p>
            <w:pPr>
              <w:pStyle w:val="Compact"/>
            </w:pPr>
            <w:r>
              <w:t xml:space="preserve">Concurrent mode, strict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Build tool and dev server</w:t>
            </w:r>
          </w:p>
        </w:tc>
        <w:tc>
          <w:tcPr/>
          <w:p>
            <w:pPr>
              <w:pStyle w:val="Compact"/>
            </w:pPr>
            <w:r>
              <w:t xml:space="preserve">HMR, fast cold starts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 Grid</w:t>
            </w:r>
            <w:r>
              <w:t xml:space="preserve"> </w:t>
            </w:r>
            <w:r>
              <w:t xml:space="preserve">(Community)</w:t>
            </w:r>
          </w:p>
        </w:tc>
        <w:tc>
          <w:tcPr/>
          <w:p>
            <w:pPr>
              <w:pStyle w:val="Compact"/>
            </w:pPr>
            <w:r>
              <w:t xml:space="preserve">Primary data grid</w:t>
            </w:r>
          </w:p>
        </w:tc>
        <w:tc>
          <w:tcPr/>
          <w:p>
            <w:pPr>
              <w:pStyle w:val="Compact"/>
            </w:pPr>
            <w:r>
              <w:t xml:space="preserve">Used on every main view;</w:t>
            </w:r>
            <w:r>
              <w:t xml:space="preserve"> </w:t>
            </w:r>
            <w:r>
              <w:rPr>
                <w:rStyle w:val="VerbatimChar"/>
              </w:rPr>
              <w:t xml:space="preserve">OperatorGrid</w:t>
            </w:r>
            <w:r>
              <w:t xml:space="preserve"> </w:t>
            </w:r>
            <w:r>
              <w:t xml:space="preserve">wrapper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UI state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useUiStore</w:t>
            </w:r>
            <w:r>
              <w:t xml:space="preserve"> </w:t>
            </w:r>
            <w:r>
              <w:t xml:space="preserve">— drawer state, view routing, palette,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TanStack Query</w:t>
            </w:r>
            <w:r>
              <w:t xml:space="preserve"> </w:t>
            </w: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Server state / cache</w:t>
            </w:r>
          </w:p>
        </w:tc>
        <w:tc>
          <w:tcPr/>
          <w:p>
            <w:pPr>
              <w:pStyle w:val="Compact"/>
            </w:pPr>
            <w:r>
              <w:t xml:space="preserve">Invalidated by Socket.io events after each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tRPC client</w:t>
            </w:r>
          </w:p>
        </w:tc>
        <w:tc>
          <w:tcPr/>
          <w:p>
            <w:pPr>
              <w:pStyle w:val="Compact"/>
            </w:pPr>
            <w:r>
              <w:t xml:space="preserve">Type-safe API calls</w:t>
            </w:r>
          </w:p>
        </w:tc>
        <w:tc>
          <w:tcPr/>
          <w:p>
            <w:pPr>
              <w:pStyle w:val="Compact"/>
            </w:pPr>
            <w:r>
              <w:t xml:space="preserve">Shares types with server via monorepo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Utility styling</w:t>
            </w:r>
          </w:p>
        </w:tc>
        <w:tc>
          <w:tcPr/>
          <w:p>
            <w:pPr>
              <w:pStyle w:val="Compact"/>
            </w:pPr>
            <w:r>
              <w:t xml:space="preserve">Hybrid with hand-written semantic CSS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Runtime schema validation</w:t>
            </w:r>
          </w:p>
        </w:tc>
        <w:tc>
          <w:tcPr/>
          <w:p>
            <w:pPr>
              <w:pStyle w:val="Compact"/>
            </w:pPr>
            <w:r>
              <w:t xml:space="preserve">Shared with server; payload schemas defined once</w:t>
            </w:r>
          </w:p>
        </w:tc>
      </w:tr>
    </w:tbl>
    <w:bookmarkEnd w:id="11"/>
    <w:bookmarkStart w:id="12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216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v20 LTS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HTTP server</w:t>
            </w:r>
          </w:p>
        </w:tc>
        <w:tc>
          <w:tcPr/>
          <w:p>
            <w:pPr>
              <w:pStyle w:val="Compact"/>
            </w:pPr>
            <w:r>
              <w:t xml:space="preserve">Minimal; mostly wraps tRPC adapter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tRPC</w:t>
            </w:r>
            <w:r>
              <w:t xml:space="preserve"> </w:t>
            </w:r>
            <w:r>
              <w:t xml:space="preserve">(v11)</w:t>
            </w:r>
          </w:p>
        </w:tc>
        <w:tc>
          <w:tcPr/>
          <w:p>
            <w:pPr>
              <w:pStyle w:val="Compact"/>
            </w:pPr>
            <w:r>
              <w:t xml:space="preserve">Type-safe RPC layer</w:t>
            </w:r>
          </w:p>
        </w:tc>
        <w:tc>
          <w:tcPr/>
          <w:p>
            <w:pPr>
              <w:pStyle w:val="Compact"/>
            </w:pPr>
            <w:r>
              <w:t xml:space="preserve">All queries and mutations routed through tRPC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Drizzle ORM</w:t>
            </w:r>
          </w:p>
        </w:tc>
        <w:tc>
          <w:tcPr/>
          <w:p>
            <w:pPr>
              <w:pStyle w:val="Compact"/>
            </w:pPr>
            <w:r>
              <w:t xml:space="preserve">Database access</w:t>
            </w:r>
          </w:p>
        </w:tc>
        <w:tc>
          <w:tcPr/>
          <w:p>
            <w:pPr>
              <w:pStyle w:val="Compact"/>
            </w:pPr>
            <w:r>
              <w:t xml:space="preserve">Schema-first, fully typed, SQL-close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Drizzle Kit</w:t>
            </w:r>
          </w:p>
        </w:tc>
        <w:tc>
          <w:tcPr/>
          <w:p>
            <w:pPr>
              <w:pStyle w:val="Compact"/>
            </w:pPr>
            <w:r>
              <w:t xml:space="preserve">Migration tooling</w:t>
            </w:r>
          </w:p>
        </w:tc>
        <w:tc>
          <w:tcPr/>
          <w:p>
            <w:pPr>
              <w:pStyle w:val="Compact"/>
            </w:pPr>
            <w:r>
              <w:t xml:space="preserve">Generates and runs SQL migration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Primary database</w:t>
            </w:r>
          </w:p>
        </w:tc>
        <w:tc>
          <w:tcPr/>
          <w:p>
            <w:pPr>
              <w:pStyle w:val="Compact"/>
            </w:pPr>
            <w:r>
              <w:t xml:space="preserve">All persistence; session store; command journal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Socket.io</w:t>
            </w:r>
          </w:p>
        </w:tc>
        <w:tc>
          <w:tcPr/>
          <w:p>
            <w:pPr>
              <w:pStyle w:val="Compact"/>
            </w:pPr>
            <w:r>
              <w:t xml:space="preserve">Real-time event push</w:t>
            </w:r>
          </w:p>
        </w:tc>
        <w:tc>
          <w:tcPr/>
          <w:p>
            <w:pPr>
              <w:pStyle w:val="Compact"/>
            </w:pPr>
            <w:r>
              <w:t xml:space="preserve">Server → all clients after every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Payload validation</w:t>
            </w:r>
          </w:p>
        </w:tc>
        <w:tc>
          <w:tcPr/>
          <w:p>
            <w:pPr>
              <w:pStyle w:val="Compact"/>
            </w:pPr>
            <w:r>
              <w:t xml:space="preserve">All command inputs validated before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express-session</w:t>
            </w:r>
          </w:p>
        </w:tc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PostgreSQL-backed session store</w:t>
            </w:r>
          </w:p>
        </w:tc>
      </w:tr>
    </w:tbl>
    <w:bookmarkEnd w:id="12"/>
    <w:bookmarkStart w:id="13" w:name="toolchain"/>
    <w:p>
      <w:pPr>
        <w:pStyle w:val="Heading3"/>
      </w:pPr>
      <w:r>
        <w:t xml:space="preserve">Toolchain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</w:t>
            </w:r>
          </w:p>
        </w:tc>
        <w:tc>
          <w:tcPr/>
          <w:p>
            <w:pPr>
              <w:pStyle w:val="Compact"/>
            </w:pPr>
            <w:r>
              <w:t xml:space="preserve">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tsx</w:t>
            </w:r>
          </w:p>
        </w:tc>
        <w:tc>
          <w:tcPr/>
          <w:p>
            <w:pPr>
              <w:pStyle w:val="Compact"/>
            </w:pPr>
            <w:r>
              <w:t xml:space="preserve">TypeScript execution for server 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/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E2E browser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</w:t>
            </w:r>
          </w:p>
        </w:tc>
        <w:tc>
          <w:tcPr/>
          <w:p>
            <w:pPr>
              <w:pStyle w:val="Compact"/>
            </w:pPr>
            <w:r>
              <w:t xml:space="preserve">Linting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6" w:name="system-architecture-overview"/>
    <w:p>
      <w:pPr>
        <w:pStyle w:val="Heading2"/>
      </w:pPr>
      <w:r>
        <w:t xml:space="preserve">2. System Architecture Overview</w:t>
      </w:r>
    </w:p>
    <w:p>
      <w:pPr>
        <w:pStyle w:val="FirstParagraph"/>
      </w:pPr>
      <w:r>
        <w:t xml:space="preserve">TERP Operator follows a</w:t>
      </w:r>
      <w:r>
        <w:t xml:space="preserve"> </w:t>
      </w:r>
      <w:r>
        <w:rPr>
          <w:b/>
          <w:bCs/>
        </w:rPr>
        <w:t xml:space="preserve">monolithic full-stack TypeScript</w:t>
      </w:r>
      <w:r>
        <w:t xml:space="preserve"> </w:t>
      </w:r>
      <w:r>
        <w:t xml:space="preserve">architecture with a clear separation between the command path (mutations) and the query path (reads).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React Client                    │</w:t>
      </w:r>
      <w:r>
        <w:br/>
      </w:r>
      <w:r>
        <w:rPr>
          <w:rStyle w:val="VerbatimChar"/>
        </w:rPr>
        <w:t xml:space="preserve">│  AG Grid views │ Zustand UI state │ TanStack Q  │</w:t>
      </w:r>
      <w:r>
        <w:br/>
      </w:r>
      <w:r>
        <w:rPr>
          <w:rStyle w:val="VerbatimChar"/>
        </w:rPr>
        <w:t xml:space="preserve">│         tRPC client │ Socket.io client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tRPC over HTTP</w:t>
      </w:r>
      <w:r>
        <w:br/>
      </w:r>
      <w:r>
        <w:rPr>
          <w:rStyle w:val="VerbatimChar"/>
        </w:rPr>
        <w:t xml:space="preserve">┌────────────────────▼────────────────────────────┐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Express + tRPC Server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  ┌──────────────────────┐  │</w:t>
      </w:r>
      <w:r>
        <w:br/>
      </w:r>
      <w:r>
        <w:rPr>
          <w:rStyle w:val="VerbatimChar"/>
        </w:rPr>
        <w:t xml:space="preserve">│  │  Query      │      │   Command Bus        │  │</w:t>
      </w:r>
      <w:r>
        <w:br/>
      </w:r>
      <w:r>
        <w:rPr>
          <w:rStyle w:val="VerbatimChar"/>
        </w:rPr>
        <w:t xml:space="preserve">│  │  Routers    │      │  (commandBus.ts)     │  │</w:t>
      </w:r>
      <w:r>
        <w:br/>
      </w:r>
      <w:r>
        <w:rPr>
          <w:rStyle w:val="VerbatimChar"/>
        </w:rPr>
        <w:t xml:space="preserve">│  │  (tRPC)     │      │  validate → RBAC →   │  │</w:t>
      </w:r>
      <w:r>
        <w:br/>
      </w:r>
      <w:r>
        <w:rPr>
          <w:rStyle w:val="VerbatimChar"/>
        </w:rPr>
        <w:t xml:space="preserve">│  │  reads only │      │  idempotency →       │  │</w:t>
      </w:r>
      <w:r>
        <w:br/>
      </w:r>
      <w:r>
        <w:rPr>
          <w:rStyle w:val="VerbatimChar"/>
        </w:rPr>
        <w:t xml:space="preserve">│  └──────┬──────┘      │  execute → journal → │  │</w:t>
      </w:r>
      <w:r>
        <w:br/>
      </w:r>
      <w:r>
        <w:rPr>
          <w:rStyle w:val="VerbatimChar"/>
        </w:rPr>
        <w:t xml:space="preserve">│         │             │  broadcast           │  │</w:t>
      </w:r>
      <w:r>
        <w:br/>
      </w:r>
      <w:r>
        <w:rPr>
          <w:rStyle w:val="VerbatimChar"/>
        </w:rPr>
        <w:t xml:space="preserve">│         │             └──────────┬───────────┘  │</w:t>
      </w:r>
      <w:r>
        <w:br/>
      </w:r>
      <w:r>
        <w:rPr>
          <w:rStyle w:val="VerbatimChar"/>
        </w:rPr>
        <w:t xml:space="preserve">│         │                        │               │</w:t>
      </w:r>
      <w:r>
        <w:br/>
      </w:r>
      <w:r>
        <w:rPr>
          <w:rStyle w:val="VerbatimChar"/>
        </w:rPr>
        <w:t xml:space="preserve">│  ┌──────▼────────────────────────▼──────────┐   │</w:t>
      </w:r>
      <w:r>
        <w:br/>
      </w:r>
      <w:r>
        <w:rPr>
          <w:rStyle w:val="VerbatimChar"/>
        </w:rPr>
        <w:t xml:space="preserve">│  │           Drizzle ORM + PostgreSQL        │   │</w:t>
      </w:r>
      <w:r>
        <w:br/>
      </w:r>
      <w:r>
        <w:rPr>
          <w:rStyle w:val="VerbatimChar"/>
        </w:rPr>
        <w:t xml:space="preserve">│  │  Tables │ commandJournal │ JSONL log file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         Socket.io Server               │   │</w:t>
      </w:r>
      <w:r>
        <w:br/>
      </w:r>
      <w:r>
        <w:rPr>
          <w:rStyle w:val="VerbatimChar"/>
        </w:rPr>
        <w:t xml:space="preserve">│  │  Emits: command:completed / failed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bookmarkStart w:id="15" w:name="key-design-decisions"/>
    <w:p>
      <w:pPr>
        <w:pStyle w:val="Heading3"/>
      </w:pPr>
      <w:r>
        <w:t xml:space="preserve">Key Design Decisions</w:t>
      </w:r>
    </w:p>
    <w:p>
      <w:pPr>
        <w:pStyle w:val="FirstParagraph"/>
      </w:pPr>
      <w:r>
        <w:rPr>
          <w:b/>
          <w:bCs/>
        </w:rPr>
        <w:t xml:space="preserve">CQRS-lite:</w:t>
      </w:r>
      <w:r>
        <w:t xml:space="preserve"> </w:t>
      </w:r>
      <w:r>
        <w:t xml:space="preserve">Reads (queries) go directly from tRPC router → Drizzle → PostgreSQL with no command bus involvement. Writes (mutations) always go through the command bus. This keeps reads fast and simple while giving writes a single choke point for validation, RBAC, idempotency, and auditing.</w:t>
      </w:r>
    </w:p>
    <w:p>
      <w:pPr>
        <w:pStyle w:val="BodyText"/>
      </w:pPr>
      <w:r>
        <w:rPr>
          <w:b/>
          <w:bCs/>
        </w:rPr>
        <w:t xml:space="preserve">Type-safety end-to-end:</w:t>
      </w:r>
      <w:r>
        <w:t xml:space="preserve"> </w:t>
      </w:r>
      <w:r>
        <w:t xml:space="preserve">TypeScript types defined once in</w:t>
      </w:r>
      <w:r>
        <w:t xml:space="preserve"> </w:t>
      </w:r>
      <w:r>
        <w:rPr>
          <w:rStyle w:val="VerbatimChar"/>
        </w:rPr>
        <w:t xml:space="preserve">src/shared/</w:t>
      </w:r>
      <w:r>
        <w:t xml:space="preserve"> </w:t>
      </w:r>
      <w:r>
        <w:t xml:space="preserve">are consumed by both the client and server. The</w:t>
      </w:r>
      <w:r>
        <w:t xml:space="preserve"> </w:t>
      </w:r>
      <w:r>
        <w:rPr>
          <w:rStyle w:val="VerbatimChar"/>
        </w:rPr>
        <w:t xml:space="preserve">CommandName</w:t>
      </w:r>
      <w:r>
        <w:t xml:space="preserve"> </w:t>
      </w:r>
      <w:r>
        <w:t xml:space="preserve">union type and Zod payload schemas live in</w:t>
      </w:r>
      <w:r>
        <w:t xml:space="preserve"> </w:t>
      </w:r>
      <w:r>
        <w:rPr>
          <w:rStyle w:val="VerbatimChar"/>
        </w:rPr>
        <w:t xml:space="preserve">src/shared/commandCatalog.ts</w:t>
      </w:r>
      <w:r>
        <w:t xml:space="preserve"> </w:t>
      </w:r>
      <w:r>
        <w:t xml:space="preserve">and are imported by both the tRPC router and the command bus. No runtime type drift is possible.</w:t>
      </w:r>
    </w:p>
    <w:p>
      <w:pPr>
        <w:pStyle w:val="BodyText"/>
      </w:pPr>
      <w:r>
        <w:rPr>
          <w:b/>
          <w:bCs/>
        </w:rPr>
        <w:t xml:space="preserve">No ORM magic for mutations:</w:t>
      </w:r>
      <w:r>
        <w:t xml:space="preserve"> </w:t>
      </w:r>
      <w:r>
        <w:t xml:space="preserve">Drizzle mutations are written explicitly in each command handler rather than using auto-generated CRUD. This makes the before/after snapshot capture and reversal logic clear and auditable.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command-system"/>
    <w:p>
      <w:pPr>
        <w:pStyle w:val="Heading2"/>
      </w:pPr>
      <w:r>
        <w:t xml:space="preserve">3. Command System</w:t>
      </w:r>
    </w:p>
    <w:p>
      <w:pPr>
        <w:pStyle w:val="FirstParagraph"/>
      </w:pPr>
      <w:r>
        <w:t xml:space="preserve">The command system is the central architectural pattern in TERP Operator. Every state mutation — from creating a PO to posting a sale to recording a payment — flows through the same typed pipeline.</w:t>
      </w:r>
    </w:p>
    <w:bookmarkStart w:id="17" w:name="command-definition"/>
    <w:p>
      <w:pPr>
        <w:pStyle w:val="Heading3"/>
      </w:pPr>
      <w:r>
        <w:t xml:space="preserve">3.1 Command Definition</w:t>
      </w:r>
    </w:p>
    <w:p>
      <w:pPr>
        <w:pStyle w:val="FirstParagraph"/>
      </w:pPr>
      <w:r>
        <w:t xml:space="preserve">Commands are defined in</w:t>
      </w:r>
      <w:r>
        <w:t xml:space="preserve"> </w:t>
      </w:r>
      <w:r>
        <w:rPr>
          <w:rStyle w:val="VerbatimChar"/>
        </w:rPr>
        <w:t xml:space="preserve">src/shared/commandCatalog.ts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Simplified structure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commandNames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'createBatch'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'postSalesOrder'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CommandName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commandNames[number]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Each command has:</w:t>
      </w:r>
      <w:r>
        <w:br/>
      </w:r>
      <w:r>
        <w:rPr>
          <w:rStyle w:val="CommentTok"/>
        </w:rPr>
        <w:t xml:space="preserve">// - A Zod payload schema (server-side validation)</w:t>
      </w:r>
      <w:r>
        <w:br/>
      </w:r>
      <w:r>
        <w:rPr>
          <w:rStyle w:val="CommentTok"/>
        </w:rPr>
        <w:t xml:space="preserve">// - A required role (RBAC gate)</w:t>
      </w:r>
      <w:r>
        <w:br/>
      </w:r>
      <w:r>
        <w:rPr>
          <w:rStyle w:val="CommentTok"/>
        </w:rPr>
        <w:t xml:space="preserve">// - A reversalPolicy: 'reversible' | 'offsettable' | 'terminal'</w:t>
      </w:r>
    </w:p>
    <w:p>
      <w:pPr>
        <w:pStyle w:val="FirstParagraph"/>
      </w:pPr>
      <w:r>
        <w:t xml:space="preserve">130 named commands exist as of 2026-06-01. Each command name is a string literal in the</w:t>
      </w:r>
      <w:r>
        <w:t xml:space="preserve"> </w:t>
      </w:r>
      <w:r>
        <w:rPr>
          <w:rStyle w:val="VerbatimChar"/>
        </w:rPr>
        <w:t xml:space="preserve">CommandName</w:t>
      </w:r>
      <w:r>
        <w:t xml:space="preserve"> </w:t>
      </w:r>
      <w:r>
        <w:t xml:space="preserve">union — adding a command requires adding it to the catalog first.</w:t>
      </w:r>
    </w:p>
    <w:bookmarkEnd w:id="17"/>
    <w:bookmarkStart w:id="18" w:name="execution-pipeline"/>
    <w:p>
      <w:pPr>
        <w:pStyle w:val="Heading3"/>
      </w:pPr>
      <w:r>
        <w:t xml:space="preserve">3.2 Execution Pipeline</w:t>
      </w:r>
    </w:p>
    <w:p>
      <w:pPr>
        <w:pStyle w:val="FirstParagraph"/>
      </w:pPr>
      <w:r>
        <w:t xml:space="preserve">The command bus in</w:t>
      </w:r>
      <w:r>
        <w:t xml:space="preserve"> </w:t>
      </w:r>
      <w:r>
        <w:rPr>
          <w:rStyle w:val="VerbatimChar"/>
        </w:rPr>
        <w:t xml:space="preserve">src/server/services/commandBus.ts</w:t>
      </w:r>
      <w:r>
        <w:t xml:space="preserve"> </w:t>
      </w:r>
      <w:r>
        <w:t xml:space="preserve">executes the following steps for every command:</w:t>
      </w:r>
    </w:p>
    <w:p>
      <w:pPr>
        <w:pStyle w:val="SourceCode"/>
      </w:pPr>
      <w:r>
        <w:rPr>
          <w:rStyle w:val="VerbatimChar"/>
        </w:rPr>
        <w:t xml:space="preserve">1. PARSE</w:t>
      </w:r>
      <w:r>
        <w:br/>
      </w:r>
      <w:r>
        <w:rPr>
          <w:rStyle w:val="VerbatimChar"/>
        </w:rPr>
        <w:t xml:space="preserve">   Zod schema validates the raw payload.</w:t>
      </w:r>
      <w:r>
        <w:br/>
      </w:r>
      <w:r>
        <w:rPr>
          <w:rStyle w:val="VerbatimChar"/>
        </w:rPr>
        <w:t xml:space="preserve">   Any type mismatch or missing field → throws before any DB access.</w:t>
      </w:r>
      <w:r>
        <w:br/>
      </w:r>
      <w:r>
        <w:br/>
      </w:r>
      <w:r>
        <w:rPr>
          <w:rStyle w:val="VerbatimChar"/>
        </w:rPr>
        <w:t xml:space="preserve">2. RBAC CHECK</w:t>
      </w:r>
      <w:r>
        <w:br/>
      </w:r>
      <w:r>
        <w:rPr>
          <w:rStyle w:val="VerbatimChar"/>
        </w:rPr>
        <w:t xml:space="preserve">   assertCommandAccess(commandName, actor.role) → throws if role insufficient.</w:t>
      </w:r>
      <w:r>
        <w:br/>
      </w:r>
      <w:r>
        <w:rPr>
          <w:rStyle w:val="VerbatimChar"/>
        </w:rPr>
        <w:t xml:space="preserve">   Defined in src/server/rbac.ts.</w:t>
      </w:r>
      <w:r>
        <w:br/>
      </w:r>
      <w:r>
        <w:br/>
      </w:r>
      <w:r>
        <w:rPr>
          <w:rStyle w:val="VerbatimChar"/>
        </w:rPr>
        <w:t xml:space="preserve">3. IDEMPOTENCY CHECK</w:t>
      </w:r>
      <w:r>
        <w:br/>
      </w:r>
      <w:r>
        <w:rPr>
          <w:rStyle w:val="VerbatimChar"/>
        </w:rPr>
        <w:t xml:space="preserve">   SELECT FROM commandJournal WHERE idempotencyKey = $key</w:t>
      </w:r>
      <w:r>
        <w:br/>
      </w:r>
      <w:r>
        <w:rPr>
          <w:rStyle w:val="VerbatimChar"/>
        </w:rPr>
        <w:t xml:space="preserve">   If found with status 'ok' → return cached result immediately (no DB mutation).</w:t>
      </w:r>
      <w:r>
        <w:br/>
      </w:r>
      <w:r>
        <w:rPr>
          <w:rStyle w:val="VerbatimChar"/>
        </w:rPr>
        <w:t xml:space="preserve">   If found with status 'failed' → allow retry (new execution proceeds).</w:t>
      </w:r>
      <w:r>
        <w:br/>
      </w:r>
      <w:r>
        <w:rPr>
          <w:rStyle w:val="VerbatimChar"/>
        </w:rPr>
        <w:t xml:space="preserve">   If not found → proceed.</w:t>
      </w:r>
      <w:r>
        <w:br/>
      </w:r>
      <w:r>
        <w:br/>
      </w:r>
      <w:r>
        <w:rPr>
          <w:rStyle w:val="VerbatimChar"/>
        </w:rPr>
        <w:t xml:space="preserve">4. BEFORE SNAPSHOT</w:t>
      </w:r>
      <w:r>
        <w:br/>
      </w:r>
      <w:r>
        <w:rPr>
          <w:rStyle w:val="VerbatimChar"/>
        </w:rPr>
        <w:t xml:space="preserve">   Read current state of affected rows from DB.</w:t>
      </w:r>
      <w:r>
        <w:br/>
      </w:r>
      <w:r>
        <w:rPr>
          <w:rStyle w:val="VerbatimChar"/>
        </w:rPr>
        <w:t xml:space="preserve">   Stored as JSON in commandJournal.beforeSnapshot.</w:t>
      </w:r>
      <w:r>
        <w:br/>
      </w:r>
      <w:r>
        <w:br/>
      </w:r>
      <w:r>
        <w:rPr>
          <w:rStyle w:val="VerbatimChar"/>
        </w:rPr>
        <w:t xml:space="preserve">5. EXECUTE HANDLER</w:t>
      </w:r>
      <w:r>
        <w:br/>
      </w:r>
      <w:r>
        <w:rPr>
          <w:rStyle w:val="VerbatimChar"/>
        </w:rPr>
        <w:t xml:space="preserve">   Command-specific handler runs inside a DB transaction.</w:t>
      </w:r>
      <w:r>
        <w:br/>
      </w:r>
      <w:r>
        <w:rPr>
          <w:rStyle w:val="VerbatimChar"/>
        </w:rPr>
        <w:t xml:space="preserve">   Drizzle ORM performs the actual inserts/updates/deletes.</w:t>
      </w:r>
      <w:r>
        <w:br/>
      </w:r>
      <w:r>
        <w:br/>
      </w:r>
      <w:r>
        <w:rPr>
          <w:rStyle w:val="VerbatimChar"/>
        </w:rPr>
        <w:t xml:space="preserve">6. AFTER SNAPSHOT</w:t>
      </w:r>
      <w:r>
        <w:br/>
      </w:r>
      <w:r>
        <w:rPr>
          <w:rStyle w:val="VerbatimChar"/>
        </w:rPr>
        <w:t xml:space="preserve">   Read updated state of affected rows from DB.</w:t>
      </w:r>
      <w:r>
        <w:br/>
      </w:r>
      <w:r>
        <w:rPr>
          <w:rStyle w:val="VerbatimChar"/>
        </w:rPr>
        <w:t xml:space="preserve">   Stored as JSON in commandJournal.afterSnapshot.</w:t>
      </w:r>
      <w:r>
        <w:br/>
      </w:r>
      <w:r>
        <w:br/>
      </w:r>
      <w:r>
        <w:rPr>
          <w:rStyle w:val="VerbatimChar"/>
        </w:rPr>
        <w:t xml:space="preserve">7. JOURNAL WRITE</w:t>
      </w:r>
      <w:r>
        <w:br/>
      </w:r>
      <w:r>
        <w:rPr>
          <w:rStyle w:val="VerbatimChar"/>
        </w:rPr>
        <w:t xml:space="preserve">   INSERT INTO commandJournal:</w:t>
      </w:r>
      <w:r>
        <w:br/>
      </w:r>
      <w:r>
        <w:rPr>
          <w:rStyle w:val="VerbatimChar"/>
        </w:rPr>
        <w:t xml:space="preserve">     - commandName, idempotencyKey, actorId</w:t>
      </w:r>
      <w:r>
        <w:br/>
      </w:r>
      <w:r>
        <w:rPr>
          <w:rStyle w:val="VerbatimChar"/>
        </w:rPr>
        <w:t xml:space="preserve">     - status: 'ok' | 'failed'</w:t>
      </w:r>
      <w:r>
        <w:br/>
      </w:r>
      <w:r>
        <w:rPr>
          <w:rStyle w:val="VerbatimChar"/>
        </w:rPr>
        <w:t xml:space="preserve">     - inputPayload (verbatim — stored for replay-safe retry)</w:t>
      </w:r>
      <w:r>
        <w:br/>
      </w:r>
      <w:r>
        <w:rPr>
          <w:rStyle w:val="VerbatimChar"/>
        </w:rPr>
        <w:t xml:space="preserve">     - beforeSnapshot, afterSnapshot, result</w:t>
      </w:r>
      <w:r>
        <w:br/>
      </w:r>
      <w:r>
        <w:br/>
      </w:r>
      <w:r>
        <w:rPr>
          <w:rStyle w:val="VerbatimChar"/>
        </w:rPr>
        <w:t xml:space="preserve">8. JSONL APPEND</w:t>
      </w:r>
      <w:r>
        <w:br/>
      </w:r>
      <w:r>
        <w:rPr>
          <w:rStyle w:val="VerbatimChar"/>
        </w:rPr>
        <w:t xml:space="preserve">   Append-only write to on-disk JSONL file (offline audit trail).</w:t>
      </w:r>
      <w:r>
        <w:br/>
      </w:r>
      <w:r>
        <w:br/>
      </w:r>
      <w:r>
        <w:rPr>
          <w:rStyle w:val="VerbatimChar"/>
        </w:rPr>
        <w:t xml:space="preserve">9. SOCKET.IO BROADCAST</w:t>
      </w:r>
      <w:r>
        <w:br/>
      </w:r>
      <w:r>
        <w:rPr>
          <w:rStyle w:val="VerbatimChar"/>
        </w:rPr>
        <w:t xml:space="preserve">   emit('command:completed', { commandName, result }) to all connected clients.</w:t>
      </w:r>
      <w:r>
        <w:br/>
      </w:r>
      <w:r>
        <w:rPr>
          <w:rStyle w:val="VerbatimChar"/>
        </w:rPr>
        <w:t xml:space="preserve">   OR emit('command:failed', { commandName, error }) on failure.</w:t>
      </w:r>
      <w:r>
        <w:br/>
      </w:r>
      <w:r>
        <w:br/>
      </w:r>
      <w:r>
        <w:rPr>
          <w:rStyle w:val="VerbatimChar"/>
        </w:rPr>
        <w:t xml:space="preserve">10. RETURN</w:t>
      </w:r>
      <w:r>
        <w:br/>
      </w:r>
      <w:r>
        <w:rPr>
          <w:rStyle w:val="VerbatimChar"/>
        </w:rPr>
        <w:t xml:space="preserve">    Result returned to tRPC caller → client shows toast, invalidates cache.</w:t>
      </w:r>
    </w:p>
    <w:bookmarkEnd w:id="18"/>
    <w:bookmarkStart w:id="19" w:name="idempotency-key-format"/>
    <w:p>
      <w:pPr>
        <w:pStyle w:val="Heading3"/>
      </w:pPr>
      <w:r>
        <w:t xml:space="preserve">3.3 Idempotency Key Format</w:t>
      </w:r>
    </w:p>
    <w:p>
      <w:pPr>
        <w:pStyle w:val="FirstParagraph"/>
      </w:pPr>
      <w:r>
        <w:t xml:space="preserve">Clients generate idempotency keys as:</w:t>
      </w:r>
      <w:r>
        <w:t xml:space="preserve"> </w:t>
      </w:r>
      <w:r>
        <w:rPr>
          <w:rStyle w:val="VerbatimChar"/>
        </w:rPr>
        <w:t xml:space="preserve">${commandName}-${uuidv4()}</w:t>
      </w:r>
      <w:r>
        <w:t xml:space="preserve">. The UUID is generated fresh for each user-initiated command invocation. Keys are stored in</w:t>
      </w:r>
      <w:r>
        <w:t xml:space="preserve"> </w:t>
      </w:r>
      <w:r>
        <w:rPr>
          <w:rStyle w:val="VerbatimChar"/>
        </w:rPr>
        <w:t xml:space="preserve">commandJournal.idempotencyKey</w:t>
      </w:r>
      <w:r>
        <w:t xml:space="preserve"> </w:t>
      </w:r>
      <w:r>
        <w:t xml:space="preserve">with a unique index — duplicate keys cannot be inserted.</w:t>
      </w:r>
    </w:p>
    <w:p>
      <w:pPr>
        <w:pStyle w:val="BodyText"/>
      </w:pPr>
      <w:r>
        <w:t xml:space="preserve">On network retry (same key resent), the bus returns the cached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from the first successful execution. This prevents double-posting, double-payments, and duplicate inventory.</w:t>
      </w:r>
    </w:p>
    <w:bookmarkEnd w:id="19"/>
    <w:bookmarkStart w:id="20" w:name="reversal-policy"/>
    <w:p>
      <w:pPr>
        <w:pStyle w:val="Heading3"/>
      </w:pPr>
      <w:r>
        <w:t xml:space="preserve">3.4 Reversal Policy</w:t>
      </w:r>
    </w:p>
    <w:p>
      <w:pPr>
        <w:pStyle w:val="FirstParagraph"/>
      </w:pPr>
      <w:r>
        <w:t xml:space="preserve">Each command has one of three reversal policies: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09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 commands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reversible</w:t>
            </w:r>
          </w:p>
        </w:tc>
        <w:tc>
          <w:tcPr/>
          <w:p>
            <w:pPr>
              <w:pStyle w:val="Compact"/>
            </w:pPr>
            <w:r>
              <w:t xml:space="preserve">Full compensating undo exists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recordVendorPayment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offsettable</w:t>
            </w:r>
          </w:p>
        </w:tc>
        <w:tc>
          <w:tcPr/>
          <w:p>
            <w:pPr>
              <w:pStyle w:val="Compact"/>
            </w:pPr>
            <w:r>
              <w:t xml:space="preserve">No programmatic undo; use</w:t>
            </w:r>
            <w:r>
              <w:t xml:space="preserve"> </w:t>
            </w:r>
            <w:r>
              <w:rPr>
                <w:rStyle w:val="VerbatimChar"/>
              </w:rPr>
              <w:t xml:space="preserve">createCorrectionJournalEntry</w:t>
            </w:r>
          </w:p>
        </w:tc>
        <w:tc>
          <w:tcPr/>
          <w:p>
            <w:pPr>
              <w:pStyle w:val="Compact"/>
            </w:pPr>
            <w:r>
              <w:t xml:space="preserve">Some config commands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Cannot be undone in the 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archivePeriod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command reads the original command’s</w:t>
      </w:r>
      <w:r>
        <w:t xml:space="preserve"> </w:t>
      </w:r>
      <w:r>
        <w:rPr>
          <w:rStyle w:val="VerbatimChar"/>
        </w:rPr>
        <w:t xml:space="preserve">reversalPolicy</w:t>
      </w:r>
      <w:r>
        <w:t xml:space="preserve"> </w:t>
      </w:r>
      <w:r>
        <w:t xml:space="preserve">and executes the appropriate inverse logic. Reversal logic is hand-crafted per command (a large</w:t>
      </w:r>
      <w:r>
        <w:t xml:space="preserve"> </w:t>
      </w:r>
      <w:r>
        <w:rPr>
          <w:rStyle w:val="VerbatimChar"/>
        </w:rPr>
        <w:t xml:space="preserve">if/else if</w:t>
      </w:r>
      <w:r>
        <w:t xml:space="preserve"> </w:t>
      </w:r>
      <w:r>
        <w:t xml:space="preserve">block in the reversal handler) using the stored</w:t>
      </w:r>
      <w:r>
        <w:t xml:space="preserve"> </w:t>
      </w:r>
      <w:r>
        <w:rPr>
          <w:rStyle w:val="VerbatimChar"/>
        </w:rPr>
        <w:t xml:space="preserve">beforeSnapshot</w:t>
      </w:r>
      <w:r>
        <w:t xml:space="preserve"> </w:t>
      </w:r>
      <w:r>
        <w:t xml:space="preserve">to restore prior state.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database-design"/>
    <w:p>
      <w:pPr>
        <w:pStyle w:val="Heading2"/>
      </w:pPr>
      <w:r>
        <w:t xml:space="preserve">4. Database Design</w:t>
      </w:r>
    </w:p>
    <w:bookmarkStart w:id="22" w:name="engine"/>
    <w:p>
      <w:pPr>
        <w:pStyle w:val="Heading3"/>
      </w:pPr>
      <w:r>
        <w:t xml:space="preserve">4.1 Engine</w:t>
      </w:r>
    </w:p>
    <w:p>
      <w:pPr>
        <w:pStyle w:val="FirstParagraph"/>
      </w:pPr>
      <w:r>
        <w:rPr>
          <w:b/>
          <w:bCs/>
        </w:rPr>
        <w:t xml:space="preserve">PostgreSQL</w:t>
      </w:r>
      <w:r>
        <w:t xml:space="preserve"> </w:t>
      </w:r>
      <w:r>
        <w:t xml:space="preserve">(v14+). Managed via</w:t>
      </w:r>
      <w:r>
        <w:t xml:space="preserve"> </w:t>
      </w:r>
      <w:r>
        <w:rPr>
          <w:b/>
          <w:bCs/>
        </w:rPr>
        <w:t xml:space="preserve">Drizzle ORM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Drizzle Kit</w:t>
      </w:r>
      <w:r>
        <w:t xml:space="preserve"> </w:t>
      </w:r>
      <w:r>
        <w:t xml:space="preserve">for migrations.</w:t>
      </w:r>
    </w:p>
    <w:p>
      <w:pPr>
        <w:pStyle w:val="BodyText"/>
      </w:pPr>
      <w:r>
        <w:t xml:space="preserve">All migrations live in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as numbered SQL files (e.g.,</w:t>
      </w:r>
      <w:r>
        <w:t xml:space="preserve"> </w:t>
      </w:r>
      <w:r>
        <w:rPr>
          <w:rStyle w:val="VerbatimChar"/>
        </w:rPr>
        <w:t xml:space="preserve">0001_initial.sql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0002_workflow_gap_closure.sql</w:t>
      </w:r>
      <w:r>
        <w:t xml:space="preserve">). Migrations are applied with</w:t>
      </w:r>
      <w:r>
        <w:t xml:space="preserve"> </w:t>
      </w:r>
      <w:r>
        <w:rPr>
          <w:rStyle w:val="VerbatimChar"/>
        </w:rPr>
        <w:t xml:space="preserve">pnpm db:migrate</w:t>
      </w:r>
      <w:r>
        <w:t xml:space="preserve"> </w:t>
      </w:r>
      <w:r>
        <w:t xml:space="preserve">and are idempotent (safe to run on every session start).</w:t>
      </w:r>
    </w:p>
    <w:bookmarkEnd w:id="22"/>
    <w:bookmarkStart w:id="23" w:name="schema-patterns"/>
    <w:p>
      <w:pPr>
        <w:pStyle w:val="Heading3"/>
      </w:pPr>
      <w:r>
        <w:t xml:space="preserve">4.2 Schema Patterns</w:t>
      </w:r>
    </w:p>
    <w:p>
      <w:pPr>
        <w:pStyle w:val="FirstParagraph"/>
      </w:pPr>
      <w:r>
        <w:rPr>
          <w:b/>
          <w:bCs/>
        </w:rPr>
        <w:t xml:space="preserve">Status columns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varchar</w:t>
      </w:r>
      <w:r>
        <w:rPr>
          <w:b/>
          <w:bCs/>
        </w:rPr>
        <w:t xml:space="preserve">:</w:t>
      </w:r>
      <w:r>
        <w:t xml:space="preserve"> </w:t>
      </w:r>
      <w:r>
        <w:t xml:space="preserve">The system uses</w:t>
      </w:r>
      <w:r>
        <w:t xml:space="preserve"> </w:t>
      </w:r>
      <w:r>
        <w:rPr>
          <w:rStyle w:val="VerbatimChar"/>
        </w:rPr>
        <w:t xml:space="preserve">varchar(32)</w:t>
      </w:r>
      <w:r>
        <w:t xml:space="preserve"> </w:t>
      </w:r>
      <w:r>
        <w:t xml:space="preserve">for all status columns rather than PostgreSQL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types. This was a deliberate decision to allow adding new statuses without blocking migrations. Business-rule enforcement happens in application code (Zod schemas, command handlers) and DB CHECK constraints, not at the ENUM level.</w:t>
      </w:r>
    </w:p>
    <w:p>
      <w:pPr>
        <w:pStyle w:val="BodyText"/>
      </w:pPr>
      <w:r>
        <w:rPr>
          <w:b/>
          <w:bCs/>
        </w:rPr>
        <w:t xml:space="preserve">CHECK constraints for business rules:</w:t>
      </w:r>
      <w:r>
        <w:t xml:space="preserve"> </w:t>
      </w:r>
      <w:r>
        <w:t xml:space="preserve">Where status transitions or value relationships must be guaranteed at the lowest level, SQL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constraints are used. Examples: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purchase_order_lines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 ((unit_cost &gt; 0 AND cost_range_low IS NULL AND cost_range_high IS NULL) OR (unit_cost = 0 AND cost_range_low &gt; 0 AND cost_range_high &gt; 0 AND cost_range_low &lt;= cost_range_high))</w:t>
      </w:r>
      <w:r>
        <w:t xml:space="preserve"> </w:t>
      </w:r>
      <w:r>
        <w:t xml:space="preserve">— enforces the mutual-exclusivity of fixed cost and cost range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payment_allocations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 (amount &gt; 0)</w:t>
      </w:r>
      <w:r>
        <w:t xml:space="preserve"> </w:t>
      </w:r>
      <w:r>
        <w:t xml:space="preserve">— prevents zero-dollar allocations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credit_engine_stances</w:t>
      </w:r>
      <w:r>
        <w:t xml:space="preserve">: Weights must sum to 100</w:t>
      </w:r>
    </w:p>
    <w:p>
      <w:pPr>
        <w:pStyle w:val="BodyText"/>
      </w:pPr>
      <w:r>
        <w:rPr>
          <w:b/>
          <w:bCs/>
        </w:rPr>
        <w:t xml:space="preserve">Unique indices for business uniqueness:</w:t>
      </w:r>
      <w:r>
        <w:t xml:space="preserve"> </w:t>
      </w:r>
      <w:r>
        <w:t xml:space="preserve">Database-level unique indices enforce one-of constraints: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batch_media_primary_photo_unique</w:t>
      </w:r>
      <w:r>
        <w:t xml:space="preserve">: Only one active published primary photo per batch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credit_recompute_queue_pending_unique</w:t>
      </w:r>
      <w:r>
        <w:t xml:space="preserve">: One pending recompute per customer at a time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commandJournal.idempotencyKey</w:t>
      </w:r>
      <w:r>
        <w:t xml:space="preserve">: Unique across all commands</w:t>
      </w:r>
    </w:p>
    <w:p>
      <w:pPr>
        <w:pStyle w:val="BodyText"/>
      </w:pPr>
      <w:r>
        <w:rPr>
          <w:b/>
          <w:bCs/>
        </w:rPr>
        <w:t xml:space="preserve">Append-only tables:</w:t>
      </w:r>
      <w:r>
        <w:t xml:space="preserve"> </w:t>
      </w:r>
      <w:r>
        <w:t xml:space="preserve">Configuration history is append-only (never updated). Examples:</w:t>
      </w:r>
      <w:r>
        <w:t xml:space="preserve"> </w:t>
      </w:r>
      <w:r>
        <w:rPr>
          <w:rStyle w:val="VerbatimChar"/>
        </w:rPr>
        <w:t xml:space="preserve">credit_engine_config_history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credit_engine_stance_history</w:t>
      </w:r>
      <w:r>
        <w:t xml:space="preserve">. Each configuration change inserts a new row with a timestamp. Current config is always the most recent row.</w:t>
      </w:r>
    </w:p>
    <w:p>
      <w:pPr>
        <w:pStyle w:val="BodyText"/>
      </w:pPr>
      <w:r>
        <w:rPr>
          <w:rStyle w:val="VerbatimChar"/>
          <w:b/>
          <w:bCs/>
        </w:rPr>
        <w:t xml:space="preserve">ON DELETE RESTRICT</w:t>
      </w:r>
      <w:r>
        <w:rPr>
          <w:b/>
          <w:bCs/>
        </w:rPr>
        <w:t xml:space="preserve"> </w:t>
      </w:r>
      <w:r>
        <w:rPr>
          <w:b/>
          <w:bCs/>
        </w:rPr>
        <w:t xml:space="preserve">foreign keys:</w:t>
      </w:r>
      <w:r>
        <w:t xml:space="preserve"> </w:t>
      </w:r>
      <w:r>
        <w:t xml:space="preserve">Critical relationships (e.g.,</w:t>
      </w:r>
      <w:r>
        <w:t xml:space="preserve"> </w:t>
      </w:r>
      <w:r>
        <w:rPr>
          <w:rStyle w:val="VerbatimChar"/>
        </w:rPr>
        <w:t xml:space="preserve">purchaseOrders.vendorId</w:t>
      </w:r>
      <w:r>
        <w:t xml:space="preserve">) use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 </w:t>
      </w:r>
      <w:r>
        <w:t xml:space="preserve">to prevent cascade deletes from silently corrupting referential integrity.</w:t>
      </w:r>
    </w:p>
    <w:bookmarkEnd w:id="23"/>
    <w:bookmarkStart w:id="24" w:name="core-table-relationships"/>
    <w:p>
      <w:pPr>
        <w:pStyle w:val="Heading3"/>
      </w:pPr>
      <w:r>
        <w:t xml:space="preserve">4.3 Core Table Relationships</w:t>
      </w:r>
    </w:p>
    <w:p>
      <w:pPr>
        <w:pStyle w:val="SourceCode"/>
      </w:pPr>
      <w:r>
        <w:rPr>
          <w:rStyle w:val="VerbatimChar"/>
        </w:rPr>
        <w:t xml:space="preserve">vendors ──────────────────────── purchaseOrders ──── purchaseOrderLines</w:t>
      </w:r>
      <w:r>
        <w:br/>
      </w:r>
      <w:r>
        <w:rPr>
          <w:rStyle w:val="VerbatimChar"/>
        </w:rPr>
        <w:t xml:space="preserve">   │                                    │</w:t>
      </w:r>
      <w:r>
        <w:br/>
      </w:r>
      <w:r>
        <w:rPr>
          <w:rStyle w:val="VerbatimChar"/>
        </w:rPr>
        <w:t xml:space="preserve">   └── vendorBills ◄───────────── batches (inventory)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customers ──── salesOrders ──── salesOrderLines ──── invoices</w:t>
      </w:r>
      <w:r>
        <w:br/>
      </w:r>
      <w:r>
        <w:rPr>
          <w:rStyle w:val="VerbatimChar"/>
        </w:rPr>
        <w:t xml:space="preserve">    │               │</w:t>
      </w:r>
      <w:r>
        <w:br/>
      </w:r>
      <w:r>
        <w:rPr>
          <w:rStyle w:val="VerbatimChar"/>
        </w:rPr>
        <w:t xml:space="preserve">    │               └── pickLists ──── fulfillmentLines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payments ──── paymentAllocations ──── invoices</w:t>
      </w:r>
      <w:r>
        <w:br/>
      </w:r>
      <w:r>
        <w:br/>
      </w:r>
      <w:r>
        <w:rPr>
          <w:rStyle w:val="VerbatimChar"/>
        </w:rPr>
        <w:t xml:space="preserve">users ──── commandJournal (actorId)</w:t>
      </w:r>
      <w:r>
        <w:br/>
      </w:r>
      <w:r>
        <w:rPr>
          <w:rStyle w:val="VerbatimChar"/>
        </w:rPr>
        <w:t xml:space="preserve">commandJournal ──── commandJournal (reversedByCommandId, self-ref)</w:t>
      </w:r>
      <w:r>
        <w:br/>
      </w:r>
      <w:r>
        <w:br/>
      </w:r>
      <w:r>
        <w:rPr>
          <w:rStyle w:val="VerbatimChar"/>
        </w:rPr>
        <w:t xml:space="preserve">contacts ──── customers (contactId)</w:t>
      </w:r>
      <w:r>
        <w:br/>
      </w:r>
      <w:r>
        <w:rPr>
          <w:rStyle w:val="VerbatimChar"/>
        </w:rPr>
        <w:t xml:space="preserve">contacts ──── vendors (contactId)</w:t>
      </w:r>
      <w:r>
        <w:br/>
      </w:r>
      <w:r>
        <w:rPr>
          <w:rStyle w:val="VerbatimChar"/>
        </w:rPr>
        <w:t xml:space="preserve">contacts ──── users (contactId)</w:t>
      </w:r>
      <w:r>
        <w:br/>
      </w:r>
      <w:r>
        <w:rPr>
          <w:rStyle w:val="VerbatimChar"/>
        </w:rPr>
        <w:t xml:space="preserve">contacts ──── appointments</w:t>
      </w:r>
    </w:p>
    <w:bookmarkEnd w:id="24"/>
    <w:bookmarkStart w:id="25" w:name="key-tables"/>
    <w:p>
      <w:pPr>
        <w:pStyle w:val="Heading3"/>
      </w:pPr>
      <w:r>
        <w:t xml:space="preserve">4.4 Key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178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Rows hold</w:t>
            </w:r>
          </w:p>
        </w:tc>
        <w:tc>
          <w:tcPr/>
          <w:p>
            <w:pPr>
              <w:pStyle w:val="Compact"/>
            </w:pPr>
            <w:r>
              <w:t xml:space="preserve">Typical write pattern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commandJournal</w:t>
            </w:r>
          </w:p>
        </w:tc>
        <w:tc>
          <w:tcPr/>
          <w:p>
            <w:pPr>
              <w:pStyle w:val="Compact"/>
            </w:pPr>
            <w:r>
              <w:t xml:space="preserve">Every mutation ever executed</w:t>
            </w:r>
          </w:p>
        </w:tc>
        <w:tc>
          <w:tcPr/>
          <w:p>
            <w:pPr>
              <w:pStyle w:val="Compact"/>
            </w:pPr>
            <w:r>
              <w:t xml:space="preserve">Append-only; never updated except</w:t>
            </w:r>
            <w:r>
              <w:t xml:space="preserve"> </w:t>
            </w:r>
            <w:r>
              <w:rPr>
                <w:rStyle w:val="VerbatimChar"/>
              </w:rPr>
              <w:t xml:space="preserve">reversedByCommandId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batches</w:t>
            </w:r>
          </w:p>
        </w:tc>
        <w:tc>
          <w:tcPr/>
          <w:p>
            <w:pPr>
              <w:pStyle w:val="Compact"/>
            </w:pPr>
            <w:r>
              <w:t xml:space="preserve">Inventory lots</w:t>
            </w:r>
          </w:p>
        </w:tc>
        <w:tc>
          <w:tcPr/>
          <w:p>
            <w:pPr>
              <w:pStyle w:val="Compact"/>
            </w:pPr>
            <w:r>
              <w:t xml:space="preserve">Created at intake; qty updated as sold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salesOrders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salesOrderLines</w:t>
            </w:r>
          </w:p>
        </w:tc>
        <w:tc>
          <w:tcPr/>
          <w:p>
            <w:pPr>
              <w:pStyle w:val="Compact"/>
            </w:pPr>
            <w:r>
              <w:t xml:space="preserve">Customer orders</w:t>
            </w:r>
          </w:p>
        </w:tc>
        <w:tc>
          <w:tcPr/>
          <w:p>
            <w:pPr>
              <w:pStyle w:val="Compact"/>
            </w:pPr>
            <w:r>
              <w:t xml:space="preserve">Status column updated at each lifecycle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Financial invoices</w:t>
            </w:r>
          </w:p>
        </w:tc>
        <w:tc>
          <w:tcPr/>
          <w:p>
            <w:pPr>
              <w:pStyle w:val="Compact"/>
            </w:pPr>
            <w:r>
              <w:t xml:space="preserve">Created at</w:t>
            </w:r>
            <w:r>
              <w:t xml:space="preserve"> </w:t>
            </w:r>
            <w:r>
              <w:rPr>
                <w:rStyle w:val="VerbatimChar"/>
              </w:rPr>
              <w:t xml:space="preserve">postSalesOrder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amountPaid</w:t>
            </w:r>
            <w:r>
              <w:t xml:space="preserve"> </w:t>
            </w:r>
            <w:r>
              <w:t xml:space="preserve">updated by payments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paymentAllocations</w:t>
            </w:r>
          </w:p>
        </w:tc>
        <w:tc>
          <w:tcPr/>
          <w:p>
            <w:pPr>
              <w:pStyle w:val="Compact"/>
            </w:pPr>
            <w:r>
              <w:t xml:space="preserve">Customer payments</w:t>
            </w:r>
          </w:p>
        </w:tc>
        <w:tc>
          <w:tcPr/>
          <w:p>
            <w:pPr>
              <w:pStyle w:val="Compact"/>
            </w:pPr>
            <w:r>
              <w:t xml:space="preserve">Append-only allocations; payment status updated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vendorBills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vendorPayments</w:t>
            </w:r>
          </w:p>
        </w:tc>
        <w:tc>
          <w:tcPr/>
          <w:p>
            <w:pPr>
              <w:pStyle w:val="Compact"/>
            </w:pPr>
            <w:r>
              <w:t xml:space="preserve">AP obligations</w:t>
            </w:r>
          </w:p>
        </w:tc>
        <w:tc>
          <w:tcPr/>
          <w:p>
            <w:pPr>
              <w:pStyle w:val="Compact"/>
            </w:pPr>
            <w:r>
              <w:t xml:space="preserve">Status updated through the AP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pickLists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fulfillmentLines</w:t>
            </w:r>
          </w:p>
        </w:tc>
        <w:tc>
          <w:tcPr/>
          <w:p>
            <w:pPr>
              <w:pStyle w:val="Compact"/>
            </w:pPr>
            <w:r>
              <w:t xml:space="preserve">Fulfillment work</w:t>
            </w:r>
          </w:p>
        </w:tc>
        <w:tc>
          <w:tcPr/>
          <w:p>
            <w:pPr>
              <w:pStyle w:val="Compact"/>
            </w:pPr>
            <w:r>
              <w:t xml:space="preserve">Created at allocation; updated per pack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inventoryMovements</w:t>
            </w:r>
          </w:p>
        </w:tc>
        <w:tc>
          <w:tcPr/>
          <w:p>
            <w:pPr>
              <w:pStyle w:val="Compact"/>
            </w:pPr>
            <w:r>
              <w:t xml:space="preserve">Qty/status/location audit trail</w:t>
            </w:r>
          </w:p>
        </w:tc>
        <w:tc>
          <w:tcPr/>
          <w:p>
            <w:pPr>
              <w:pStyle w:val="Compact"/>
            </w:pPr>
            <w:r>
              <w:t xml:space="preserve">Append-only; every inventory change creates a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creditEngineStances</w:t>
            </w:r>
          </w:p>
        </w:tc>
        <w:tc>
          <w:tcPr/>
          <w:p>
            <w:pPr>
              <w:pStyle w:val="Compact"/>
            </w:pPr>
            <w:r>
              <w:t xml:space="preserve">Scoring profiles</w:t>
            </w:r>
          </w:p>
        </w:tc>
        <w:tc>
          <w:tcPr/>
          <w:p>
            <w:pPr>
              <w:pStyle w:val="Compact"/>
            </w:pPr>
            <w:r>
              <w:t xml:space="preserve">Replaced by new rows (config history pattern)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api-layer-trpc"/>
    <w:p>
      <w:pPr>
        <w:pStyle w:val="Heading2"/>
      </w:pPr>
      <w:r>
        <w:t xml:space="preserve">5. API Layer (tRPC)</w:t>
      </w:r>
    </w:p>
    <w:bookmarkStart w:id="27" w:name="pattern"/>
    <w:p>
      <w:pPr>
        <w:pStyle w:val="Heading3"/>
      </w:pPr>
      <w:r>
        <w:t xml:space="preserve">5.1 Pattern</w:t>
      </w:r>
    </w:p>
    <w:p>
      <w:pPr>
        <w:pStyle w:val="FirstParagraph"/>
      </w:pPr>
      <w:r>
        <w:t xml:space="preserve">All client-server communication uses</w:t>
      </w:r>
      <w:r>
        <w:t xml:space="preserve"> </w:t>
      </w:r>
      <w:r>
        <w:rPr>
          <w:b/>
          <w:bCs/>
        </w:rPr>
        <w:t xml:space="preserve">tRPC v11</w:t>
      </w:r>
      <w:r>
        <w:t xml:space="preserve">. Types are shared between client and server via</w:t>
      </w:r>
      <w:r>
        <w:t xml:space="preserve"> </w:t>
      </w:r>
      <w:r>
        <w:rPr>
          <w:rStyle w:val="VerbatimChar"/>
        </w:rPr>
        <w:t xml:space="preserve">src/shared/</w:t>
      </w:r>
      <w:r>
        <w:t xml:space="preserve">. There is no REST API — all communication is tRPC procedures over HTTP/1.1 (query = GET, mutation = POST).</w:t>
      </w:r>
    </w:p>
    <w:p>
      <w:pPr>
        <w:pStyle w:val="BodyText"/>
      </w:pPr>
      <w:r>
        <w:rPr>
          <w:b/>
          <w:bCs/>
        </w:rPr>
        <w:t xml:space="preserve">Query procedures</w:t>
      </w:r>
      <w:r>
        <w:t xml:space="preserve"> </w:t>
      </w:r>
      <w:r>
        <w:t xml:space="preserve">— Direct reads. tRPC router → Drizzle query → response. No command bus involvement. These are the data sources for AG Grid rows.</w:t>
      </w:r>
    </w:p>
    <w:p>
      <w:pPr>
        <w:pStyle w:val="BodyText"/>
      </w:pPr>
      <w:r>
        <w:rPr>
          <w:b/>
          <w:bCs/>
        </w:rPr>
        <w:t xml:space="preserve">Mutation procedures</w:t>
      </w:r>
      <w:r>
        <w:t xml:space="preserve"> </w:t>
      </w:r>
      <w:r>
        <w:t xml:space="preserve">— All go through the command bus. The tRPC mutation handler is a thin wrapper: it extracts the caller’s session (</w:t>
      </w:r>
      <w:r>
        <w:rPr>
          <w:rStyle w:val="VerbatimChar"/>
        </w:rPr>
        <w:t xml:space="preserve">req.session.userId</w:t>
      </w:r>
      <w:r>
        <w:t xml:space="preserve">), constructs the actor object, and delegates to</w:t>
      </w:r>
      <w:r>
        <w:t xml:space="preserve"> </w:t>
      </w:r>
      <w:r>
        <w:rPr>
          <w:rStyle w:val="VerbatimChar"/>
        </w:rPr>
        <w:t xml:space="preserve">commandBus.execute(commandName, payload, actor)</w:t>
      </w:r>
      <w:r>
        <w:t xml:space="preserve">.</w:t>
      </w:r>
    </w:p>
    <w:bookmarkEnd w:id="27"/>
    <w:bookmarkStart w:id="28" w:name="type-safety"/>
    <w:p>
      <w:pPr>
        <w:pStyle w:val="Heading3"/>
      </w:pPr>
      <w:r>
        <w:t xml:space="preserve">5.2 Type Safety</w:t>
      </w:r>
    </w:p>
    <w:p>
      <w:pPr>
        <w:pStyle w:val="FirstParagraph"/>
      </w:pPr>
      <w:r>
        <w:t xml:space="preserve">The shared type contract means:</w:t>
      </w:r>
      <w:r>
        <w:t xml:space="preserve"> </w:t>
      </w:r>
      <w:r>
        <w:t xml:space="preserve">- If a command’s Zod schema changes, both the server handler and the client form/hook see the updated type at compile time.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CommandName</w:t>
      </w:r>
      <w:r>
        <w:t xml:space="preserve"> </w:t>
      </w:r>
      <w:r>
        <w:t xml:space="preserve">union is the canonical list of valid commands. Passing a string not in the union is a TypeScript error.</w:t>
      </w:r>
      <w:r>
        <w:t xml:space="preserve"> </w:t>
      </w:r>
      <w:r>
        <w:t xml:space="preserve">- tRPC procedure output types are inferred from the handler return type — no separate response schema needed.</w:t>
      </w:r>
    </w:p>
    <w:bookmarkEnd w:id="28"/>
    <w:bookmarkStart w:id="29" w:name="server-state-cache-tanstack-query"/>
    <w:p>
      <w:pPr>
        <w:pStyle w:val="Heading3"/>
      </w:pPr>
      <w:r>
        <w:t xml:space="preserve">5.3 Server State Cache (TanStack Query)</w:t>
      </w:r>
    </w:p>
    <w:p>
      <w:pPr>
        <w:pStyle w:val="FirstParagraph"/>
      </w:pPr>
      <w:r>
        <w:t xml:space="preserve">The client uses</w:t>
      </w:r>
      <w:r>
        <w:t xml:space="preserve"> </w:t>
      </w:r>
      <w:r>
        <w:rPr>
          <w:b/>
          <w:bCs/>
        </w:rPr>
        <w:t xml:space="preserve">TanStack Query v5</w:t>
      </w:r>
      <w:r>
        <w:t xml:space="preserve"> </w:t>
      </w:r>
      <w:r>
        <w:t xml:space="preserve">to cache tRPC query results. Cache invalidation happens reactively:</w:t>
      </w:r>
    </w:p>
    <w:p>
      <w:pPr>
        <w:pStyle w:val="Compact"/>
        <w:numPr>
          <w:ilvl w:val="0"/>
          <w:numId w:val="1002"/>
        </w:numPr>
      </w:pPr>
      <w:r>
        <w:t xml:space="preserve">Socket.io delivers a</w:t>
      </w:r>
      <w:r>
        <w:t xml:space="preserve"> </w:t>
      </w:r>
      <w:r>
        <w:rPr>
          <w:rStyle w:val="VerbatimChar"/>
        </w:rPr>
        <w:t xml:space="preserve">command:completed</w:t>
      </w:r>
      <w:r>
        <w:t xml:space="preserve"> </w:t>
      </w:r>
      <w:r>
        <w:t xml:space="preserve">event to the client.</w:t>
      </w:r>
    </w:p>
    <w:p>
      <w:pPr>
        <w:pStyle w:val="Compact"/>
        <w:numPr>
          <w:ilvl w:val="0"/>
          <w:numId w:val="1002"/>
        </w:numPr>
      </w:pPr>
      <w:r>
        <w:t xml:space="preserve">The client’s Socket.io listener calls</w:t>
      </w:r>
      <w:r>
        <w:t xml:space="preserve"> </w:t>
      </w:r>
      <w:r>
        <w:rPr>
          <w:rStyle w:val="VerbatimChar"/>
        </w:rPr>
        <w:t xml:space="preserve">queryClient.invalidateQueries(...)</w:t>
      </w:r>
      <w:r>
        <w:t xml:space="preserve"> </w:t>
      </w:r>
      <w:r>
        <w:t xml:space="preserve">for the relevant query keys.</w:t>
      </w:r>
    </w:p>
    <w:p>
      <w:pPr>
        <w:pStyle w:val="Compact"/>
        <w:numPr>
          <w:ilvl w:val="0"/>
          <w:numId w:val="1002"/>
        </w:numPr>
      </w:pPr>
      <w:r>
        <w:t xml:space="preserve">TanStack Query refetches stale queries on the next render.</w:t>
      </w:r>
    </w:p>
    <w:p>
      <w:pPr>
        <w:pStyle w:val="FirstParagraph"/>
      </w:pPr>
      <w:r>
        <w:t xml:space="preserve">This means the UI is</w:t>
      </w:r>
      <w:r>
        <w:t xml:space="preserve"> </w:t>
      </w:r>
      <w:r>
        <w:rPr>
          <w:b/>
          <w:bCs/>
        </w:rPr>
        <w:t xml:space="preserve">eventually consistent</w:t>
      </w:r>
      <w:r>
        <w:t xml:space="preserve"> </w:t>
      </w:r>
      <w:r>
        <w:t xml:space="preserve">(not optimistically updated) after a command. The server is the source of truth. In practice, the round-trip latency is fast enough that the refresh feels immediate.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real-time-layer-socket.io"/>
    <w:p>
      <w:pPr>
        <w:pStyle w:val="Heading2"/>
      </w:pPr>
      <w:r>
        <w:t xml:space="preserve">6. Real-time Layer (Socket.io)</w:t>
      </w:r>
    </w:p>
    <w:bookmarkStart w:id="31" w:name="event-model"/>
    <w:p>
      <w:pPr>
        <w:pStyle w:val="Heading3"/>
      </w:pPr>
      <w:r>
        <w:t xml:space="preserve">6.1 Event Model</w:t>
      </w:r>
    </w:p>
    <w:p>
      <w:pPr>
        <w:pStyle w:val="FirstParagraph"/>
      </w:pPr>
      <w:r>
        <w:t xml:space="preserve">After every command execution (step 9 of the command pipeline), the server emits to all connected clients:</w:t>
      </w:r>
    </w:p>
    <w:p>
      <w:pPr>
        <w:pStyle w:val="SourceCode"/>
      </w:pPr>
      <w:r>
        <w:rPr>
          <w:rStyle w:val="CommentTok"/>
        </w:rPr>
        <w:t xml:space="preserve">// On success:</w:t>
      </w:r>
      <w:r>
        <w:br/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'command:completed'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commandName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On failure:</w:t>
      </w:r>
      <w:r>
        <w:br/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'command:failed'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commandName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Events are broadcast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connected clients, not just the initiating client. This enables real-time multi-operator workflows — when one sales operator posts an order, inventory counts update on every other connected screen simultaneously.</w:t>
      </w:r>
    </w:p>
    <w:bookmarkEnd w:id="31"/>
    <w:bookmarkStart w:id="32" w:name="client-listener"/>
    <w:p>
      <w:pPr>
        <w:pStyle w:val="Heading3"/>
      </w:pPr>
      <w:r>
        <w:t xml:space="preserve">6.2 Client Listener</w:t>
      </w:r>
    </w:p>
    <w:p>
      <w:pPr>
        <w:pStyle w:val="FirstParagraph"/>
      </w:pPr>
      <w:r>
        <w:t xml:space="preserve">The client Socket.io listener is initialized once at app startup. It calls</w:t>
      </w:r>
      <w:r>
        <w:t xml:space="preserve"> </w:t>
      </w:r>
      <w:r>
        <w:rPr>
          <w:rStyle w:val="VerbatimChar"/>
        </w:rPr>
        <w:t xml:space="preserve">queryClient.invalidateQueries()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command:completed</w:t>
      </w:r>
      <w:r>
        <w:t xml:space="preserve">, which triggers TanStack Query to refetch the affected data. The listener also triggers the toast notification system.</w:t>
      </w:r>
    </w:p>
    <w:bookmarkEnd w:id="32"/>
    <w:bookmarkStart w:id="33" w:name="connection-model"/>
    <w:p>
      <w:pPr>
        <w:pStyle w:val="Heading3"/>
      </w:pPr>
      <w:r>
        <w:t xml:space="preserve">6.3 Connection Model</w:t>
      </w:r>
    </w:p>
    <w:p>
      <w:pPr>
        <w:pStyle w:val="FirstParagraph"/>
      </w:pPr>
      <w:r>
        <w:t xml:space="preserve">Socket.io uses the default HTTP long-polling upgrade to WebSocket. No separate WebSocket server is required — Socket.io mounts on the same Express server as tRPC.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authentication-and-session-management"/>
    <w:p>
      <w:pPr>
        <w:pStyle w:val="Heading2"/>
      </w:pPr>
      <w:r>
        <w:t xml:space="preserve">7. Authentication and Session Management</w:t>
      </w:r>
    </w:p>
    <w:bookmarkStart w:id="35" w:name="mechanism"/>
    <w:p>
      <w:pPr>
        <w:pStyle w:val="Heading3"/>
      </w:pPr>
      <w:r>
        <w:t xml:space="preserve">7.1 Mechanism</w:t>
      </w:r>
    </w:p>
    <w:p>
      <w:pPr>
        <w:pStyle w:val="FirstParagraph"/>
      </w:pPr>
      <w:r>
        <w:t xml:space="preserve">TERP Operator uses</w:t>
      </w:r>
      <w:r>
        <w:t xml:space="preserve"> </w:t>
      </w:r>
      <w:r>
        <w:rPr>
          <w:b/>
          <w:bCs/>
        </w:rPr>
        <w:t xml:space="preserve">session-based authentication</w:t>
      </w:r>
      <w:r>
        <w:t xml:space="preserve"> </w:t>
      </w:r>
      <w:r>
        <w:t xml:space="preserve">(not JWT). Sessions are stored in PostgreSQL via a session store adapter (</w:t>
      </w:r>
      <w:r>
        <w:rPr>
          <w:rStyle w:val="VerbatimChar"/>
        </w:rPr>
        <w:t xml:space="preserve">connect-pg-simple</w:t>
      </w:r>
      <w:r>
        <w:t xml:space="preserve"> </w:t>
      </w:r>
      <w:r>
        <w:t xml:space="preserve">or equivalent).</w:t>
      </w:r>
    </w:p>
    <w:p>
      <w:pPr>
        <w:pStyle w:val="BodyText"/>
      </w:pPr>
      <w:r>
        <w:rPr>
          <w:b/>
          <w:bCs/>
        </w:rPr>
        <w:t xml:space="preserve">Login flow:</w:t>
      </w:r>
      <w:r>
        <w:t xml:space="preserve"> </w:t>
      </w:r>
      <w:r>
        <w:t xml:space="preserve">1. Client sends credentials (email + password) to</w:t>
      </w:r>
      <w:r>
        <w:t xml:space="preserve"> </w:t>
      </w:r>
      <w:r>
        <w:rPr>
          <w:rStyle w:val="VerbatimChar"/>
        </w:rPr>
        <w:t xml:space="preserve">auth.login</w:t>
      </w:r>
      <w:r>
        <w:t xml:space="preserve"> </w:t>
      </w:r>
      <w:r>
        <w:t xml:space="preserve">tRPC mutation.</w:t>
      </w:r>
      <w:r>
        <w:t xml:space="preserve"> </w:t>
      </w:r>
      <w:r>
        <w:t xml:space="preserve">2. Server validates credentials (bcrypt hash comparison on</w:t>
      </w:r>
      <w:r>
        <w:t xml:space="preserve"> </w:t>
      </w:r>
      <w:r>
        <w:rPr>
          <w:rStyle w:val="VerbatimChar"/>
        </w:rPr>
        <w:t xml:space="preserve">users.passwordHash</w:t>
      </w:r>
      <w:r>
        <w:t xml:space="preserve">).</w:t>
      </w:r>
      <w:r>
        <w:t xml:space="preserve"> </w:t>
      </w:r>
      <w:r>
        <w:t xml:space="preserve">3. On success: session ID is</w:t>
      </w:r>
      <w:r>
        <w:t xml:space="preserve"> </w:t>
      </w:r>
      <w:r>
        <w:rPr>
          <w:b/>
          <w:bCs/>
        </w:rPr>
        <w:t xml:space="preserve">regenerated</w:t>
      </w:r>
      <w:r>
        <w:t xml:space="preserve"> </w:t>
      </w:r>
      <w:r>
        <w:t xml:space="preserve">(security measure — prevents session fixation attacks).</w:t>
      </w:r>
      <w:r>
        <w:t xml:space="preserve"> </w:t>
      </w:r>
      <w:r>
        <w:rPr>
          <w:rStyle w:val="VerbatimChar"/>
        </w:rPr>
        <w:t xml:space="preserve">req.session.userId</w:t>
      </w:r>
      <w:r>
        <w:t xml:space="preserve"> </w:t>
      </w:r>
      <w:r>
        <w:t xml:space="preserve">is set.</w:t>
      </w:r>
      <w:r>
        <w:t xml:space="preserve"> </w:t>
      </w:r>
      <w:r>
        <w:t xml:space="preserve">4. Session record written to PostgreSQL session table.</w:t>
      </w:r>
      <w:r>
        <w:t xml:space="preserve"> </w:t>
      </w:r>
      <w:r>
        <w:t xml:space="preserve">5. Client receives session cookie (HTTP-only, SameSite=Strict).</w:t>
      </w:r>
    </w:p>
    <w:bookmarkEnd w:id="35"/>
    <w:bookmarkStart w:id="36" w:name="session-security"/>
    <w:p>
      <w:pPr>
        <w:pStyle w:val="Heading3"/>
      </w:pPr>
      <w:r>
        <w:t xml:space="preserve">7.2 Session Security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Session ID regeneration on login</w:t>
      </w:r>
      <w:r>
        <w:t xml:space="preserve"> </w:t>
      </w:r>
      <w:r>
        <w:t xml:space="preserve">— fixed via adversarial QA finding. Prior code did not regenerate, allowing session fixation.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Production secret enforcement</w:t>
      </w:r>
      <w:r>
        <w:t xml:space="preserve"> </w:t>
      </w:r>
      <w:r>
        <w:t xml:space="preserve">— the server</w:t>
      </w:r>
      <w:r>
        <w:t xml:space="preserve"> </w:t>
      </w:r>
      <w:r>
        <w:rPr>
          <w:b/>
          <w:bCs/>
        </w:rPr>
        <w:t xml:space="preserve">refuses to start</w:t>
      </w:r>
      <w:r>
        <w:t xml:space="preserve"> </w:t>
      </w:r>
      <w:r>
        <w:t xml:space="preserve">in production mode if the session secret matches the default development value. This prevents accidental deployment with an insecure secret.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HTTP-only session cookies</w:t>
      </w:r>
      <w:r>
        <w:t xml:space="preserve"> </w:t>
      </w:r>
      <w:r>
        <w:t xml:space="preserve">— session IDs are not accessible to client-side JavaScript.</w:t>
      </w:r>
    </w:p>
    <w:bookmarkEnd w:id="36"/>
    <w:bookmarkStart w:id="37" w:name="request-authentication"/>
    <w:p>
      <w:pPr>
        <w:pStyle w:val="Heading3"/>
      </w:pPr>
      <w:r>
        <w:t xml:space="preserve">7.3 Request Authentication</w:t>
      </w:r>
    </w:p>
    <w:p>
      <w:pPr>
        <w:pStyle w:val="FirstParagraph"/>
      </w:pPr>
      <w:r>
        <w:t xml:space="preserve">Every tRPC procedure reads</w:t>
      </w:r>
      <w:r>
        <w:t xml:space="preserve"> </w:t>
      </w:r>
      <w:r>
        <w:rPr>
          <w:rStyle w:val="VerbatimChar"/>
        </w:rPr>
        <w:t xml:space="preserve">req.session.userId</w:t>
      </w:r>
      <w:r>
        <w:t xml:space="preserve"> </w:t>
      </w:r>
      <w:r>
        <w:t xml:space="preserve">to establish the actor identity. Unauthenticated requests (no session or expired session) are rejected with a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 </w:t>
      </w:r>
      <w:r>
        <w:t xml:space="preserve">error before reaching any handler logic.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role-based-access-control-rbac"/>
    <w:p>
      <w:pPr>
        <w:pStyle w:val="Heading2"/>
      </w:pPr>
      <w:r>
        <w:t xml:space="preserve">8. Role-Based Access Control (RBAC)</w:t>
      </w:r>
    </w:p>
    <w:bookmarkStart w:id="39" w:name="role-model"/>
    <w:p>
      <w:pPr>
        <w:pStyle w:val="Heading3"/>
      </w:pPr>
      <w:r>
        <w:t xml:space="preserve">8.1 Role Model</w:t>
      </w:r>
    </w:p>
    <w:p>
      <w:pPr>
        <w:pStyle w:val="FirstParagraph"/>
      </w:pPr>
      <w:r>
        <w:t xml:space="preserve">Four roles, stored as a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 </w:t>
      </w:r>
      <w:r>
        <w:t xml:space="preserve">column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Full access. Period lock/archive, all reversals, engine 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operations. Approve POs, vendor bills, reversals. Cannot lock periods.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Day-to-day operations. No reversals, no period close.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Read-only. No command execution.</w:t>
            </w:r>
          </w:p>
        </w:tc>
      </w:tr>
    </w:tbl>
    <w:bookmarkEnd w:id="39"/>
    <w:bookmarkStart w:id="40" w:name="enforcement-architecture"/>
    <w:p>
      <w:pPr>
        <w:pStyle w:val="Heading3"/>
      </w:pPr>
      <w:r>
        <w:t xml:space="preserve">8.2 Enforcement Architecture</w:t>
      </w:r>
    </w:p>
    <w:p>
      <w:pPr>
        <w:pStyle w:val="FirstParagraph"/>
      </w:pPr>
      <w:r>
        <w:rPr>
          <w:b/>
          <w:bCs/>
        </w:rPr>
        <w:t xml:space="preserve">Server-side (authoritative):</w:t>
      </w:r>
      <w:r>
        <w:t xml:space="preserve"> </w:t>
      </w:r>
      <w:r>
        <w:rPr>
          <w:rStyle w:val="VerbatimChar"/>
        </w:rPr>
        <w:t xml:space="preserve">assertCommandAccess(commandName, role)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src/server/rbac.ts</w:t>
      </w:r>
      <w:r>
        <w:t xml:space="preserve"> </w:t>
      </w:r>
      <w:r>
        <w:t xml:space="preserve">is called in step 2 of the command pipeline, before any DB access. This is the security boundary. If this check fails, the command throws regardless of what the UI shows.</w:t>
      </w:r>
    </w:p>
    <w:p>
      <w:pPr>
        <w:pStyle w:val="BodyText"/>
      </w:pPr>
      <w:r>
        <w:rPr>
          <w:b/>
          <w:bCs/>
        </w:rPr>
        <w:t xml:space="preserve">Client-side (UX only):</w:t>
      </w:r>
      <w:r>
        <w:t xml:space="preserve"> </w:t>
      </w:r>
      <w:r>
        <w:t xml:space="preserve">Buttons and actions are conditionally rendered based on</w:t>
      </w:r>
      <w:r>
        <w:t xml:space="preserve"> </w:t>
      </w:r>
      <w:r>
        <w:rPr>
          <w:rStyle w:val="VerbatimChar"/>
        </w:rPr>
        <w:t xml:space="preserve">me.data?.role</w:t>
      </w:r>
      <w:r>
        <w:t xml:space="preserve">. The standard idiom is: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canWrite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'viewer'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canReverse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'manager'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isOwner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Client-side gating hides controls from unauthorized users for a cleaner UX.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control.</w:t>
      </w:r>
    </w:p>
    <w:bookmarkEnd w:id="40"/>
    <w:bookmarkStart w:id="41" w:name="workloop-field"/>
    <w:p>
      <w:pPr>
        <w:pStyle w:val="Heading3"/>
      </w:pPr>
      <w:r>
        <w:t xml:space="preserve">8.3 workLoop Field</w:t>
      </w:r>
    </w:p>
    <w:p>
      <w:pPr>
        <w:pStyle w:val="FirstParagraph"/>
      </w:pPr>
      <w:r>
        <w:t xml:space="preserve">Users also have a</w:t>
      </w:r>
      <w:r>
        <w:t xml:space="preserve"> </w:t>
      </w:r>
      <w:r>
        <w:rPr>
          <w:rStyle w:val="VerbatimChar"/>
        </w:rPr>
        <w:t xml:space="preserve">workLoop</w:t>
      </w:r>
      <w:r>
        <w:t xml:space="preserve"> </w:t>
      </w:r>
      <w:r>
        <w:t xml:space="preserve">field (</w:t>
      </w:r>
      <w:r>
        <w:rPr>
          <w:rStyle w:val="VerbatimChar"/>
        </w:rPr>
        <w:t xml:space="preserve">'sales'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'intake'</w:t>
      </w:r>
      <w:r>
        <w:t xml:space="preserve">,</w:t>
      </w:r>
      <w:r>
        <w:t xml:space="preserve"> </w:t>
      </w:r>
      <w:r>
        <w:rPr>
          <w:rStyle w:val="VerbatimChar"/>
        </w:rPr>
        <w:t xml:space="preserve">'warehouse'</w:t>
      </w:r>
      <w:r>
        <w:t xml:space="preserve">,</w:t>
      </w:r>
      <w:r>
        <w:t xml:space="preserve"> </w:t>
      </w:r>
      <w:r>
        <w:rPr>
          <w:rStyle w:val="VerbatimChar"/>
        </w:rPr>
        <w:t xml:space="preserve">'operator'</w:t>
      </w:r>
      <w:r>
        <w:t xml:space="preserve">). This determines the default navigation order and which views are surfaced prominently.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restrict access to any command or view — it is purely a UX personalization field.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audit-trail-and-jsonl-journaling"/>
    <w:p>
      <w:pPr>
        <w:pStyle w:val="Heading2"/>
      </w:pPr>
      <w:r>
        <w:t xml:space="preserve">9. Audit Trail and JSONL Journaling</w:t>
      </w:r>
    </w:p>
    <w:bookmarkStart w:id="43" w:name="commandjournal-table"/>
    <w:p>
      <w:pPr>
        <w:pStyle w:val="Heading3"/>
      </w:pPr>
      <w:r>
        <w:t xml:space="preserve">9.1 commandJournal Table</w:t>
      </w:r>
    </w:p>
    <w:p>
      <w:pPr>
        <w:pStyle w:val="FirstParagraph"/>
      </w:pPr>
      <w:r>
        <w:t xml:space="preserve">Every command execution writes a row to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. This is the complete, tamper-evident history of every mutation in the system.</w:t>
      </w:r>
    </w:p>
    <w:p>
      <w:pPr>
        <w:pStyle w:val="BodyText"/>
      </w:pPr>
      <w:r>
        <w:rPr>
          <w:b/>
          <w:bCs/>
        </w:rPr>
        <w:t xml:space="preserve">Key 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Unique journal entry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The command executed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idempotencyKey</w:t>
            </w:r>
          </w:p>
        </w:tc>
        <w:tc>
          <w:tcPr/>
          <w:p>
            <w:pPr>
              <w:pStyle w:val="Compact"/>
            </w:pPr>
            <w:r>
              <w:t xml:space="preserve">varchar (unique)</w:t>
            </w:r>
          </w:p>
        </w:tc>
        <w:tc>
          <w:tcPr/>
          <w:p>
            <w:pPr>
              <w:pStyle w:val="Compact"/>
            </w:pPr>
            <w:r>
              <w:t xml:space="preserve">Client-stamped key; prevents double-execution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actorId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FK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— who ran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'ok'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'failed'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inputPayload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Verbatim command payload (for retry)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beforeSnapshot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DB rows before the mutation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afterSnapshot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DB rows after the mutation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Handler return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reversedByCommandId</w:t>
            </w:r>
          </w:p>
        </w:tc>
        <w:tc>
          <w:tcPr/>
          <w:p>
            <w:pPr>
              <w:pStyle w:val="Compact"/>
            </w:pPr>
            <w:r>
              <w:t xml:space="preserve">uuid (self-ref)</w:t>
            </w:r>
          </w:p>
        </w:tc>
        <w:tc>
          <w:tcPr/>
          <w:p>
            <w:pPr>
              <w:pStyle w:val="Compact"/>
            </w:pPr>
            <w:r>
              <w:t xml:space="preserve">Points to the reversal entry if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Execution time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column was added in migration</w:t>
      </w:r>
      <w:r>
        <w:t xml:space="preserve"> </w:t>
      </w:r>
      <w:r>
        <w:rPr>
          <w:rStyle w:val="VerbatimChar"/>
        </w:rPr>
        <w:t xml:space="preserve">0002_workflow_gap_closure.sql</w:t>
      </w:r>
      <w:r>
        <w:t xml:space="preserve">. Commands executed before that migration do not have stored payloads and cannot be retried via the retry workflow.</w:t>
      </w:r>
    </w:p>
    <w:bookmarkEnd w:id="43"/>
    <w:bookmarkStart w:id="44" w:name="jsonl-journal-file"/>
    <w:p>
      <w:pPr>
        <w:pStyle w:val="Heading3"/>
      </w:pPr>
      <w:r>
        <w:t xml:space="preserve">9.2 JSONL Journal File</w:t>
      </w:r>
    </w:p>
    <w:p>
      <w:pPr>
        <w:pStyle w:val="FirstParagraph"/>
      </w:pPr>
      <w:r>
        <w:t xml:space="preserve">Parallel to the database table, every command result is appended to an on-disk</w:t>
      </w:r>
      <w:r>
        <w:t xml:space="preserve"> </w:t>
      </w:r>
      <w:r>
        <w:rPr>
          <w:b/>
          <w:bCs/>
        </w:rPr>
        <w:t xml:space="preserve">JSONL file</w:t>
      </w:r>
      <w:r>
        <w:t xml:space="preserve"> </w:t>
      </w:r>
      <w:r>
        <w:t xml:space="preserve">(one JSON object per line, newline-delimited). This provides:</w:t>
      </w:r>
      <w:r>
        <w:t xml:space="preserve"> </w:t>
      </w:r>
      <w:r>
        <w:t xml:space="preserve">- An offline-readable audit trail independent of the database</w:t>
      </w:r>
      <w:r>
        <w:t xml:space="preserve"> </w:t>
      </w:r>
      <w:r>
        <w:t xml:space="preserve">- A backup path for compliance review if the DB is unavailable</w:t>
      </w:r>
      <w:r>
        <w:t xml:space="preserve"> </w:t>
      </w:r>
      <w:r>
        <w:t xml:space="preserve">- A deterministic log that can be replayed or diffed</w:t>
      </w:r>
    </w:p>
    <w:p>
      <w:pPr>
        <w:pStyle w:val="BodyText"/>
      </w:pPr>
      <w:r>
        <w:t xml:space="preserve">The JSONL file is written under</w:t>
      </w:r>
      <w:r>
        <w:t xml:space="preserve"> </w:t>
      </w:r>
      <w:r>
        <w:rPr>
          <w:rStyle w:val="VerbatimChar"/>
        </w:rPr>
        <w:t xml:space="preserve">ARCHIVE_DIR</w:t>
      </w:r>
      <w:r>
        <w:t xml:space="preserve"> </w:t>
      </w:r>
      <w:r>
        <w:t xml:space="preserve">(configured via environment variable). Bag manifests and period archive artifacts are also written to this directory.</w:t>
      </w:r>
    </w:p>
    <w:bookmarkEnd w:id="44"/>
    <w:bookmarkStart w:id="45" w:name="security-redactions"/>
    <w:p>
      <w:pPr>
        <w:pStyle w:val="Heading3"/>
      </w:pPr>
      <w:r>
        <w:t xml:space="preserve">9.3 Security Redactions</w:t>
      </w:r>
    </w:p>
    <w:p>
      <w:pPr>
        <w:pStyle w:val="FirstParagraph"/>
      </w:pPr>
      <w:r>
        <w:t xml:space="preserve">Certain sensitive values are explicitly excluded from the journal: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Photo upload tokens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returns the token in the command result (one-time), but the token value is</w:t>
      </w:r>
      <w:r>
        <w:t xml:space="preserve"> </w:t>
      </w:r>
      <w:r>
        <w:rPr>
          <w:b/>
          <w:bCs/>
        </w:rPr>
        <w:t xml:space="preserve">redacted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commandJournal.result</w:t>
      </w:r>
      <w:r>
        <w:t xml:space="preserve"> </w:t>
      </w:r>
      <w:r>
        <w:t xml:space="preserve">before storage. The journal records that a token was minted but not its value.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Passwords</w:t>
      </w:r>
      <w:r>
        <w:t xml:space="preserve"> </w:t>
      </w:r>
      <w:r>
        <w:t xml:space="preserve">— never logged anywhere in the command system (no password-related commands exist; auth is handled outside the command bus).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reversal-system"/>
    <w:p>
      <w:pPr>
        <w:pStyle w:val="Heading2"/>
      </w:pPr>
      <w:r>
        <w:t xml:space="preserve">10. Reversal System</w:t>
      </w:r>
    </w:p>
    <w:bookmarkStart w:id="47" w:name="architecture"/>
    <w:p>
      <w:pPr>
        <w:pStyle w:val="Heading3"/>
      </w:pPr>
      <w:r>
        <w:t xml:space="preserve">10.1 Architecture</w:t>
      </w:r>
    </w:p>
    <w:p>
      <w:pPr>
        <w:pStyle w:val="FirstParagraph"/>
      </w:pPr>
      <w:r>
        <w:t xml:space="preserve">Reversals are not a generic</w:t>
      </w:r>
      <w:r>
        <w:t xml:space="preserve"> </w:t>
      </w:r>
      <w:r>
        <w:t xml:space="preserve">“undo.”</w:t>
      </w:r>
      <w:r>
        <w:t xml:space="preserve"> </w:t>
      </w:r>
      <w:r>
        <w:t xml:space="preserve">They are a</w:t>
      </w:r>
      <w:r>
        <w:t xml:space="preserve"> </w:t>
      </w:r>
      <w:r>
        <w:rPr>
          <w:b/>
          <w:bCs/>
        </w:rPr>
        <w:t xml:space="preserve">hand-crafted compensating operation</w:t>
      </w:r>
      <w:r>
        <w:t xml:space="preserve"> </w:t>
      </w:r>
      <w:r>
        <w:t xml:space="preserve">for each reversible command. The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command handler contains a large dispatch block — one branch per reversible command name.</w:t>
      </w:r>
    </w:p>
    <w:p>
      <w:pPr>
        <w:pStyle w:val="BodyText"/>
      </w:pPr>
      <w:r>
        <w:t xml:space="preserve">Each reversal branch:</w:t>
      </w:r>
      <w:r>
        <w:t xml:space="preserve"> </w:t>
      </w:r>
      <w:r>
        <w:t xml:space="preserve">1. Reads the original command’s</w:t>
      </w:r>
      <w:r>
        <w:t xml:space="preserve"> </w:t>
      </w:r>
      <w:r>
        <w:rPr>
          <w:rStyle w:val="VerbatimChar"/>
        </w:rPr>
        <w:t xml:space="preserve">beforeSnapshot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afterSnapshot</w:t>
      </w:r>
      <w:r>
        <w:t xml:space="preserve"> </w:t>
      </w:r>
      <w:r>
        <w:t xml:space="preserve">from the journal.</w:t>
      </w:r>
      <w:r>
        <w:t xml:space="preserve"> </w:t>
      </w:r>
      <w:r>
        <w:t xml:space="preserve">2. Validates pre-conditions (e.g., invoice not yet paid, no prior reversal).</w:t>
      </w:r>
      <w:r>
        <w:t xml:space="preserve"> </w:t>
      </w:r>
      <w:r>
        <w:t xml:space="preserve">3. Executes the inverse DB operations inside a transaction.</w:t>
      </w:r>
      <w:r>
        <w:t xml:space="preserve"> </w:t>
      </w:r>
      <w:r>
        <w:t xml:space="preserve">4. Creates a new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 </w:t>
      </w:r>
      <w:r>
        <w:t xml:space="preserve">entry for the reversal command.</w:t>
      </w:r>
      <w:r>
        <w:t xml:space="preserve"> </w:t>
      </w:r>
      <w:r>
        <w:t xml:space="preserve">5. Sets</w:t>
      </w:r>
      <w:r>
        <w:t xml:space="preserve"> </w:t>
      </w:r>
      <w:r>
        <w:rPr>
          <w:rStyle w:val="VerbatimChar"/>
        </w:rPr>
        <w:t xml:space="preserve">commandJournal.reversedByCommandId</w:t>
      </w:r>
      <w:r>
        <w:t xml:space="preserve"> </w:t>
      </w:r>
      <w:r>
        <w:t xml:space="preserve">on the original entry.</w:t>
      </w:r>
    </w:p>
    <w:bookmarkEnd w:id="47"/>
    <w:bookmarkStart w:id="48" w:name="pre-conditions-by-command"/>
    <w:p>
      <w:pPr>
        <w:pStyle w:val="Heading3"/>
      </w:pPr>
      <w:r>
        <w:t xml:space="preserve">10.2 Pre-conditions by Command</w:t>
      </w:r>
    </w:p>
    <w:p>
      <w:pPr>
        <w:pStyle w:val="FirstParagraph"/>
      </w:pPr>
      <w:r>
        <w:t xml:space="preserve">Some reversals have strict pre-conditions enforced in the reversal handler: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2"/>
        <w:gridCol w:w="2121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 being reversed</w:t>
            </w:r>
          </w:p>
        </w:tc>
        <w:tc>
          <w:tcPr/>
          <w:p>
            <w:pPr>
              <w:pStyle w:val="Compact"/>
            </w:pPr>
            <w:r>
              <w:t xml:space="preserve">Pre-condition</w:t>
            </w:r>
          </w:p>
        </w:tc>
        <w:tc>
          <w:tcPr/>
          <w:p>
            <w:pPr>
              <w:pStyle w:val="Compact"/>
            </w:pPr>
            <w:r>
              <w:t xml:space="preserve">Error if violated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</w:p>
        </w:tc>
        <w:tc>
          <w:tcPr/>
          <w:p>
            <w:pPr>
              <w:pStyle w:val="Compact"/>
            </w:pPr>
            <w:r>
              <w:t xml:space="preserve">Invoice must have</w:t>
            </w:r>
            <w:r>
              <w:t xml:space="preserve"> </w:t>
            </w:r>
            <w:r>
              <w:rPr>
                <w:rStyle w:val="VerbatimChar"/>
              </w:rPr>
              <w:t xml:space="preserve">amountPaid = 0</w:t>
            </w:r>
          </w:p>
        </w:tc>
        <w:tc>
          <w:tcPr/>
          <w:p>
            <w:pPr>
              <w:pStyle w:val="Compact"/>
            </w:pPr>
            <w:r>
              <w:t xml:space="preserve">“Reverse payment allocations before reversing this sale.”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command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  <w:r>
              <w:t xml:space="preserve"> </w:t>
            </w:r>
            <w:r>
              <w:rPr>
                <w:rStyle w:val="VerbatimChar"/>
              </w:rPr>
              <w:t xml:space="preserve">status = 'ok'</w:t>
            </w:r>
          </w:p>
        </w:tc>
        <w:tc>
          <w:tcPr/>
          <w:p>
            <w:pPr>
              <w:pStyle w:val="Compact"/>
            </w:pPr>
            <w:r>
              <w:t xml:space="preserve">“Only successful commands can be reversed.”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reversedByCommandId</w:t>
            </w:r>
            <w:r>
              <w:t xml:space="preserve"> </w:t>
            </w:r>
            <w:r>
              <w:t xml:space="preserve">must be null</w:t>
            </w:r>
          </w:p>
        </w:tc>
        <w:tc>
          <w:tcPr/>
          <w:p>
            <w:pPr>
              <w:pStyle w:val="Compact"/>
            </w:pPr>
            <w:r>
              <w:t xml:space="preserve">“That command has already been reversed.”</w:t>
            </w:r>
          </w:p>
        </w:tc>
      </w:tr>
    </w:tbl>
    <w:bookmarkEnd w:id="48"/>
    <w:bookmarkStart w:id="49" w:name="what-reversal-does-not-do"/>
    <w:p>
      <w:pPr>
        <w:pStyle w:val="Heading3"/>
      </w:pPr>
      <w:r>
        <w:t xml:space="preserve">10.3 What Reversal Does NOT 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Does not delete rows.</w:t>
      </w:r>
      <w:r>
        <w:t xml:space="preserve"> </w:t>
      </w:r>
      <w:r>
        <w:t xml:space="preserve">The original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 </w:t>
      </w:r>
      <w:r>
        <w:t xml:space="preserve">entry is preserved. The reversed</w:t>
      </w:r>
      <w:r>
        <w:t xml:space="preserve"> </w:t>
      </w:r>
      <w:r>
        <w:rPr>
          <w:rStyle w:val="VerbatimChar"/>
        </w:rPr>
        <w:t xml:space="preserve">salesOrder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 etc. remain in the database with status</w:t>
      </w:r>
      <w:r>
        <w:t xml:space="preserve"> </w:t>
      </w:r>
      <w:r>
        <w:rPr>
          <w:rStyle w:val="VerbatimChar"/>
        </w:rPr>
        <w:t xml:space="preserve">'reversed'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Does not cascade automatically.</w:t>
      </w:r>
      <w:r>
        <w:t xml:space="preserve"> </w:t>
      </w:r>
      <w:r>
        <w:t xml:space="preserve">Reversing a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does not automatically unallocate payments — the operator must do that first as a pre-condition.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Does not work on terminal commands.</w:t>
      </w:r>
      <w:r>
        <w:t xml:space="preserve"> </w:t>
      </w:r>
      <w:r>
        <w:rPr>
          <w:rStyle w:val="VerbatimChar"/>
        </w:rPr>
        <w:t xml:space="preserve">lockPeriod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archivePeriod</w:t>
      </w:r>
      <w:r>
        <w:t xml:space="preserve">, and other terminal commands have no reversal path in the application. Recovery requires offline maintenance.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8" w:name="credit-engine"/>
    <w:p>
      <w:pPr>
        <w:pStyle w:val="Heading2"/>
      </w:pPr>
      <w:r>
        <w:t xml:space="preserve">11. Credit Engine</w:t>
      </w:r>
    </w:p>
    <w:bookmarkStart w:id="51" w:name="purpose"/>
    <w:p>
      <w:pPr>
        <w:pStyle w:val="Heading3"/>
      </w:pPr>
      <w:r>
        <w:t xml:space="preserve">11.1 Purpose</w:t>
      </w:r>
    </w:p>
    <w:p>
      <w:pPr>
        <w:pStyle w:val="FirstParagraph"/>
      </w:pPr>
      <w:r>
        <w:t xml:space="preserve">The credit engine automatically computes recommended credit limits for customers based on behavioral signals. It runs asynchronously in the background, decoupled from the real-time request path.</w:t>
      </w:r>
    </w:p>
    <w:bookmarkEnd w:id="51"/>
    <w:bookmarkStart w:id="52" w:name="trigger-mechanism"/>
    <w:p>
      <w:pPr>
        <w:pStyle w:val="Heading3"/>
      </w:pPr>
      <w:r>
        <w:t xml:space="preserve">11.2 Trigger Mechanism</w:t>
      </w:r>
    </w:p>
    <w:p>
      <w:pPr>
        <w:pStyle w:val="FirstParagraph"/>
      </w:pPr>
      <w:r>
        <w:t xml:space="preserve">Rather than running on a schedule, the credit engine runs on-demand via a</w:t>
      </w:r>
      <w:r>
        <w:t xml:space="preserve"> </w:t>
      </w:r>
      <w:r>
        <w:rPr>
          <w:b/>
          <w:bCs/>
        </w:rPr>
        <w:t xml:space="preserve">recompute queue</w:t>
      </w:r>
      <w:r>
        <w:t xml:space="preserve">. When certain financial events occur (e.g.,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), the handler inserts a row into</w:t>
      </w:r>
      <w:r>
        <w:t xml:space="preserve"> </w:t>
      </w:r>
      <w:r>
        <w:rPr>
          <w:rStyle w:val="VerbatimChar"/>
        </w:rPr>
        <w:t xml:space="preserve">credit_recompute_queue</w:t>
      </w:r>
      <w:r>
        <w:t xml:space="preserve"> </w:t>
      </w:r>
      <w:r>
        <w:t xml:space="preserve">for the affected customer. The engine processes the queue and updates</w:t>
      </w:r>
      <w:r>
        <w:t xml:space="preserve"> </w:t>
      </w:r>
      <w:r>
        <w:rPr>
          <w:rStyle w:val="VerbatimChar"/>
        </w:rPr>
        <w:t xml:space="preserve">customers.creditLimit</w:t>
      </w:r>
      <w:r>
        <w:t xml:space="preserve"> </w:t>
      </w:r>
      <w:r>
        <w:t xml:space="preserve">(when</w:t>
      </w:r>
      <w:r>
        <w:t xml:space="preserve"> </w:t>
      </w:r>
      <w:r>
        <w:rPr>
          <w:rStyle w:val="VerbatimChar"/>
        </w:rPr>
        <w:t xml:space="preserve">creditLimitSource = 'engine'</w:t>
      </w:r>
      <w:r>
        <w:t xml:space="preserve">).</w:t>
      </w:r>
    </w:p>
    <w:p>
      <w:pPr>
        <w:pStyle w:val="BodyText"/>
      </w:pPr>
      <w:r>
        <w:t xml:space="preserve">A DB unique constraint (</w:t>
      </w:r>
      <w:r>
        <w:rPr>
          <w:rStyle w:val="VerbatimChar"/>
        </w:rPr>
        <w:t xml:space="preserve">credit_recompute_queue_pending_unique</w:t>
      </w:r>
      <w:r>
        <w:t xml:space="preserve">) ensures a customer can only have one pending recompute entry at a time — no pile-up from rapid-fire events.</w:t>
      </w:r>
    </w:p>
    <w:bookmarkEnd w:id="52"/>
    <w:bookmarkStart w:id="53" w:name="stances-scoring-profiles"/>
    <w:p>
      <w:pPr>
        <w:pStyle w:val="Heading3"/>
      </w:pPr>
      <w:r>
        <w:t xml:space="preserve">11.3 Stances (Scoring Profiles)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creditEngineStances</w:t>
      </w:r>
      <w:r>
        <w:t xml:space="preserve">) is a named set of signal weightings that defines how the engine scores a customer. Signal weights must sum to 100 (enforced by DB CHECK constraint). Examples of signals: payment timeliness, order frequency, order volume, aging invoices.</w:t>
      </w:r>
    </w:p>
    <w:p>
      <w:pPr>
        <w:pStyle w:val="BodyText"/>
      </w:pPr>
      <w:r>
        <w:t xml:space="preserve">Each customer can be assigned a specific stance via</w:t>
      </w:r>
      <w:r>
        <w:t xml:space="preserve"> </w:t>
      </w:r>
      <w:r>
        <w:rPr>
          <w:rStyle w:val="VerbatimChar"/>
        </w:rPr>
        <w:t xml:space="preserve">setCustomerStance</w:t>
      </w:r>
      <w:r>
        <w:t xml:space="preserve">. Without an explicit stance, the engine uses the default stance defined in</w:t>
      </w:r>
      <w:r>
        <w:t xml:space="preserve"> </w:t>
      </w:r>
      <w:r>
        <w:rPr>
          <w:rStyle w:val="VerbatimChar"/>
        </w:rPr>
        <w:t xml:space="preserve">setCreditEngineConfig</w:t>
      </w:r>
      <w:r>
        <w:t xml:space="preserve">.</w:t>
      </w:r>
    </w:p>
    <w:bookmarkEnd w:id="53"/>
    <w:bookmarkStart w:id="54" w:name="score-storage"/>
    <w:p>
      <w:pPr>
        <w:pStyle w:val="Heading3"/>
      </w:pPr>
      <w:r>
        <w:t xml:space="preserve">11.4 Score Storage</w:t>
      </w:r>
    </w:p>
    <w:p>
      <w:pPr>
        <w:pStyle w:val="FirstParagraph"/>
      </w:pPr>
      <w:r>
        <w:t xml:space="preserve">Assessment results are stored in</w:t>
      </w:r>
      <w:r>
        <w:t xml:space="preserve"> </w:t>
      </w:r>
      <w:r>
        <w:rPr>
          <w:rStyle w:val="VerbatimChar"/>
        </w:rPr>
        <w:t xml:space="preserve">customer_credit_assessments</w:t>
      </w:r>
      <w:r>
        <w:t xml:space="preserve"> </w:t>
      </w:r>
      <w:r>
        <w:t xml:space="preserve">— one row per scoring run, with scores between 0 and 100 (DB-enforced). This table is append-only; scores are not updated in place.</w:t>
      </w:r>
    </w:p>
    <w:bookmarkEnd w:id="54"/>
    <w:bookmarkStart w:id="55" w:name="manual-override-vs-engine-control"/>
    <w:p>
      <w:pPr>
        <w:pStyle w:val="Heading3"/>
      </w:pPr>
      <w:r>
        <w:t xml:space="preserve">11.5 Manual Override vs Engine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4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creditLimitSource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'engine'</w:t>
            </w:r>
          </w:p>
        </w:tc>
        <w:tc>
          <w:tcPr/>
          <w:p>
            <w:pPr>
              <w:pStyle w:val="Compact"/>
            </w:pPr>
            <w:r>
              <w:t xml:space="preserve">Engine updates</w:t>
            </w:r>
            <w:r>
              <w:t xml:space="preserve"> </w:t>
            </w:r>
            <w:r>
              <w:rPr>
                <w:rStyle w:val="VerbatimChar"/>
              </w:rPr>
              <w:t xml:space="preserve">customers.creditLimit</w:t>
            </w:r>
            <w:r>
              <w:t xml:space="preserve"> </w:t>
            </w:r>
            <w:r>
              <w:t xml:space="preserve">on each recompute (capped by</w:t>
            </w:r>
            <w:r>
              <w:t xml:space="preserve"> </w:t>
            </w:r>
            <w:r>
              <w:rPr>
                <w:rStyle w:val="VerbatimChar"/>
              </w:rPr>
              <w:t xml:space="preserve">engineMax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'manual'</w:t>
            </w:r>
          </w:p>
        </w:tc>
        <w:tc>
          <w:tcPr/>
          <w:p>
            <w:pPr>
              <w:pStyle w:val="Compact"/>
            </w:pPr>
            <w:r>
              <w:t xml:space="preserve">Engine runs but does not update</w:t>
            </w:r>
            <w:r>
              <w:t xml:space="preserve"> </w:t>
            </w:r>
            <w:r>
              <w:rPr>
                <w:rStyle w:val="VerbatimChar"/>
              </w:rPr>
              <w:t xml:space="preserve">creditLimit</w:t>
            </w:r>
            <w:r>
              <w:t xml:space="preserve">; recommendation is advisory only</w:t>
            </w:r>
          </w:p>
        </w:tc>
      </w:tr>
    </w:tbl>
    <w:p>
      <w:pPr>
        <w:pStyle w:val="BodyText"/>
      </w:pPr>
      <w:r>
        <w:t xml:space="preserve">When a manual limit goes stale (no engine recompute has occurred recently), the system surfaces a reminder in the Credit Review view. Operators can snooze the reminder (</w:t>
      </w:r>
      <w:r>
        <w:rPr>
          <w:rStyle w:val="VerbatimChar"/>
        </w:rPr>
        <w:t xml:space="preserve">snoozeCustomerCreditReminder</w:t>
      </w:r>
      <w:r>
        <w:t xml:space="preserve">) for 60 days.</w:t>
      </w:r>
    </w:p>
    <w:bookmarkEnd w:id="55"/>
    <w:bookmarkStart w:id="56" w:name="shadow-mode"/>
    <w:p>
      <w:pPr>
        <w:pStyle w:val="Heading3"/>
      </w:pPr>
      <w:r>
        <w:t xml:space="preserve">11.6 Shadow Mode</w:t>
      </w:r>
    </w:p>
    <w:p>
      <w:pPr>
        <w:pStyle w:val="FirstParagraph"/>
      </w:pPr>
      <w:r>
        <w:t xml:space="preserve">The credit engine supports a</w:t>
      </w:r>
      <w:r>
        <w:t xml:space="preserve"> </w:t>
      </w:r>
      <w:r>
        <w:rPr>
          <w:b/>
          <w:bCs/>
        </w:rPr>
        <w:t xml:space="preserve">shadow mode</w:t>
      </w:r>
      <w:r>
        <w:t xml:space="preserve"> </w:t>
      </w:r>
      <w:r>
        <w:t xml:space="preserve">where it runs and produces recommendations but does not apply them to</w:t>
      </w:r>
      <w:r>
        <w:t xml:space="preserve"> </w:t>
      </w:r>
      <w:r>
        <w:rPr>
          <w:rStyle w:val="VerbatimChar"/>
        </w:rPr>
        <w:t xml:space="preserve">customers.creditLimit</w:t>
      </w:r>
      <w:r>
        <w:t xml:space="preserve">. This allows owners to test new stance configurations or engine parameter changes without affecting live credit decisions.</w:t>
      </w:r>
    </w:p>
    <w:bookmarkEnd w:id="56"/>
    <w:bookmarkStart w:id="57" w:name="configuration-history"/>
    <w:p>
      <w:pPr>
        <w:pStyle w:val="Heading3"/>
      </w:pPr>
      <w:r>
        <w:t xml:space="preserve">11.7 Configuration History</w:t>
      </w:r>
    </w:p>
    <w:p>
      <w:pPr>
        <w:pStyle w:val="FirstParagraph"/>
      </w:pPr>
      <w:r>
        <w:t xml:space="preserve">All changes to</w:t>
      </w:r>
      <w:r>
        <w:t xml:space="preserve"> </w:t>
      </w:r>
      <w:r>
        <w:rPr>
          <w:rStyle w:val="VerbatimChar"/>
        </w:rPr>
        <w:t xml:space="preserve">creditEngineConfig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creditEngineStances</w:t>
      </w:r>
      <w:r>
        <w:t xml:space="preserve"> </w:t>
      </w:r>
      <w:r>
        <w:t xml:space="preserve">are logged in append-only history tables (</w:t>
      </w:r>
      <w:r>
        <w:rPr>
          <w:rStyle w:val="VerbatimChar"/>
        </w:rPr>
        <w:t xml:space="preserve">credit_engine_config_history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credit_engine_stance_history</w:t>
      </w:r>
      <w:r>
        <w:t xml:space="preserve">). This provides a complete audit trail of how the engine’s behavior has changed over time.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inventory-movement-tracking"/>
    <w:p>
      <w:pPr>
        <w:pStyle w:val="Heading2"/>
      </w:pPr>
      <w:r>
        <w:t xml:space="preserve">12. Inventory Movement Tracking</w:t>
      </w:r>
    </w:p>
    <w:p>
      <w:pPr>
        <w:pStyle w:val="FirstParagraph"/>
      </w:pPr>
      <w:r>
        <w:t xml:space="preserve">Every change to inventory quantity, status, location, or ownership writes an append-only row to the</w:t>
      </w:r>
      <w:r>
        <w:t xml:space="preserve"> </w:t>
      </w:r>
      <w:r>
        <w:rPr>
          <w:rStyle w:val="VerbatimChar"/>
        </w:rPr>
        <w:t xml:space="preserve">inventoryMovements</w:t>
      </w:r>
      <w:r>
        <w:t xml:space="preserve"> </w:t>
      </w:r>
      <w:r>
        <w:t xml:space="preserve">table. This provides a complete audit trail at the lot level — separate from and complementary to the command journal.</w:t>
      </w:r>
    </w:p>
    <w:p>
      <w:pPr>
        <w:pStyle w:val="BodyText"/>
      </w:pPr>
      <w:r>
        <w:rPr>
          <w:b/>
          <w:bCs/>
        </w:rPr>
        <w:t xml:space="preserve">Events captured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inventoryMovements</w:t>
      </w:r>
      <w:r>
        <w:rPr>
          <w:b/>
          <w:bCs/>
        </w:rP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— quantity adjustment (manual)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— status change (live, held, damaged,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transferInventoryLocation</w:t>
      </w:r>
      <w:r>
        <w:t xml:space="preserve"> </w:t>
      </w:r>
      <w:r>
        <w:t xml:space="preserve">— location update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transferInventoryOwnership</w:t>
      </w:r>
      <w:r>
        <w:t xml:space="preserve"> </w:t>
      </w:r>
      <w:r>
        <w:t xml:space="preserve">— ownership status change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reserveInventoryForOrder</w:t>
      </w:r>
      <w:r>
        <w:t xml:space="preserve"> </w:t>
      </w:r>
      <w:r>
        <w:t xml:space="preserve">— reservation (qty held for a sales order)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— conversion from reserved to sold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— return to available</w:t>
      </w:r>
    </w:p>
    <w:p>
      <w:pPr>
        <w:pStyle w:val="BodyText"/>
      </w:pPr>
      <w:r>
        <w:t xml:space="preserve">Each row includes:</w:t>
      </w:r>
      <w:r>
        <w:t xml:space="preserve"> </w:t>
      </w:r>
      <w:r>
        <w:rPr>
          <w:rStyle w:val="VerbatimChar"/>
        </w:rPr>
        <w:t xml:space="preserve">batchId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quantityBefore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statusBefore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commandJournalId</w:t>
      </w:r>
      <w:r>
        <w:t xml:space="preserve"> </w:t>
      </w:r>
      <w:r>
        <w:t xml:space="preserve">(FK to the command that caused the movement),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.</w:t>
      </w:r>
    </w:p>
    <w:p>
      <w:pPr>
        <w:pStyle w:val="BodyText"/>
      </w:pPr>
      <w:r>
        <w:t xml:space="preserve">This table is the source of truth for lot-level traceability — useful for compliance, discrepancy investigation, and cost accounting.</w:t>
      </w:r>
    </w:p>
    <w:p>
      <w:r>
        <w:pict>
          <v:rect style="width:0;height:1.5pt" o:hralign="center" o:hrstd="t" o:hr="t"/>
        </w:pict>
      </w:r>
    </w:p>
    <w:bookmarkEnd w:id="59"/>
    <w:bookmarkStart w:id="65" w:name="media-and-file-storage"/>
    <w:p>
      <w:pPr>
        <w:pStyle w:val="Heading2"/>
      </w:pPr>
      <w:r>
        <w:t xml:space="preserve">13. Media and File Storage</w:t>
      </w:r>
    </w:p>
    <w:bookmarkStart w:id="60" w:name="storage-model"/>
    <w:p>
      <w:pPr>
        <w:pStyle w:val="Heading3"/>
      </w:pPr>
      <w:r>
        <w:t xml:space="preserve">13.1 Storage Model</w:t>
      </w:r>
    </w:p>
    <w:p>
      <w:pPr>
        <w:pStyle w:val="FirstParagraph"/>
      </w:pPr>
      <w:r>
        <w:t xml:space="preserve">Batch media (photos, videos) is tracked via the</w:t>
      </w:r>
      <w:r>
        <w:t xml:space="preserve"> </w:t>
      </w:r>
      <w:r>
        <w:rPr>
          <w:rStyle w:val="VerbatimChar"/>
        </w:rPr>
        <w:t xml:space="preserve">batchMedia</w:t>
      </w:r>
      <w:r>
        <w:t xml:space="preserve"> </w:t>
      </w:r>
      <w:r>
        <w:t xml:space="preserve">table. File storage is handled separately from the DB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Development / self-hosted:</w:t>
      </w:r>
      <w:r>
        <w:t xml:space="preserve"> </w:t>
      </w:r>
      <w:r>
        <w:t xml:space="preserve">Files stored on the local filesystem under a configured</w:t>
      </w:r>
      <w:r>
        <w:t xml:space="preserve"> </w:t>
      </w:r>
      <w:r>
        <w:rPr>
          <w:rStyle w:val="VerbatimChar"/>
        </w:rPr>
        <w:t xml:space="preserve">MEDIA_DIR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Production:</w:t>
      </w:r>
      <w:r>
        <w:t xml:space="preserve"> </w:t>
      </w:r>
      <w:r>
        <w:t xml:space="preserve">Designed for object storage (e.g., S3-compatible) via environment configuration. The</w:t>
      </w:r>
      <w:r>
        <w:t xml:space="preserve"> </w:t>
      </w:r>
      <w:r>
        <w:rPr>
          <w:rStyle w:val="VerbatimChar"/>
        </w:rPr>
        <w:t xml:space="preserve">batchMedia</w:t>
      </w:r>
      <w:r>
        <w:t xml:space="preserve"> </w:t>
      </w:r>
      <w:r>
        <w:t xml:space="preserve">table stores the storage path/key.</w:t>
      </w:r>
    </w:p>
    <w:bookmarkEnd w:id="60"/>
    <w:bookmarkStart w:id="61" w:name="upload-token-flow"/>
    <w:p>
      <w:pPr>
        <w:pStyle w:val="Heading3"/>
      </w:pPr>
      <w:r>
        <w:t xml:space="preserve">13.2 Upload Token Flow</w:t>
      </w:r>
    </w:p>
    <w:p>
      <w:pPr>
        <w:pStyle w:val="FirstParagraph"/>
      </w:pPr>
      <w:r>
        <w:t xml:space="preserve">To support secure mobile uploads (e.g., a photographer using a phone), the system uses single-use, time-limited upload tokens: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mintPhotoUploadToken</w:t>
      </w:r>
      <w:r>
        <w:t xml:space="preserve"> </w:t>
      </w:r>
      <w:r>
        <w:t xml:space="preserve">— server creates a token record with an expiry (</w:t>
      </w:r>
      <w:r>
        <w:rPr>
          <w:rStyle w:val="VerbatimChar"/>
        </w:rPr>
        <w:t xml:space="preserve">ttlMinutes</w:t>
      </w:r>
      <w:r>
        <w:t xml:space="preserve">, 1–1440). Returns the raw token</w:t>
      </w:r>
      <w:r>
        <w:t xml:space="preserve"> </w:t>
      </w:r>
      <w:r>
        <w:rPr>
          <w:b/>
          <w:bCs/>
        </w:rPr>
        <w:t xml:space="preserve">once only</w:t>
      </w:r>
      <w:r>
        <w:t xml:space="preserve"> </w:t>
      </w:r>
      <w:r>
        <w:t xml:space="preserve">to the caller.</w:t>
      </w:r>
    </w:p>
    <w:p>
      <w:pPr>
        <w:pStyle w:val="Compact"/>
        <w:numPr>
          <w:ilvl w:val="0"/>
          <w:numId w:val="1005"/>
        </w:numPr>
      </w:pPr>
      <w:r>
        <w:t xml:space="preserve">Token is</w:t>
      </w:r>
      <w:r>
        <w:t xml:space="preserve"> </w:t>
      </w:r>
      <w:r>
        <w:rPr>
          <w:b/>
          <w:bCs/>
        </w:rPr>
        <w:t xml:space="preserve">redacted from the command journal</w:t>
      </w:r>
      <w:r>
        <w:t xml:space="preserve"> </w:t>
      </w:r>
      <w:r>
        <w:t xml:space="preserve">before storage (security requirement).</w:t>
      </w:r>
    </w:p>
    <w:p>
      <w:pPr>
        <w:pStyle w:val="Compact"/>
        <w:numPr>
          <w:ilvl w:val="0"/>
          <w:numId w:val="1005"/>
        </w:numPr>
      </w:pPr>
      <w:r>
        <w:t xml:space="preserve">Mobile client uses the token to upload the file directly (token validates on the upload endpoint).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revokePhotoUploadToken</w:t>
      </w:r>
      <w:r>
        <w:t xml:space="preserve"> </w:t>
      </w:r>
      <w:r>
        <w:t xml:space="preserve">— operator can invalidate an unused token.</w:t>
      </w:r>
    </w:p>
    <w:bookmarkEnd w:id="61"/>
    <w:bookmarkStart w:id="62" w:name="media-lifecycle"/>
    <w:p>
      <w:pPr>
        <w:pStyle w:val="Heading3"/>
      </w:pPr>
      <w:r>
        <w:t xml:space="preserve">13.3 Media Lifecycle</w:t>
      </w:r>
    </w:p>
    <w:p>
      <w:pPr>
        <w:pStyle w:val="SourceCode"/>
      </w:pPr>
      <w:r>
        <w:rPr>
          <w:rStyle w:val="VerbatimChar"/>
        </w:rPr>
        <w:t xml:space="preserve">uploadBatchMedia → batchMedia{status: 'draft'}</w:t>
      </w:r>
      <w:r>
        <w:br/>
      </w:r>
      <w:r>
        <w:rPr>
          <w:rStyle w:val="VerbatimChar"/>
        </w:rPr>
        <w:t xml:space="preserve">setBatchMediaRole → role assigned ('primary_photo', 'primary_video', 'additional')</w:t>
      </w:r>
      <w:r>
        <w:br/>
      </w:r>
      <w:r>
        <w:rPr>
          <w:rStyle w:val="VerbatimChar"/>
        </w:rPr>
        <w:t xml:space="preserve">publishBatchMedia → batchMedia{status: 'published', publishedAt}</w:t>
      </w:r>
    </w:p>
    <w:p>
      <w:pPr>
        <w:pStyle w:val="FirstParagraph"/>
      </w:pPr>
      <w:r>
        <w:t xml:space="preserve">The batch’s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field reflects the aggregate media state: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 </w:t>
      </w:r>
      <w:r>
        <w:t xml:space="preserve">— no published 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— draft media exists but nothing published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'done'</w:t>
      </w:r>
      <w:r>
        <w:t xml:space="preserve"> </w:t>
      </w:r>
      <w:r>
        <w:t xml:space="preserve">— at least one published primary photo exists</w:t>
      </w:r>
    </w:p>
    <w:bookmarkEnd w:id="62"/>
    <w:bookmarkStart w:id="63" w:name="uniqueness-enforcement"/>
    <w:p>
      <w:pPr>
        <w:pStyle w:val="Heading3"/>
      </w:pPr>
      <w:r>
        <w:t xml:space="preserve">13.4 Uniqueness Enforcement</w:t>
      </w:r>
    </w:p>
    <w:p>
      <w:pPr>
        <w:pStyle w:val="FirstParagraph"/>
      </w:pPr>
      <w:r>
        <w:t xml:space="preserve">A DB unique index (</w:t>
      </w:r>
      <w:r>
        <w:rPr>
          <w:rStyle w:val="VerbatimChar"/>
        </w:rPr>
        <w:t xml:space="preserve">batch_media_primary_photo_unique</w:t>
      </w:r>
      <w:r>
        <w:t xml:space="preserve">) ensures only one active published primary photo per batch. A separate index enforces the same for</w:t>
      </w:r>
      <w:r>
        <w:t xml:space="preserve"> </w:t>
      </w:r>
      <w:r>
        <w:rPr>
          <w:rStyle w:val="VerbatimChar"/>
        </w:rPr>
        <w:t xml:space="preserve">primary_video</w:t>
      </w:r>
      <w:r>
        <w:t xml:space="preserve">. The application enforces this at the command level (with a clear error message), and the DB enforces it as a last-resort guard.</w:t>
      </w:r>
    </w:p>
    <w:bookmarkEnd w:id="63"/>
    <w:bookmarkStart w:id="64" w:name="deletion-behavior"/>
    <w:p>
      <w:pPr>
        <w:pStyle w:val="Heading3"/>
      </w:pPr>
      <w:r>
        <w:t xml:space="preserve">13.5 Deletion Behavior</w:t>
      </w:r>
    </w:p>
    <w:p>
      <w:pPr>
        <w:pStyle w:val="FirstParagraph"/>
      </w:pPr>
      <w:r>
        <w:rPr>
          <w:rStyle w:val="VerbatimChar"/>
        </w:rPr>
        <w:t xml:space="preserve">deleteBatchMedia</w:t>
      </w:r>
      <w:r>
        <w:t xml:space="preserve"> </w:t>
      </w:r>
      <w:r>
        <w:t xml:space="preserve">deletes the DB row and makes a</w:t>
      </w:r>
      <w:r>
        <w:t xml:space="preserve"> </w:t>
      </w:r>
      <w:r>
        <w:rPr>
          <w:b/>
          <w:bCs/>
        </w:rPr>
        <w:t xml:space="preserve">best-effort</w:t>
      </w:r>
      <w:r>
        <w:t xml:space="preserve"> </w:t>
      </w:r>
      <w:r>
        <w:t xml:space="preserve">attempt to delete the file from storage. If the storage delete fails, the system logs a warning but does not throw. This prevents a storage error from corrupting the DB record and leaving the system in a broken state. Stale files may accumulate in storage and require periodic cleanup.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frontend-architecture"/>
    <w:p>
      <w:pPr>
        <w:pStyle w:val="Heading2"/>
      </w:pPr>
      <w:r>
        <w:t xml:space="preserve">14. Frontend Architecture</w:t>
      </w:r>
    </w:p>
    <w:bookmarkStart w:id="66" w:name="view-routing"/>
    <w:p>
      <w:pPr>
        <w:pStyle w:val="Heading3"/>
      </w:pPr>
      <w:r>
        <w:t xml:space="preserve">14.1 View Routing</w:t>
      </w:r>
    </w:p>
    <w:p>
      <w:pPr>
        <w:pStyle w:val="FirstParagraph"/>
      </w:pPr>
      <w:r>
        <w:t xml:space="preserve">TERP Operator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a URL router (no React Router, no Next.js). View routing is managed entirely by Zustand (</w:t>
      </w:r>
      <w:r>
        <w:rPr>
          <w:rStyle w:val="VerbatimChar"/>
        </w:rPr>
        <w:t xml:space="preserve">useUiStore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ViewKey</w:t>
      </w:r>
      <w:r>
        <w:t xml:space="preserve"> </w:t>
      </w:r>
      <w:r>
        <w:t xml:space="preserve">union (</w:t>
      </w:r>
      <w:r>
        <w:rPr>
          <w:rStyle w:val="VerbatimChar"/>
        </w:rPr>
        <w:t xml:space="preserve">src/shared/types.ts</w:t>
      </w:r>
      <w:r>
        <w:t xml:space="preserve">) is the canonical list of all views; switching views is a state update, not a URL navigation.</w:t>
      </w:r>
    </w:p>
    <w:p>
      <w:pPr>
        <w:pStyle w:val="BodyText"/>
      </w:pPr>
      <w:r>
        <w:rPr>
          <w:b/>
          <w:bCs/>
        </w:rPr>
        <w:t xml:space="preserve">Rationale:</w:t>
      </w:r>
      <w:r>
        <w:t xml:space="preserve"> </w:t>
      </w:r>
      <w:r>
        <w:t xml:space="preserve">Dense operator tools benefit from view switching that does not trigger full page loads, browser history clutter, or back/forward navigation surprises. The operator’s mental model is</w:t>
      </w:r>
      <w:r>
        <w:t xml:space="preserve"> </w:t>
      </w:r>
      <w:r>
        <w:t xml:space="preserve">“I’m in one workspace with multiple surfaces,”</w:t>
      </w:r>
      <w:r>
        <w:t xml:space="preserve"> </w:t>
      </w:r>
      <w:r>
        <w:t xml:space="preserve">not</w:t>
      </w:r>
      <w:r>
        <w:t xml:space="preserve"> </w:t>
      </w:r>
      <w:r>
        <w:t xml:space="preserve">“I’m navigating a website.”</w:t>
      </w:r>
    </w:p>
    <w:bookmarkEnd w:id="66"/>
    <w:bookmarkStart w:id="67" w:name="ag-grid-pattern"/>
    <w:p>
      <w:pPr>
        <w:pStyle w:val="Heading3"/>
      </w:pPr>
      <w:r>
        <w:t xml:space="preserve">14.2 AG Grid Pattern</w:t>
      </w:r>
    </w:p>
    <w:p>
      <w:pPr>
        <w:pStyle w:val="FirstParagraph"/>
      </w:pPr>
      <w:r>
        <w:t xml:space="preserve">Every main view is an</w:t>
      </w:r>
      <w:r>
        <w:t xml:space="preserve"> </w:t>
      </w:r>
      <w:r>
        <w:rPr>
          <w:b/>
          <w:bCs/>
        </w:rPr>
        <w:t xml:space="preserve">AG Grid</w:t>
      </w:r>
      <w:r>
        <w:t xml:space="preserve"> </w:t>
      </w:r>
      <w:r>
        <w:t xml:space="preserve">instance wrapped in the</w:t>
      </w:r>
      <w:r>
        <w:t xml:space="preserve"> </w:t>
      </w:r>
      <w:r>
        <w:rPr>
          <w:rStyle w:val="VerbatimChar"/>
        </w:rPr>
        <w:t xml:space="preserve">OperatorGrid</w:t>
      </w:r>
      <w:r>
        <w:t xml:space="preserve"> </w:t>
      </w:r>
      <w:r>
        <w:t xml:space="preserve">component. Key patterns: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≤8 columns per grid</w:t>
      </w:r>
      <w:r>
        <w:t xml:space="preserve"> </w:t>
      </w:r>
      <w:r>
        <w:t xml:space="preserve">— enforced by a lint/audit rule (</w:t>
      </w:r>
      <w:r>
        <w:rPr>
          <w:rStyle w:val="VerbatimChar"/>
        </w:rPr>
        <w:t xml:space="preserve">pnpm audit:parity</w:t>
      </w:r>
      <w:r>
        <w:t xml:space="preserve">). Operators scan horizontally; more columns require horizontal scrolling which breaks the spreadsheet feel.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Inline editing</w:t>
      </w:r>
      <w:r>
        <w:t xml:space="preserve"> </w:t>
      </w:r>
      <w:r>
        <w:t xml:space="preserve">— AG Grid’s</w:t>
      </w:r>
      <w:r>
        <w:t xml:space="preserve"> </w:t>
      </w:r>
      <w:r>
        <w:rPr>
          <w:rStyle w:val="VerbatimChar"/>
        </w:rPr>
        <w:t xml:space="preserve">editable</w:t>
      </w:r>
      <w:r>
        <w:t xml:space="preserve"> </w:t>
      </w:r>
      <w:r>
        <w:t xml:space="preserve">column option is the default for operator-owned fields. Modal forms are used only when the edit is too complex for an inline cell.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Row command actions</w:t>
      </w:r>
      <w:r>
        <w:t xml:space="preserve"> </w:t>
      </w:r>
      <w:r>
        <w:t xml:space="preserve">— context menus and action columns trigger commands via</w:t>
      </w:r>
      <w:r>
        <w:t xml:space="preserve"> </w:t>
      </w:r>
      <w:r>
        <w:rPr>
          <w:rStyle w:val="VerbatimChar"/>
        </w:rPr>
        <w:t xml:space="preserve">useCommandRunner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Keyboard navigation</w:t>
      </w:r>
      <w:r>
        <w:t xml:space="preserve"> </w:t>
      </w:r>
      <w:r>
        <w:t xml:space="preserve">— Tab, Enter, Esc, Cmd+C/V work natively via AG Grid. The</w:t>
      </w:r>
      <w:r>
        <w:t xml:space="preserve"> </w:t>
      </w:r>
      <w:r>
        <w:rPr>
          <w:rStyle w:val="VerbatimChar"/>
        </w:rPr>
        <w:t xml:space="preserve">OperatorGrid</w:t>
      </w:r>
      <w:r>
        <w:t xml:space="preserve"> </w:t>
      </w:r>
      <w:r>
        <w:t xml:space="preserve">wrapper does not override AG Grid’s default keyboard handling.</w:t>
      </w:r>
    </w:p>
    <w:bookmarkEnd w:id="67"/>
    <w:bookmarkStart w:id="68" w:name="drawer-state-machine"/>
    <w:p>
      <w:pPr>
        <w:pStyle w:val="Heading3"/>
      </w:pPr>
      <w:r>
        <w:t xml:space="preserve">14.3 Drawer State Machine</w:t>
      </w:r>
    </w:p>
    <w:p>
      <w:pPr>
        <w:pStyle w:val="FirstParagraph"/>
      </w:pPr>
      <w:r>
        <w:t xml:space="preserve">The right-side contextual drawer (</w:t>
      </w:r>
      <w:r>
        <w:rPr>
          <w:rStyle w:val="VerbatimChar"/>
        </w:rPr>
        <w:t xml:space="preserve">ContextDrawer</w:t>
      </w:r>
      <w:r>
        <w:t xml:space="preserve">) follows a defined state machine managed in Zustand:</w:t>
      </w:r>
    </w:p>
    <w:p>
      <w:pPr>
        <w:pStyle w:val="SourceCode"/>
      </w:pPr>
      <w:r>
        <w:rPr>
          <w:rStyle w:val="VerbatimChar"/>
        </w:rPr>
        <w:t xml:space="preserve">closed → peek → standard → wide → focus → standard (cycle)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closed</w:t>
      </w:r>
      <w:r>
        <w:t xml:space="preserve"> </w:t>
      </w:r>
      <w:r>
        <w:t xml:space="preserve">— drawer not visible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peek</w:t>
      </w:r>
      <w:r>
        <w:t xml:space="preserve"> </w:t>
      </w:r>
      <w:r>
        <w:t xml:space="preserve">— narrow strip with minimal context (collapsed)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standard</w:t>
      </w:r>
      <w:r>
        <w:t xml:space="preserve"> </w:t>
      </w:r>
      <w:r>
        <w:t xml:space="preserve">— default expanded state with tabs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wide</w:t>
      </w:r>
      <w:r>
        <w:t xml:space="preserve"> </w:t>
      </w:r>
      <w:r>
        <w:t xml:space="preserve">— full detail view for complex entities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focus</w:t>
      </w:r>
      <w:r>
        <w:t xml:space="preserve"> </w:t>
      </w:r>
      <w:r>
        <w:t xml:space="preserve">— maximized, hides the main grid (deep context work)</w:t>
      </w:r>
    </w:p>
    <w:p>
      <w:pPr>
        <w:pStyle w:val="FirstParagraph"/>
      </w:pPr>
      <w:r>
        <w:t xml:space="preserve">State is preserved across view switches — an open drawer for a sales order remains open when the operator briefly switches to the inventory view and returns.</w:t>
      </w:r>
    </w:p>
    <w:bookmarkEnd w:id="68"/>
    <w:bookmarkStart w:id="69" w:name="usecommandrunner-hook"/>
    <w:p>
      <w:pPr>
        <w:pStyle w:val="Heading3"/>
      </w:pPr>
      <w:r>
        <w:t xml:space="preserve">14.4 useCommandRunner Hook</w:t>
      </w:r>
    </w:p>
    <w:p>
      <w:pPr>
        <w:pStyle w:val="FirstParagraph"/>
      </w:pPr>
      <w:r>
        <w:t xml:space="preserve">All command execution from the UI goes through</w:t>
      </w:r>
      <w:r>
        <w:t xml:space="preserve"> </w:t>
      </w:r>
      <w:r>
        <w:rPr>
          <w:rStyle w:val="VerbatimChar"/>
        </w:rPr>
        <w:t xml:space="preserve">useCommandRunner</w:t>
      </w:r>
      <w:r>
        <w:t xml:space="preserve">. This hook:</w:t>
      </w:r>
      <w:r>
        <w:t xml:space="preserve"> </w:t>
      </w:r>
      <w:r>
        <w:t xml:space="preserve">1. Generates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(</w:t>
      </w:r>
      <w:r>
        <w:rPr>
          <w:rStyle w:val="VerbatimChar"/>
        </w:rPr>
        <w:t xml:space="preserve">${commandName}-${uuidv4()}</w:t>
      </w:r>
      <w:r>
        <w:t xml:space="preserve">).</w:t>
      </w:r>
      <w:r>
        <w:t xml:space="preserve"> </w:t>
      </w:r>
      <w:r>
        <w:t xml:space="preserve">2. Calls the tRPC mutation.</w:t>
      </w:r>
      <w:r>
        <w:t xml:space="preserve"> </w:t>
      </w:r>
      <w:r>
        <w:t xml:space="preserve">3. Shows a loading state (disables the triggering button).</w:t>
      </w:r>
      <w:r>
        <w:t xml:space="preserve"> </w:t>
      </w:r>
      <w:r>
        <w:t xml:space="preserve">4. Shows a success or error toast on completion.</w:t>
      </w:r>
      <w:r>
        <w:t xml:space="preserve"> </w:t>
      </w:r>
      <w:r>
        <w:t xml:space="preserve">5.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manually invalidate queries — that is handled by the Socket.io listener.</w:t>
      </w:r>
    </w:p>
    <w:bookmarkEnd w:id="69"/>
    <w:bookmarkStart w:id="70" w:name="hybrid-styling"/>
    <w:p>
      <w:pPr>
        <w:pStyle w:val="Heading3"/>
      </w:pPr>
      <w:r>
        <w:t xml:space="preserve">14.5 Hybrid Styling</w:t>
      </w:r>
    </w:p>
    <w:p>
      <w:pPr>
        <w:pStyle w:val="FirstParagraph"/>
      </w:pPr>
      <w:r>
        <w:t xml:space="preserve">The UI uses a hybrid styling system: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Tailwind CSS</w:t>
      </w:r>
      <w:r>
        <w:t xml:space="preserve"> </w:t>
      </w:r>
      <w:r>
        <w:t xml:space="preserve">for utility classes (spacing, color, layout).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Hand-written semantic CSS classes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.primary-button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.view-stack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.operator-grid-container</w:t>
      </w:r>
      <w:r>
        <w:t xml:space="preserve">) for core components. These semantic classes are documented in</w:t>
      </w:r>
      <w:r>
        <w:t xml:space="preserve"> </w:t>
      </w:r>
      <w:r>
        <w:rPr>
          <w:rStyle w:val="VerbatimChar"/>
        </w:rPr>
        <w:t xml:space="preserve">docs/design-system/</w:t>
      </w:r>
      <w:r>
        <w:t xml:space="preserve">.</w:t>
      </w:r>
    </w:p>
    <w:p>
      <w:pPr>
        <w:pStyle w:val="BodyText"/>
      </w:pPr>
      <w:r>
        <w:t xml:space="preserve">The hybrid approach was chosen because the dense, spreadsheet-native UI requires precise control over grid layouts and operator-specific visual patterns that utility-class systems do not express cleanly.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and-verification"/>
    <w:p>
      <w:pPr>
        <w:pStyle w:val="Heading2"/>
      </w:pPr>
      <w:r>
        <w:t xml:space="preserve">15. Testing and Verification</w:t>
      </w:r>
    </w:p>
    <w:bookmarkStart w:id="72" w:name="test-suite"/>
    <w:p>
      <w:pPr>
        <w:pStyle w:val="Heading3"/>
      </w:pPr>
      <w:r>
        <w:t xml:space="preserve">15.1 Test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1188"/>
        <w:gridCol w:w="138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browser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tests/e2e/operator-console.spec.ts</w:t>
            </w:r>
          </w:p>
        </w:tc>
        <w:tc>
          <w:tcPr/>
          <w:p>
            <w:pPr>
              <w:pStyle w:val="Compact"/>
            </w:pPr>
            <w:r>
              <w:t xml:space="preserve">Core operator flows (16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tests/e2e/adversarial-command-contracts.spec.ts</w:t>
            </w:r>
          </w:p>
        </w:tc>
        <w:tc>
          <w:tcPr/>
          <w:p>
            <w:pPr>
              <w:pStyle w:val="Compact"/>
            </w:pPr>
            <w:r>
              <w:t xml:space="preserve">Edge cases, guard conditions,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Roadmap gate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tests/e2e/roadmap-final-gate.spec.ts</w:t>
            </w:r>
          </w:p>
        </w:tc>
        <w:tc>
          <w:tcPr/>
          <w:p>
            <w:pPr>
              <w:pStyle w:val="Compact"/>
            </w:pPr>
            <w:r>
              <w:t xml:space="preserve">Roadmap completion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/ integration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src/**/*.spec.ts</w:t>
            </w:r>
          </w:p>
        </w:tc>
        <w:tc>
          <w:tcPr/>
          <w:p>
            <w:pPr>
              <w:pStyle w:val="Compact"/>
            </w:pPr>
            <w:r>
              <w:t xml:space="preserve">Command logic, utility functions</w:t>
            </w:r>
          </w:p>
        </w:tc>
      </w:tr>
    </w:tbl>
    <w:bookmarkEnd w:id="72"/>
    <w:bookmarkStart w:id="73" w:name="audit-scripts"/>
    <w:p>
      <w:pPr>
        <w:pStyle w:val="Heading3"/>
      </w:pPr>
      <w:r>
        <w:t xml:space="preserve">15.2 Audit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51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audit:parity</w:t>
            </w:r>
          </w:p>
        </w:tc>
        <w:tc>
          <w:tcPr/>
          <w:p>
            <w:pPr>
              <w:pStyle w:val="Compact"/>
            </w:pPr>
            <w:r>
              <w:t xml:space="preserve">Command catalog vs. UI parity — every command must have a UI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audit:product-roadmap</w:t>
            </w:r>
          </w:p>
        </w:tc>
        <w:tc>
          <w:tcPr/>
          <w:p>
            <w:pPr>
              <w:pStyle w:val="Compact"/>
            </w:pPr>
            <w:r>
              <w:t xml:space="preserve">Roadmap capability IDs vs. implemented surfaces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typecheck</w:t>
            </w:r>
          </w:p>
        </w:tc>
        <w:tc>
          <w:tcPr/>
          <w:p>
            <w:pPr>
              <w:pStyle w:val="Compact"/>
            </w:pPr>
            <w:r>
              <w:t xml:space="preserve">TypeScript type safety across full monorepo</w:t>
            </w:r>
          </w:p>
        </w:tc>
      </w:tr>
    </w:tbl>
    <w:bookmarkEnd w:id="73"/>
    <w:bookmarkStart w:id="74" w:name="ci-gate-minimum-bar"/>
    <w:p>
      <w:pPr>
        <w:pStyle w:val="Heading3"/>
      </w:pPr>
      <w:r>
        <w:t xml:space="preserve">15.3 CI Gate (Minimum Bar)</w:t>
      </w:r>
    </w:p>
    <w:p>
      <w:pPr>
        <w:pStyle w:val="FirstParagraph"/>
      </w:pPr>
      <w:r>
        <w:t xml:space="preserve">The minimum gate for any meaningful change: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typecheck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audit:parity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audit:product-roadmap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test:e2e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tests/e2e/operator-console.spec.ts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tests/e2e/adversarial-command-contracts.spec.ts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tests/e2e/roadmap-final-gate.spec.ts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chromium</w:t>
      </w:r>
    </w:p>
    <w:p>
      <w:pPr>
        <w:pStyle w:val="FirstParagraph"/>
      </w:pPr>
      <w:r>
        <w:t xml:space="preserve">All 16 Playwright tests passed on Chromium after fresh seed as of the release train close (2026-06-01).</w:t>
      </w:r>
    </w:p>
    <w:bookmarkEnd w:id="74"/>
    <w:bookmarkStart w:id="75" w:name="playwright-environment"/>
    <w:p>
      <w:pPr>
        <w:pStyle w:val="Heading3"/>
      </w:pPr>
      <w:r>
        <w:t xml:space="preserve">15.4 Playwright Environment</w:t>
      </w:r>
    </w:p>
    <w:p>
      <w:pPr>
        <w:pStyle w:val="FirstParagraph"/>
      </w:pPr>
      <w:r>
        <w:t xml:space="preserve">E2E tests run against a seeded local database (</w:t>
      </w:r>
      <w:r>
        <w:rPr>
          <w:rStyle w:val="VerbatimChar"/>
        </w:rPr>
        <w:t xml:space="preserve">pnpm db:seed:realistic</w:t>
      </w:r>
      <w:r>
        <w:t xml:space="preserve">). The fast runner (DigitalOcean) is the preferred environment for E2E runs — Playwright, Chromium, and the full Node.js stack are too heavy for the Mac mini control plane under normal load. See</w:t>
      </w:r>
      <w:r>
        <w:t xml:space="preserve"> </w:t>
      </w:r>
      <w:r>
        <w:rPr>
          <w:rStyle w:val="VerbatimChar"/>
        </w:rPr>
        <w:t xml:space="preserve">FAST_RUNNER_POLICY.md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deployment-and-environment"/>
    <w:p>
      <w:pPr>
        <w:pStyle w:val="Heading2"/>
      </w:pPr>
      <w:r>
        <w:t xml:space="preserve">16. Deployment and Environment</w:t>
      </w:r>
    </w:p>
    <w:bookmarkStart w:id="77" w:name="self-hosted-model"/>
    <w:p>
      <w:pPr>
        <w:pStyle w:val="Heading3"/>
      </w:pPr>
      <w:r>
        <w:t xml:space="preserve">16.1 Self-Hosted Model</w:t>
      </w:r>
    </w:p>
    <w:p>
      <w:pPr>
        <w:pStyle w:val="FirstParagraph"/>
      </w:pPr>
      <w:r>
        <w:t xml:space="preserve">TERP Operator is designed for</w:t>
      </w:r>
      <w:r>
        <w:t xml:space="preserve"> </w:t>
      </w:r>
      <w:r>
        <w:rPr>
          <w:b/>
          <w:bCs/>
        </w:rPr>
        <w:t xml:space="preserve">owner-controlled, self-hosted infrastructure</w:t>
      </w:r>
      <w:r>
        <w:t xml:space="preserve"> </w:t>
      </w:r>
      <w:r>
        <w:t xml:space="preserve">— not a multi-tenant SaaS. This is a deliberate product decision: cannabis operators require data sovereignty and do not want their transaction data on third-party servers.</w:t>
      </w:r>
    </w:p>
    <w:bookmarkEnd w:id="77"/>
    <w:bookmarkStart w:id="78" w:name="environment-variables"/>
    <w:p>
      <w:pPr>
        <w:pStyle w:val="Heading3"/>
      </w:pPr>
      <w:r>
        <w:t xml:space="preserve">16.2 Environment Variables</w:t>
      </w:r>
    </w:p>
    <w:p>
      <w:pPr>
        <w:pStyle w:val="FirstParagraph"/>
      </w:pPr>
      <w:r>
        <w:t xml:space="preserve">Key environment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1"/>
        <w:gridCol w:w="1738"/>
        <w:gridCol w:w="42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Production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PostgreSQL connection 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SESSION_SECRET</w:t>
            </w:r>
          </w:p>
        </w:tc>
        <w:tc>
          <w:tcPr/>
          <w:p>
            <w:pPr>
              <w:pStyle w:val="Compact"/>
            </w:pPr>
            <w:r>
              <w:t xml:space="preserve">express-session secret</w:t>
            </w:r>
          </w:p>
        </w:tc>
        <w:tc>
          <w:tcPr/>
          <w:p>
            <w:pPr>
              <w:pStyle w:val="Compact"/>
            </w:pPr>
            <w:r>
              <w:t xml:space="preserve">Must not be the default dev value (server refuses to 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ARCHIVE_DIR</w:t>
            </w:r>
          </w:p>
        </w:tc>
        <w:tc>
          <w:tcPr/>
          <w:p>
            <w:pPr>
              <w:pStyle w:val="Compact"/>
            </w:pPr>
            <w:r>
              <w:t xml:space="preserve">Path for JSONL journal and archive artifacts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MEDIA_DIR</w:t>
            </w:r>
          </w:p>
        </w:tc>
        <w:tc>
          <w:tcPr/>
          <w:p>
            <w:pPr>
              <w:pStyle w:val="Compact"/>
            </w:pPr>
            <w:r>
              <w:t xml:space="preserve">Path for batch media file storage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'development'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'production'</w:t>
            </w:r>
          </w:p>
        </w:tc>
        <w:tc>
          <w:tcPr/>
          <w:p>
            <w:pPr>
              <w:pStyle w:val="Compact"/>
            </w:pPr>
            <w:r>
              <w:t xml:space="preserve">Affects secret enforcement, error detail level</w:t>
            </w:r>
          </w:p>
        </w:tc>
      </w:tr>
    </w:tbl>
    <w:bookmarkEnd w:id="78"/>
    <w:bookmarkStart w:id="79" w:name="database-setup"/>
    <w:p>
      <w:pPr>
        <w:pStyle w:val="Heading3"/>
      </w:pPr>
      <w:r>
        <w:t xml:space="preserve">16.3 Database Setup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</w:t>
      </w:r>
      <w:r>
        <w:rPr>
          <w:rStyle w:val="CommentTok"/>
        </w:rPr>
        <w:t xml:space="preserve"># Apply all pending migrations (idempotent)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db:seed      </w:t>
      </w:r>
      <w:r>
        <w:rPr>
          <w:rStyle w:val="CommentTok"/>
        </w:rPr>
        <w:t xml:space="preserve"># Seed minimal data (users, transaction types)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db:seed:realistic  </w:t>
      </w:r>
      <w:r>
        <w:rPr>
          <w:rStyle w:val="CommentTok"/>
        </w:rPr>
        <w:t xml:space="preserve"># Seed a realistic demo dataset (for QA/E2E)</w:t>
      </w:r>
    </w:p>
    <w:bookmarkEnd w:id="79"/>
    <w:bookmarkStart w:id="80" w:name="phase-7-deployment-items-planned"/>
    <w:p>
      <w:pPr>
        <w:pStyle w:val="Heading3"/>
      </w:pPr>
      <w:r>
        <w:t xml:space="preserve">16.4 Phase 7 Deployment Items (Planned)</w:t>
      </w:r>
    </w:p>
    <w:p>
      <w:pPr>
        <w:pStyle w:val="FirstParagraph"/>
      </w:pPr>
      <w:r>
        <w:t xml:space="preserve">The following deployment concerns are scoped to Phase 7 but not yet implemented:</w:t>
      </w:r>
      <w:r>
        <w:t xml:space="preserve"> </w:t>
      </w:r>
      <w:r>
        <w:t xml:space="preserve">- Production Docker image and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hardening</w:t>
      </w:r>
      <w:r>
        <w:t xml:space="preserve"> </w:t>
      </w:r>
      <w:r>
        <w:t xml:space="preserve">- TLS termination and reverse proxy configuration</w:t>
      </w:r>
      <w:r>
        <w:t xml:space="preserve"> </w:t>
      </w:r>
      <w:r>
        <w:t xml:space="preserve">- Automated backup and restore procedures</w:t>
      </w:r>
      <w:r>
        <w:t xml:space="preserve"> </w:t>
      </w:r>
      <w:r>
        <w:t xml:space="preserve">- Environment-specific secret management (Vault, env file conventions)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known-technical-constraints"/>
    <w:p>
      <w:pPr>
        <w:pStyle w:val="Heading2"/>
      </w:pPr>
      <w:r>
        <w:t xml:space="preserve">17. Known Technical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321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URL routing</w:t>
            </w:r>
          </w:p>
        </w:tc>
        <w:tc>
          <w:tcPr/>
          <w:p>
            <w:pPr>
              <w:pStyle w:val="Compact"/>
            </w:pPr>
            <w:r>
              <w:t xml:space="preserve">Views managed by Zustand, not URL</w:t>
            </w:r>
          </w:p>
        </w:tc>
        <w:tc>
          <w:tcPr/>
          <w:p>
            <w:pPr>
              <w:pStyle w:val="Compact"/>
            </w:pPr>
            <w:r>
              <w:t xml:space="preserve">No deep-linkable view URLs; back/forward browser buttons don’t navigate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streaming</w:t>
            </w:r>
          </w:p>
        </w:tc>
        <w:tc>
          <w:tcPr/>
          <w:p>
            <w:pPr>
              <w:pStyle w:val="Compact"/>
            </w:pPr>
            <w:r>
              <w:t xml:space="preserve">tRPC uses standard HTTP request/response</w:t>
            </w:r>
          </w:p>
        </w:tc>
        <w:tc>
          <w:tcPr/>
          <w:p>
            <w:pPr>
              <w:pStyle w:val="Compact"/>
            </w:pPr>
            <w:r>
              <w:t xml:space="preserve">Long-running operations block the connection; no server-sent event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Session-based auth only</w:t>
            </w:r>
          </w:p>
        </w:tc>
        <w:tc>
          <w:tcPr/>
          <w:p>
            <w:pPr>
              <w:pStyle w:val="Compact"/>
            </w:pPr>
            <w:r>
              <w:t xml:space="preserve">No JWT, no OAuth, no SSO</w:t>
            </w:r>
          </w:p>
        </w:tc>
        <w:tc>
          <w:tcPr/>
          <w:p>
            <w:pPr>
              <w:pStyle w:val="Compact"/>
            </w:pPr>
            <w:r>
              <w:t xml:space="preserve">Adding SSO requires replacing the auth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Single-tenant PostgreSQL</w:t>
            </w:r>
          </w:p>
        </w:tc>
        <w:tc>
          <w:tcPr/>
          <w:p>
            <w:pPr>
              <w:pStyle w:val="Compact"/>
            </w:pPr>
            <w:r>
              <w:t xml:space="preserve">One DB per deployment</w:t>
            </w:r>
          </w:p>
        </w:tc>
        <w:tc>
          <w:tcPr/>
          <w:p>
            <w:pPr>
              <w:pStyle w:val="Compact"/>
            </w:pPr>
            <w:r>
              <w:t xml:space="preserve">No multi-tenant row-level security; isolation is per-deployment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Reversal is hand-crafted</w:t>
            </w:r>
          </w:p>
        </w:tc>
        <w:tc>
          <w:tcPr/>
          <w:p>
            <w:pPr>
              <w:pStyle w:val="Compact"/>
            </w:pPr>
            <w:r>
              <w:t xml:space="preserve">No generic undo engine</w:t>
            </w:r>
          </w:p>
        </w:tc>
        <w:tc>
          <w:tcPr/>
          <w:p>
            <w:pPr>
              <w:pStyle w:val="Compact"/>
            </w:pPr>
            <w:r>
              <w:t xml:space="preserve">Every new reversible command needs a custom reversal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commandJournal.inputPayload</w:t>
            </w:r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Not stored for pre-migration commands</w:t>
            </w:r>
          </w:p>
        </w:tc>
        <w:tc>
          <w:tcPr/>
          <w:p>
            <w:pPr>
              <w:pStyle w:val="Compact"/>
            </w:pPr>
            <w:r>
              <w:t xml:space="preserve">Retry not possible for commands executed before</w:t>
            </w:r>
            <w:r>
              <w:t xml:space="preserve"> </w:t>
            </w:r>
            <w:r>
              <w:rPr>
                <w:rStyle w:val="VerbatimChar"/>
              </w:rPr>
              <w:t xml:space="preserve">0002_workflow_gap_closure.sql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 auto-allocation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logPayment</w:t>
            </w:r>
            <w:r>
              <w:t xml:space="preserve"> </w:t>
            </w:r>
            <w:r>
              <w:t xml:space="preserve">may not auto-execute allocation</w:t>
            </w:r>
          </w:p>
        </w:tc>
        <w:tc>
          <w:tcPr/>
          <w:p>
            <w:pPr>
              <w:pStyle w:val="Compact"/>
            </w:pPr>
            <w:r>
              <w:t xml:space="preserve">Operators may need manual</w:t>
            </w:r>
            <w:r>
              <w:t xml:space="preserve"> </w:t>
            </w:r>
            <w:r>
              <w:rPr>
                <w:rStyle w:val="VerbatimChar"/>
              </w:rPr>
              <w:t xml:space="preserve">allocatePayment</w:t>
            </w:r>
            <w:r>
              <w:t xml:space="preserve"> </w:t>
            </w:r>
            <w:r>
              <w:t xml:space="preserve">step even when FIFO is the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Matchmaking status unconstrained</w:t>
            </w:r>
          </w:p>
        </w:tc>
        <w:tc>
          <w:tcPr/>
          <w:p>
            <w:pPr>
              <w:pStyle w:val="Compact"/>
            </w:pPr>
            <w:r>
              <w:t xml:space="preserve">No enforced lifecycle on</w:t>
            </w:r>
            <w:r>
              <w:t xml:space="preserve"> </w:t>
            </w:r>
            <w:r>
              <w:rPr>
                <w:rStyle w:val="VerbatimChar"/>
              </w:rPr>
              <w:t xml:space="preserve">customerNeeds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vendorSupply</w:t>
            </w:r>
          </w:p>
        </w:tc>
        <w:tc>
          <w:tcPr/>
          <w:p>
            <w:pPr>
              <w:pStyle w:val="Compact"/>
            </w:pPr>
            <w:r>
              <w:t xml:space="preserve">Any status value accepted; no validation at DB or application layer (DYN-H4)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 is best-effort on delete</w:t>
            </w:r>
          </w:p>
        </w:tc>
        <w:tc>
          <w:tcPr/>
          <w:p>
            <w:pPr>
              <w:pStyle w:val="Compact"/>
            </w:pPr>
            <w:r>
              <w:t xml:space="preserve">Storage delete failure is logged but not thrown</w:t>
            </w:r>
          </w:p>
        </w:tc>
        <w:tc>
          <w:tcPr/>
          <w:p>
            <w:pPr>
              <w:pStyle w:val="Compact"/>
            </w:pPr>
            <w:r>
              <w:t xml:space="preserve">Stale files may accumulate; no automatic 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 tokens returned once</w:t>
            </w:r>
          </w:p>
        </w:tc>
        <w:tc>
          <w:tcPr/>
          <w:p>
            <w:pPr>
              <w:pStyle w:val="Compact"/>
            </w:pPr>
            <w:r>
              <w:t xml:space="preserve">Token value not stored after mint</w:t>
            </w:r>
          </w:p>
        </w:tc>
        <w:tc>
          <w:tcPr/>
          <w:p>
            <w:pPr>
              <w:pStyle w:val="Compact"/>
            </w:pPr>
            <w:r>
              <w:t xml:space="preserve">Lost token requires revoking and re-minting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 Grid Community edition</w:t>
            </w:r>
          </w:p>
        </w:tc>
        <w:tc>
          <w:tcPr/>
          <w:p>
            <w:pPr>
              <w:pStyle w:val="Compact"/>
            </w:pPr>
            <w:r>
              <w:t xml:space="preserve">No enterprise features</w:t>
            </w:r>
          </w:p>
        </w:tc>
        <w:tc>
          <w:tcPr/>
          <w:p>
            <w:pPr>
              <w:pStyle w:val="Compact"/>
            </w:pPr>
            <w:r>
              <w:t xml:space="preserve">No server-side row model, no advanced pivot, no integrated charts</w:t>
            </w:r>
          </w:p>
        </w:tc>
      </w:tr>
    </w:tbl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2026-06-01T23:21:15Z</dcterms:created>
  <dcterms:modified xsi:type="dcterms:W3CDTF">2026-06-01T23:21:15Z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