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3" w:name="preface"/>
    <w:p>
      <w:pPr>
        <w:pStyle w:val="Heading1"/>
      </w:pPr>
      <w:r>
        <w:t xml:space="preserve">Preface</w:t>
      </w:r>
    </w:p>
    <w:p>
      <w:pPr>
        <w:pStyle w:val="FirstParagraph"/>
      </w:pPr>
      <w:bookmarkStart w:id="20" w:name="anchor-front-matter-preface"/>
      <w:bookmarkEnd w:id="20"/>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2" w:name="c.-constitution-defined"/>
    <w:p>
      <w:pPr>
        <w:pStyle w:val="Heading2"/>
      </w:pPr>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7">
        <w:r>
          <w:rPr>
            <w:rStyle w:val="Hyperlink"/>
          </w:rPr>
          <w:t xml:space="preserve">Westminster Confession of Faith</w:t>
        </w:r>
      </w:hyperlink>
      <w:r>
        <w:t xml:space="preserve">,</w:t>
      </w:r>
      <w:r>
        <w:rPr>
          <w:rStyle w:val="FootnoteReference"/>
        </w:rPr>
        <w:footnoteReference w:id="28"/>
      </w:r>
      <w:r>
        <w:t xml:space="preserve"> </w:t>
      </w:r>
      <w:r>
        <w:t xml:space="preserve">together with the</w:t>
      </w:r>
      <w:r>
        <w:t xml:space="preserve"> </w:t>
      </w:r>
      <w:hyperlink r:id="rId29">
        <w:r>
          <w:rPr>
            <w:rStyle w:val="Hyperlink"/>
          </w:rPr>
          <w:t xml:space="preserve">Larger</w:t>
        </w:r>
      </w:hyperlink>
      <w:r>
        <w:t xml:space="preserve"> </w:t>
      </w:r>
      <w:r>
        <w:t xml:space="preserve">and</w:t>
      </w:r>
      <w:r>
        <w:t xml:space="preserve"> </w:t>
      </w:r>
      <w:hyperlink r:id="rId30">
        <w:r>
          <w:rPr>
            <w:rStyle w:val="Hyperlink"/>
          </w:rPr>
          <w:t xml:space="preserve">Shorter</w:t>
        </w:r>
      </w:hyperlink>
      <w:r>
        <w:t xml:space="preserve"> </w:t>
      </w:r>
      <w:r>
        <w:t xml:space="preserve">Catechisms; the</w:t>
      </w:r>
      <w:r>
        <w:t xml:space="preserve"> </w:t>
      </w:r>
      <w:hyperlink r:id="rId31">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2"/>
    <w:bookmarkEnd w:id="33"/>
    <w:bookmarkStart w:id="132" w:name="form-of-government"/>
    <w:p>
      <w:pPr>
        <w:pStyle w:val="Heading1"/>
      </w:pPr>
      <w:r>
        <w:t xml:space="preserve">Form of Government</w:t>
      </w:r>
    </w:p>
    <w:bookmarkStart w:id="37" w:name="the-doctrine-of-church-government"/>
    <w:p>
      <w:pPr>
        <w:pStyle w:val="Heading2"/>
      </w:pPr>
      <w:r>
        <w:t xml:space="preserve">1. The Doctrine of Church Government</w:t>
      </w:r>
    </w:p>
    <w:p>
      <w:pPr>
        <w:pStyle w:val="FirstParagraph"/>
      </w:pPr>
      <w:bookmarkStart w:id="34" w:name="anchor-part-main-body-2"/>
      <w:bookmarkEnd w:id="34"/>
    </w:p>
    <w:p>
      <w:pPr>
        <w:numPr>
          <w:ilvl w:val="0"/>
          <w:numId w:val="1003"/>
        </w:numPr>
      </w:pPr>
      <w:bookmarkStart w:id="35" w:name="anchor-1"/>
      <w:bookmarkEnd w:id="35"/>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6" w:name="anchor-1-3"/>
      <w:bookmarkEnd w:id="36"/>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7"/>
    <w:bookmarkStart w:id="39" w:name="the-king-and-head-of-the-church"/>
    <w:p>
      <w:pPr>
        <w:pStyle w:val="Heading2"/>
      </w:pPr>
      <w:r>
        <w:t xml:space="preserve">2. The King and Head of the Church</w:t>
      </w:r>
    </w:p>
    <w:p>
      <w:pPr>
        <w:numPr>
          <w:ilvl w:val="0"/>
          <w:numId w:val="1004"/>
        </w:numPr>
      </w:pPr>
      <w:bookmarkStart w:id="38" w:name="anchor-2"/>
      <w:bookmarkEnd w:id="38"/>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39"/>
    <w:bookmarkStart w:id="42" w:name="the-visible-church-defined"/>
    <w:p>
      <w:pPr>
        <w:pStyle w:val="Heading2"/>
      </w:pPr>
      <w:r>
        <w:t xml:space="preserve">3. The Visible Church Defined</w:t>
      </w:r>
    </w:p>
    <w:p>
      <w:pPr>
        <w:numPr>
          <w:ilvl w:val="0"/>
          <w:numId w:val="1005"/>
        </w:numPr>
      </w:pPr>
      <w:bookmarkStart w:id="40" w:name="anchor-3"/>
      <w:bookmarkEnd w:id="40"/>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1" w:name="anchor-3-2"/>
      <w:bookmarkEnd w:id="41"/>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2"/>
    <w:bookmarkStart w:id="45" w:name="the-nature-and-extent-of-church-power"/>
    <w:p>
      <w:pPr>
        <w:pStyle w:val="Heading2"/>
      </w:pPr>
      <w:r>
        <w:t xml:space="preserve">4. The Nature and Extent of Church Power</w:t>
      </w:r>
    </w:p>
    <w:p>
      <w:pPr>
        <w:numPr>
          <w:ilvl w:val="0"/>
          <w:numId w:val="1006"/>
        </w:numPr>
      </w:pPr>
      <w:bookmarkStart w:id="43" w:name="anchor-4"/>
      <w:bookmarkEnd w:id="43"/>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4"/>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5"/>
    <w:bookmarkStart w:id="47" w:name="the-particular-church"/>
    <w:p>
      <w:pPr>
        <w:pStyle w:val="Heading2"/>
      </w:pPr>
      <w:r>
        <w:t xml:space="preserve">5. The Particular Church</w:t>
      </w:r>
    </w:p>
    <w:p>
      <w:pPr>
        <w:numPr>
          <w:ilvl w:val="0"/>
          <w:numId w:val="1007"/>
        </w:numPr>
      </w:pPr>
      <w:bookmarkStart w:id="46" w:name="anchor-5-1"/>
      <w:bookmarkEnd w:id="46"/>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7"/>
    <w:bookmarkStart w:id="51" w:name="the-organization-of-a-particular-church"/>
    <w:p>
      <w:pPr>
        <w:pStyle w:val="Heading2"/>
      </w:pPr>
      <w:r>
        <w:t xml:space="preserve">6. The Organization of a Particular Church</w:t>
      </w:r>
    </w:p>
    <w:p>
      <w:pPr>
        <w:pStyle w:val="FirstParagraph"/>
      </w:pPr>
      <w:bookmarkStart w:id="48" w:name="anchor-6"/>
      <w:bookmarkEnd w:id="48"/>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49" w:name="anchor-6-1-c"/>
      <w:bookmarkEnd w:id="49"/>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0" w:name="anchor-6-1-d"/>
      <w:bookmarkEnd w:id="50"/>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1"/>
    <w:bookmarkStart w:id="53" w:name="church-members"/>
    <w:p>
      <w:pPr>
        <w:pStyle w:val="Heading2"/>
      </w:pPr>
      <w:r>
        <w:t xml:space="preserve">7. Church Members</w:t>
      </w:r>
    </w:p>
    <w:p>
      <w:pPr>
        <w:pStyle w:val="FirstParagraph"/>
      </w:pPr>
      <w:bookmarkStart w:id="52" w:name="anchor-7"/>
      <w:bookmarkEnd w:id="52"/>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3"/>
    <w:bookmarkStart w:id="55" w:name="church-officersgeneral-classification"/>
    <w:p>
      <w:pPr>
        <w:pStyle w:val="Heading2"/>
      </w:pPr>
      <w:r>
        <w:t xml:space="preserve">8. Church Officers—General Classification</w:t>
      </w:r>
    </w:p>
    <w:p>
      <w:pPr>
        <w:numPr>
          <w:ilvl w:val="0"/>
          <w:numId w:val="1019"/>
        </w:numPr>
      </w:pPr>
      <w:bookmarkStart w:id="54" w:name="anchor-8"/>
      <w:bookmarkEnd w:id="54"/>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5"/>
    <w:bookmarkStart w:id="58" w:name="the-minister-of-the-word"/>
    <w:p>
      <w:pPr>
        <w:pStyle w:val="Heading2"/>
      </w:pPr>
      <w:r>
        <w:t xml:space="preserve">9. The Minister of the Word</w:t>
      </w:r>
    </w:p>
    <w:p>
      <w:pPr>
        <w:numPr>
          <w:ilvl w:val="0"/>
          <w:numId w:val="1020"/>
        </w:numPr>
      </w:pPr>
      <w:bookmarkStart w:id="56" w:name="anchor-9"/>
      <w:bookmarkEnd w:id="56"/>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7" w:name="anchor-9-6"/>
      <w:bookmarkEnd w:id="57"/>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8"/>
    <w:bookmarkStart w:id="60" w:name="the-ruling-elder"/>
    <w:p>
      <w:pPr>
        <w:pStyle w:val="Heading2"/>
      </w:pPr>
      <w:r>
        <w:t xml:space="preserve">10. The Ruling Elder</w:t>
      </w:r>
    </w:p>
    <w:p>
      <w:pPr>
        <w:numPr>
          <w:ilvl w:val="0"/>
          <w:numId w:val="1021"/>
        </w:numPr>
      </w:pPr>
      <w:bookmarkStart w:id="59" w:name="anchor-10"/>
      <w:bookmarkEnd w:id="59"/>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0"/>
    <w:bookmarkStart w:id="62" w:name="the-deacon"/>
    <w:p>
      <w:pPr>
        <w:pStyle w:val="Heading2"/>
      </w:pPr>
      <w:r>
        <w:t xml:space="preserve">11. The Deacon</w:t>
      </w:r>
    </w:p>
    <w:p>
      <w:pPr>
        <w:numPr>
          <w:ilvl w:val="0"/>
          <w:numId w:val="1022"/>
        </w:numPr>
      </w:pPr>
      <w:bookmarkStart w:id="61" w:name="anchor-11"/>
      <w:bookmarkEnd w:id="61"/>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2"/>
    <w:bookmarkStart w:id="64" w:name="church-courtsin-general"/>
    <w:p>
      <w:pPr>
        <w:pStyle w:val="Heading2"/>
      </w:pPr>
      <w:r>
        <w:t xml:space="preserve">12. Church Courts—In General</w:t>
      </w:r>
    </w:p>
    <w:p>
      <w:pPr>
        <w:numPr>
          <w:ilvl w:val="0"/>
          <w:numId w:val="1023"/>
        </w:numPr>
      </w:pPr>
      <w:bookmarkStart w:id="63" w:name="anchor-12"/>
      <w:bookmarkEnd w:id="63"/>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4"/>
    <w:bookmarkStart w:id="66" w:name="jurisdiction-of-church-courts"/>
    <w:p>
      <w:pPr>
        <w:pStyle w:val="Heading2"/>
      </w:pPr>
      <w:r>
        <w:t xml:space="preserve">13. Jurisdiction of Church Courts</w:t>
      </w:r>
    </w:p>
    <w:p>
      <w:pPr>
        <w:numPr>
          <w:ilvl w:val="0"/>
          <w:numId w:val="1024"/>
        </w:numPr>
      </w:pPr>
      <w:bookmarkStart w:id="65" w:name="anchor-13"/>
      <w:bookmarkEnd w:id="65"/>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6"/>
    <w:bookmarkStart w:id="70" w:name="the-church-session"/>
    <w:p>
      <w:pPr>
        <w:pStyle w:val="Heading2"/>
      </w:pPr>
      <w:r>
        <w:t xml:space="preserve">14. The Church Session</w:t>
      </w:r>
    </w:p>
    <w:p>
      <w:pPr>
        <w:numPr>
          <w:ilvl w:val="0"/>
          <w:numId w:val="1025"/>
        </w:numPr>
      </w:pPr>
      <w:bookmarkStart w:id="67" w:name="anchor-14"/>
      <w:bookmarkEnd w:id="67"/>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8" w:name="anchor-14-4"/>
      <w:bookmarkEnd w:id="68"/>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69" w:name="anchor-14-5"/>
      <w:bookmarkEnd w:id="69"/>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0"/>
    <w:bookmarkStart w:id="77" w:name="the-presbytery"/>
    <w:p>
      <w:pPr>
        <w:pStyle w:val="Heading2"/>
      </w:pPr>
      <w:r>
        <w:t xml:space="preserve">15. The Presbytery</w:t>
      </w:r>
    </w:p>
    <w:p>
      <w:pPr>
        <w:pStyle w:val="FirstParagraph"/>
      </w:pPr>
      <w:bookmarkStart w:id="71" w:name="anchor-15"/>
      <w:bookmarkEnd w:id="71"/>
      <w:bookmarkStart w:id="72" w:name="anchor-15-1"/>
      <w:bookmarkEnd w:id="72"/>
    </w:p>
    <w:p>
      <w:pPr>
        <w:numPr>
          <w:ilvl w:val="0"/>
          <w:numId w:val="1026"/>
        </w:numPr>
      </w:pPr>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3" w:name="anchor-15-2"/>
      <w:bookmarkEnd w:id="73"/>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4" w:name="anchor-15-7"/>
      <w:bookmarkEnd w:id="74"/>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5" w:name="anchor-15-8"/>
      <w:bookmarkEnd w:id="75"/>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6" w:name="anchor-15-9"/>
      <w:bookmarkEnd w:id="76"/>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7"/>
    <w:bookmarkStart w:id="79" w:name="provisions-concerning-baptism"/>
    <w:p>
      <w:pPr>
        <w:pStyle w:val="Heading2"/>
      </w:pPr>
      <w:r>
        <w:t xml:space="preserve">16. Provisions Concerning Baptism</w:t>
      </w:r>
    </w:p>
    <w:p>
      <w:pPr>
        <w:pStyle w:val="FirstParagraph"/>
      </w:pPr>
      <w:bookmarkStart w:id="78" w:name="anchor-16"/>
      <w:bookmarkEnd w:id="78"/>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79"/>
    <w:bookmarkStart w:id="81" w:name="ecclesiastical-commissions"/>
    <w:p>
      <w:pPr>
        <w:pStyle w:val="Heading2"/>
      </w:pPr>
      <w:r>
        <w:t xml:space="preserve">17. Ecclesiastical Commissions</w:t>
      </w:r>
    </w:p>
    <w:p>
      <w:pPr>
        <w:numPr>
          <w:ilvl w:val="0"/>
          <w:numId w:val="1032"/>
        </w:numPr>
      </w:pPr>
      <w:bookmarkStart w:id="80" w:name="anchor-17-1"/>
      <w:bookmarkEnd w:id="80"/>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1"/>
    <w:bookmarkStart w:id="83" w:name="church-ordersthe-doctrine-of-vocation"/>
    <w:p>
      <w:pPr>
        <w:pStyle w:val="Heading2"/>
      </w:pPr>
      <w:r>
        <w:t xml:space="preserve">18. Church Orders—The Doctrine of Vocation</w:t>
      </w:r>
    </w:p>
    <w:p>
      <w:pPr>
        <w:numPr>
          <w:ilvl w:val="0"/>
          <w:numId w:val="1033"/>
        </w:numPr>
      </w:pPr>
      <w:bookmarkStart w:id="82" w:name="anchor-18"/>
      <w:bookmarkEnd w:id="82"/>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3"/>
    <w:bookmarkStart w:id="85" w:name="the-doctrine-of-ordination"/>
    <w:p>
      <w:pPr>
        <w:pStyle w:val="Heading2"/>
      </w:pPr>
      <w:r>
        <w:t xml:space="preserve">19. The Doctrine of Ordination</w:t>
      </w:r>
    </w:p>
    <w:p>
      <w:pPr>
        <w:numPr>
          <w:ilvl w:val="0"/>
          <w:numId w:val="1034"/>
        </w:numPr>
      </w:pPr>
      <w:bookmarkStart w:id="84" w:name="anchor-19"/>
      <w:bookmarkEnd w:id="84"/>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5"/>
    <w:bookmarkStart w:id="88" w:name="candidates-for-the-gospel-ministry"/>
    <w:p>
      <w:pPr>
        <w:pStyle w:val="Heading2"/>
      </w:pPr>
      <w:r>
        <w:t xml:space="preserve">20. Candidates for the Gospel Ministry</w:t>
      </w:r>
    </w:p>
    <w:p>
      <w:pPr>
        <w:numPr>
          <w:ilvl w:val="0"/>
          <w:numId w:val="1035"/>
        </w:numPr>
      </w:pPr>
      <w:bookmarkStart w:id="86" w:name="anchor-20"/>
      <w:bookmarkEnd w:id="86"/>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7" w:name="anchor-20-2"/>
      <w:bookmarkEnd w:id="87"/>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88"/>
    <w:bookmarkStart w:id="92" w:name="Xc16786448ba2822a3f5bda559efa4a480045ec4"/>
    <w:p>
      <w:pPr>
        <w:pStyle w:val="Heading2"/>
      </w:pPr>
      <w:r>
        <w:t xml:space="preserve">21. The Licensure of Candidates for the Gospel Ministry</w:t>
      </w:r>
    </w:p>
    <w:p>
      <w:pPr>
        <w:pStyle w:val="Compact"/>
        <w:numPr>
          <w:ilvl w:val="0"/>
          <w:numId w:val="1037"/>
        </w:numPr>
      </w:pPr>
      <w:bookmarkStart w:id="89" w:name="anchor-21"/>
      <w:bookmarkEnd w:id="89"/>
      <w:bookmarkStart w:id="90" w:name="anchor-21-1"/>
      <w:bookmarkEnd w:id="90"/>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pStyle w:val="FirstParagraph"/>
      </w:pPr>
      <w:bookmarkStart w:id="91" w:name="anchor-21-2"/>
      <w:bookmarkEnd w:id="91"/>
    </w:p>
    <w:p>
      <w:pPr>
        <w:numPr>
          <w:ilvl w:val="0"/>
          <w:numId w:val="1038"/>
        </w:numPr>
      </w:pPr>
      <w:r>
        <w:t xml:space="preserve">The examination for licensure shall be as follows:</w:t>
      </w:r>
    </w:p>
    <w:p>
      <w:pPr>
        <w:numPr>
          <w:ilvl w:val="1"/>
          <w:numId w:val="1039"/>
        </w:numPr>
      </w:pPr>
      <w:r>
        <w:t xml:space="preserve">The candidate shall give a statement of his Christian experience and inward call to preach the Gospel in written form and/or orally before the Presbytery (at the discretion of the Presbytery).</w:t>
      </w:r>
    </w:p>
    <w:p>
      <w:pPr>
        <w:numPr>
          <w:ilvl w:val="1"/>
          <w:numId w:val="1039"/>
        </w:numPr>
      </w:pPr>
      <w:r>
        <w:t xml:space="preserve">The candidate shall be tested with a written and/or oral examination by the Presbytery (at the discretion of the Presbytery) for his:</w:t>
      </w:r>
    </w:p>
    <w:p>
      <w:pPr>
        <w:pStyle w:val="Compact"/>
        <w:numPr>
          <w:ilvl w:val="2"/>
          <w:numId w:val="1040"/>
        </w:numPr>
      </w:pPr>
      <w:r>
        <w:t xml:space="preserve">basic knowledge of biblical doctrine as outlined in the Confession of Faith, Larger and Shorter Catechisms, and Doctrinal Declarations of the Presbytery.</w:t>
      </w:r>
    </w:p>
    <w:p>
      <w:pPr>
        <w:pStyle w:val="Compact"/>
        <w:numPr>
          <w:ilvl w:val="2"/>
          <w:numId w:val="1040"/>
        </w:numPr>
      </w:pPr>
      <w:r>
        <w:t xml:space="preserve">practical knowledge of Bible content.</w:t>
      </w:r>
    </w:p>
    <w:p>
      <w:pPr>
        <w:pStyle w:val="Compact"/>
        <w:numPr>
          <w:ilvl w:val="2"/>
          <w:numId w:val="1040"/>
        </w:numPr>
      </w:pPr>
      <w:r>
        <w:t xml:space="preserve">basic knowledge of the government of the church as defined in the Book of Church Order.</w:t>
      </w:r>
    </w:p>
    <w:p>
      <w:pPr>
        <w:numPr>
          <w:ilvl w:val="1"/>
          <w:numId w:val="1039"/>
        </w:numPr>
      </w:pPr>
      <w:r>
        <w:t xml:space="preserve">The candidate shall be examined orally before Presbytery for his views in the areas outlined in part b above.</w:t>
      </w:r>
    </w:p>
    <w:p>
      <w:pPr>
        <w:numPr>
          <w:ilvl w:val="1"/>
          <w:numId w:val="1039"/>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9"/>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9"/>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8"/>
        </w:numPr>
      </w:pPr>
      <w:r>
        <w:t xml:space="preserve">If the Presbytery be satisfied with the trials of the applicant, it shall then proceed to license him in the following manner. The moderator shall propose to him the following questions:</w:t>
      </w:r>
    </w:p>
    <w:p>
      <w:pPr>
        <w:numPr>
          <w:ilvl w:val="1"/>
          <w:numId w:val="1041"/>
        </w:numPr>
      </w:pPr>
      <w:r>
        <w:t xml:space="preserve">Do you believe the Scriptures of the Old and New Testaments, as originally given, to be the infallible Word of God, which is the only infallible rule of faith and practice?</w:t>
      </w:r>
    </w:p>
    <w:p>
      <w:pPr>
        <w:numPr>
          <w:ilvl w:val="1"/>
          <w:numId w:val="1041"/>
        </w:numPr>
      </w:pPr>
      <w:r>
        <w:t xml:space="preserve">Do you sincerely receive and adopt the Confession of Faith, the Catechisms, and the Doctrinal Declarations of this Church as the system of doctrine taught in the Holy Scripture?</w:t>
      </w:r>
    </w:p>
    <w:p>
      <w:pPr>
        <w:numPr>
          <w:ilvl w:val="1"/>
          <w:numId w:val="1041"/>
        </w:numPr>
      </w:pPr>
      <w:r>
        <w:t xml:space="preserve">Do you promise to strive for the purity, peace, unity and edification of the Church?</w:t>
      </w:r>
    </w:p>
    <w:p>
      <w:pPr>
        <w:numPr>
          <w:ilvl w:val="1"/>
          <w:numId w:val="1041"/>
        </w:numPr>
      </w:pPr>
      <w:r>
        <w:t xml:space="preserve">Do you promise to submit yourself, in the Lord, to the government of this Presbytery?</w:t>
      </w:r>
    </w:p>
    <w:p>
      <w:pPr>
        <w:numPr>
          <w:ilvl w:val="0"/>
          <w:numId w:val="1038"/>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8"/>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2"/>
    <w:bookmarkStart w:id="96" w:name="the-election-of-pastors"/>
    <w:p>
      <w:pPr>
        <w:pStyle w:val="Heading2"/>
      </w:pPr>
      <w:r>
        <w:t xml:space="preserve">22. The Election of Pastors</w:t>
      </w:r>
    </w:p>
    <w:p>
      <w:pPr>
        <w:pStyle w:val="FirstParagraph"/>
      </w:pPr>
      <w:bookmarkStart w:id="93" w:name="anchor-22"/>
      <w:bookmarkEnd w:id="93"/>
      <w:bookmarkStart w:id="94" w:name="anchor-22-1"/>
      <w:bookmarkEnd w:id="94"/>
    </w:p>
    <w:p>
      <w:pPr>
        <w:numPr>
          <w:ilvl w:val="0"/>
          <w:numId w:val="1042"/>
        </w:numPr>
      </w:pPr>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2"/>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2"/>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2"/>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2"/>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pStyle w:val="FirstParagraph"/>
      </w:pPr>
      <w:bookmarkStart w:id="95" w:name="anchor-22-6"/>
      <w:bookmarkEnd w:id="95"/>
    </w:p>
    <w:p>
      <w:pPr>
        <w:numPr>
          <w:ilvl w:val="0"/>
          <w:numId w:val="1043"/>
        </w:numPr>
      </w:pPr>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3"/>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3"/>
        </w:numPr>
      </w:pPr>
      <w:r>
        <w:t xml:space="preserve">Prosecution of call: One or more commissioners shall be appointed by the church to present and prosecute the call before their Presbytery.</w:t>
      </w:r>
    </w:p>
    <w:p>
      <w:pPr>
        <w:numPr>
          <w:ilvl w:val="0"/>
          <w:numId w:val="1043"/>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3"/>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3"/>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6"/>
    <w:bookmarkStart w:id="109" w:name="X70c76f40dc92afb0fec3b05285ed533799e2baf"/>
    <w:p>
      <w:pPr>
        <w:pStyle w:val="Heading2"/>
      </w:pPr>
      <w:r>
        <w:t xml:space="preserve">23. The Ordination and Installation of Ministers</w:t>
      </w:r>
    </w:p>
    <w:p>
      <w:pPr>
        <w:numPr>
          <w:ilvl w:val="0"/>
          <w:numId w:val="1044"/>
        </w:numPr>
      </w:pPr>
      <w:bookmarkStart w:id="97" w:name="anchor-23"/>
      <w:bookmarkEnd w:id="97"/>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4"/>
        </w:numPr>
      </w:pPr>
      <w:r>
        <w:t xml:space="preserve">When a call for the pastoral services of a licentiate has been accepted by him, the Presbytery shall take immediate steps for his ordination.</w:t>
      </w:r>
    </w:p>
    <w:p>
      <w:pPr>
        <w:numPr>
          <w:ilvl w:val="0"/>
          <w:numId w:val="1044"/>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pStyle w:val="FirstParagraph"/>
      </w:pPr>
      <w:bookmarkStart w:id="98" w:name="anchor-23-4"/>
      <w:bookmarkEnd w:id="98"/>
    </w:p>
    <w:p>
      <w:pPr>
        <w:numPr>
          <w:ilvl w:val="0"/>
          <w:numId w:val="1045"/>
        </w:numPr>
      </w:pPr>
      <w:r>
        <w:rPr>
          <w:b/>
          <w:bCs/>
        </w:rPr>
        <w:t xml:space="preserve">Ordination Requirements and Procedures</w:t>
      </w:r>
    </w:p>
    <w:p>
      <w:pPr>
        <w:numPr>
          <w:ilvl w:val="1"/>
          <w:numId w:val="1046"/>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6"/>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6"/>
        </w:numPr>
      </w:pPr>
      <w:r>
        <w:t xml:space="preserve">A candidate shall undergo the following ordination trials:</w:t>
      </w:r>
    </w:p>
    <w:p>
      <w:pPr>
        <w:numPr>
          <w:ilvl w:val="2"/>
          <w:numId w:val="1047"/>
        </w:numPr>
      </w:pPr>
      <w:r>
        <w:t xml:space="preserve">He shall be given a careful examination in the following areas:</w:t>
      </w:r>
    </w:p>
    <w:p>
      <w:pPr>
        <w:pStyle w:val="Compact"/>
        <w:numPr>
          <w:ilvl w:val="3"/>
          <w:numId w:val="1048"/>
        </w:numPr>
      </w:pPr>
      <w:r>
        <w:t xml:space="preserve">his Christian experience, especially his personal character and family management (based on the qualifications set out in 1 Timothy 3:1-7, and Titus 1:6-9),</w:t>
      </w:r>
    </w:p>
    <w:p>
      <w:pPr>
        <w:pStyle w:val="Compact"/>
        <w:numPr>
          <w:ilvl w:val="3"/>
          <w:numId w:val="1048"/>
        </w:numPr>
      </w:pPr>
      <w:r>
        <w:t xml:space="preserve">his knowledge of the biblical Greek and Hebrew languages,</w:t>
      </w:r>
    </w:p>
    <w:p>
      <w:pPr>
        <w:pStyle w:val="Compact"/>
        <w:numPr>
          <w:ilvl w:val="3"/>
          <w:numId w:val="1048"/>
        </w:numPr>
      </w:pPr>
      <w:r>
        <w:t xml:space="preserve">Bible content,</w:t>
      </w:r>
    </w:p>
    <w:p>
      <w:pPr>
        <w:pStyle w:val="Compact"/>
        <w:numPr>
          <w:ilvl w:val="3"/>
          <w:numId w:val="1048"/>
        </w:numPr>
      </w:pPr>
      <w:r>
        <w:t xml:space="preserve">theology,</w:t>
      </w:r>
    </w:p>
    <w:p>
      <w:pPr>
        <w:pStyle w:val="Compact"/>
        <w:numPr>
          <w:ilvl w:val="3"/>
          <w:numId w:val="1048"/>
        </w:numPr>
      </w:pPr>
      <w:r>
        <w:t xml:space="preserve">the Sacraments,</w:t>
      </w:r>
    </w:p>
    <w:p>
      <w:pPr>
        <w:pStyle w:val="Compact"/>
        <w:numPr>
          <w:ilvl w:val="3"/>
          <w:numId w:val="1048"/>
        </w:numPr>
      </w:pPr>
      <w:r>
        <w:t xml:space="preserve">Church history,</w:t>
      </w:r>
    </w:p>
    <w:p>
      <w:pPr>
        <w:pStyle w:val="Compact"/>
        <w:numPr>
          <w:ilvl w:val="3"/>
          <w:numId w:val="1048"/>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7"/>
        </w:numPr>
      </w:pPr>
      <w:r>
        <w:t xml:space="preserve">He shall prepare a thesis on some theological topic assigned by Presbytery.</w:t>
      </w:r>
    </w:p>
    <w:p>
      <w:pPr>
        <w:numPr>
          <w:ilvl w:val="2"/>
          <w:numId w:val="1047"/>
        </w:numPr>
      </w:pPr>
      <w:r>
        <w:t xml:space="preserve">The candidate shall prepare an exegesis on an assigned portion of Scripture, requiring the use of the original language or languages.</w:t>
      </w:r>
    </w:p>
    <w:p>
      <w:pPr>
        <w:numPr>
          <w:ilvl w:val="2"/>
          <w:numId w:val="1047"/>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6"/>
        </w:numPr>
      </w:pPr>
      <w:r>
        <w:t xml:space="preserve">Whenever a Presbytery shall omit any of these parts, it shall always make a record of the reasons for such omissions and of the trial parts omitted.</w:t>
      </w:r>
    </w:p>
    <w:p>
      <w:pPr>
        <w:numPr>
          <w:ilvl w:val="1"/>
          <w:numId w:val="1046"/>
        </w:numPr>
      </w:pPr>
      <w:bookmarkStart w:id="99" w:name="anchor-23-4-e"/>
      <w:bookmarkEnd w:id="99"/>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6"/>
        </w:numPr>
      </w:pPr>
      <w:bookmarkStart w:id="100" w:name="anchor-23-4-f"/>
      <w:bookmarkEnd w:id="100"/>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6"/>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6"/>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5"/>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5"/>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9"/>
        </w:numPr>
      </w:pPr>
      <w:r>
        <w:t xml:space="preserve">Do you believe the Scriptures of the Old and New Testaments, as originally given, to be the infallible Word of God, which is the only infallible rule of faith and practice?</w:t>
      </w:r>
    </w:p>
    <w:p>
      <w:pPr>
        <w:numPr>
          <w:ilvl w:val="1"/>
          <w:numId w:val="1049"/>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9"/>
        </w:numPr>
      </w:pPr>
      <w:bookmarkStart w:id="101" w:name="anchor-23-6-c"/>
      <w:bookmarkEnd w:id="101"/>
      <w:r>
        <w:t xml:space="preserve">Do you approve of the government and discipline of Evangel Presbytery, as being in conformity with the general principles of biblical polity?</w:t>
      </w:r>
    </w:p>
    <w:p>
      <w:pPr>
        <w:numPr>
          <w:ilvl w:val="1"/>
          <w:numId w:val="1049"/>
        </w:numPr>
      </w:pPr>
      <w:r>
        <w:t xml:space="preserve">Do you promise subjection to your brethren in the Lord?</w:t>
      </w:r>
    </w:p>
    <w:p>
      <w:pPr>
        <w:numPr>
          <w:ilvl w:val="1"/>
          <w:numId w:val="1049"/>
        </w:numPr>
      </w:pPr>
      <w:r>
        <w:t xml:space="preserve">Have you been induced, as far as you know your own heart, to seek the office of the holy ministry from love to God and a sincere desire to promote His glory in the Gospel of His Son?</w:t>
      </w:r>
    </w:p>
    <w:p>
      <w:pPr>
        <w:numPr>
          <w:ilvl w:val="1"/>
          <w:numId w:val="1049"/>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9"/>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9"/>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2"/>
      </w:r>
    </w:p>
    <w:p>
      <w:pPr>
        <w:numPr>
          <w:ilvl w:val="0"/>
          <w:numId w:val="1050"/>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1"/>
        </w:numPr>
      </w:pPr>
      <w:r>
        <w:t xml:space="preserve">Do you, the people of this congregation, continue to profess your readiness to receive ________________, whom you have called to be your Pastor?</w:t>
      </w:r>
      <w:r>
        <w:rPr>
          <w:rStyle w:val="FootnoteReference"/>
        </w:rPr>
        <w:footnoteReference w:id="103"/>
      </w:r>
    </w:p>
    <w:p>
      <w:pPr>
        <w:numPr>
          <w:ilvl w:val="1"/>
          <w:numId w:val="1051"/>
        </w:numPr>
      </w:pPr>
      <w:r>
        <w:t xml:space="preserve">Do you promise to receive the word of truth from his mouth with meekness and love, and to submit to him in the due exercise of discipline?</w:t>
      </w:r>
    </w:p>
    <w:p>
      <w:pPr>
        <w:numPr>
          <w:ilvl w:val="1"/>
          <w:numId w:val="1051"/>
        </w:numPr>
      </w:pPr>
      <w:r>
        <w:t xml:space="preserve">Do you promise to encourage him in his labors, and to assist his endeavors for your instruction and spiritual edification?</w:t>
      </w:r>
    </w:p>
    <w:p>
      <w:pPr>
        <w:numPr>
          <w:ilvl w:val="1"/>
          <w:numId w:val="1051"/>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52"/>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4"/>
      </w:r>
    </w:p>
    <w:p>
      <w:pPr>
        <w:pStyle w:val="Compact"/>
        <w:numPr>
          <w:ilvl w:val="0"/>
          <w:numId w:val="1053"/>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pStyle w:val="FirstParagraph"/>
      </w:pPr>
      <w:bookmarkStart w:id="105" w:name="anchor-23-10"/>
      <w:bookmarkEnd w:id="105"/>
    </w:p>
    <w:p>
      <w:pPr>
        <w:numPr>
          <w:ilvl w:val="0"/>
          <w:numId w:val="1054"/>
        </w:numPr>
      </w:pPr>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5"/>
        </w:numPr>
      </w:pPr>
      <w:r>
        <w:t xml:space="preserve">Are you now willing to take charge of this congregation as their Pastor, agreeably to your declaration in accepting its call?</w:t>
      </w:r>
      <w:r>
        <w:rPr>
          <w:rStyle w:val="FootnoteReference"/>
        </w:rPr>
        <w:footnoteReference w:id="106"/>
      </w:r>
    </w:p>
    <w:p>
      <w:pPr>
        <w:numPr>
          <w:ilvl w:val="1"/>
          <w:numId w:val="1055"/>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5"/>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7"/>
      </w:r>
    </w:p>
    <w:p>
      <w:pPr>
        <w:numPr>
          <w:ilvl w:val="0"/>
          <w:numId w:val="1056"/>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7"/>
        </w:numPr>
      </w:pPr>
      <w:r>
        <w:t xml:space="preserve">Do you, the people of this congregation, continue to profess your readiness to receive______, whom you have called to be your pastor?</w:t>
      </w:r>
      <w:r>
        <w:rPr>
          <w:rStyle w:val="FootnoteReference"/>
        </w:rPr>
        <w:footnoteReference w:id="108"/>
      </w:r>
    </w:p>
    <w:p>
      <w:pPr>
        <w:numPr>
          <w:ilvl w:val="1"/>
          <w:numId w:val="1057"/>
        </w:numPr>
      </w:pPr>
      <w:r>
        <w:t xml:space="preserve">Do you promise to receive the word of truth from his mouth with meekness and love, and to submit to him in the due exercise of discipline?</w:t>
      </w:r>
    </w:p>
    <w:p>
      <w:pPr>
        <w:numPr>
          <w:ilvl w:val="1"/>
          <w:numId w:val="1057"/>
        </w:numPr>
      </w:pPr>
      <w:r>
        <w:t xml:space="preserve">Do you promise to encourage him in his labors, and to assist his endeavors for your instruction and spiritual edification?</w:t>
      </w:r>
    </w:p>
    <w:p>
      <w:pPr>
        <w:numPr>
          <w:ilvl w:val="1"/>
          <w:numId w:val="1057"/>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8"/>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09"/>
    <w:bookmarkStart w:id="114" w:name="the-pastoral-relations"/>
    <w:p>
      <w:pPr>
        <w:pStyle w:val="Heading2"/>
      </w:pPr>
      <w:r>
        <w:t xml:space="preserve">24. The Pastoral Relations</w:t>
      </w:r>
    </w:p>
    <w:p>
      <w:pPr>
        <w:numPr>
          <w:ilvl w:val="0"/>
          <w:numId w:val="1059"/>
        </w:numPr>
      </w:pPr>
      <w:bookmarkStart w:id="110" w:name="anchor-24"/>
      <w:bookmarkEnd w:id="110"/>
      <w:r>
        <w:t xml:space="preserve">The various pastoral relations are pastor, associate pastor, and assistant pastor.</w:t>
      </w:r>
    </w:p>
    <w:p>
      <w:pPr>
        <w:numPr>
          <w:ilvl w:val="0"/>
          <w:numId w:val="1059"/>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9"/>
        </w:numPr>
      </w:pPr>
      <w:bookmarkStart w:id="111" w:name="anchor-24-3"/>
      <w:bookmarkEnd w:id="111"/>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9"/>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9"/>
        </w:numPr>
      </w:pPr>
      <w:bookmarkStart w:id="112" w:name="anchor-24-5"/>
      <w:bookmarkEnd w:id="112"/>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9"/>
        </w:numPr>
      </w:pPr>
      <w:bookmarkStart w:id="113" w:name="anchor-24-6"/>
      <w:bookmarkEnd w:id="113"/>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4"/>
    <w:bookmarkStart w:id="116" w:name="the-dissolution-of-the-pastoral-relation"/>
    <w:p>
      <w:pPr>
        <w:pStyle w:val="Heading2"/>
      </w:pPr>
      <w:r>
        <w:t xml:space="preserve">25. The Dissolution of the Pastoral Relation</w:t>
      </w:r>
    </w:p>
    <w:p>
      <w:pPr>
        <w:pStyle w:val="FirstParagraph"/>
      </w:pPr>
      <w:bookmarkStart w:id="115" w:name="anchor-25"/>
      <w:bookmarkEnd w:id="115"/>
    </w:p>
    <w:p>
      <w:pPr>
        <w:numPr>
          <w:ilvl w:val="0"/>
          <w:numId w:val="1060"/>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60"/>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60"/>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60"/>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6"/>
    <w:bookmarkStart w:id="122" w:name="Xae036b604af6fd3ca15992043ac15b459fc2842"/>
    <w:p>
      <w:pPr>
        <w:pStyle w:val="Heading2"/>
      </w:pPr>
      <w:r>
        <w:t xml:space="preserve">26. Election, Ordination, and Installation of Ruling Elders and Deacons</w:t>
      </w:r>
    </w:p>
    <w:p>
      <w:pPr>
        <w:pStyle w:val="FirstParagraph"/>
      </w:pPr>
      <w:bookmarkStart w:id="117" w:name="anchor-26"/>
      <w:bookmarkEnd w:id="117"/>
    </w:p>
    <w:bookmarkStart w:id="118" w:name="election"/>
    <w:p>
      <w:pPr>
        <w:pStyle w:val="Heading3"/>
      </w:pPr>
      <w:r>
        <w:t xml:space="preserve">Election</w:t>
      </w:r>
    </w:p>
    <w:p>
      <w:pPr>
        <w:numPr>
          <w:ilvl w:val="0"/>
          <w:numId w:val="1061"/>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62"/>
        </w:numPr>
      </w:pPr>
      <w:r>
        <w:t xml:space="preserve">his Christian experience, especially his personal character and family management (based on the qualifications set out in 1 Timothy 3:1-7 and Titus 1:6-9),</w:t>
      </w:r>
    </w:p>
    <w:p>
      <w:pPr>
        <w:numPr>
          <w:ilvl w:val="1"/>
          <w:numId w:val="1062"/>
        </w:numPr>
      </w:pPr>
      <w:r>
        <w:t xml:space="preserve">his knowledge of Bible content,</w:t>
      </w:r>
    </w:p>
    <w:p>
      <w:pPr>
        <w:numPr>
          <w:ilvl w:val="1"/>
          <w:numId w:val="1062"/>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62"/>
        </w:numPr>
      </w:pPr>
      <w:r>
        <w:t xml:space="preserve">the duties of the office to which he has been nominated, and</w:t>
      </w:r>
    </w:p>
    <w:p>
      <w:pPr>
        <w:numPr>
          <w:ilvl w:val="1"/>
          <w:numId w:val="1062"/>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61"/>
        </w:numPr>
      </w:pPr>
      <w:r>
        <w:t xml:space="preserve">A two-thirds majority of votes cast is required for election.</w:t>
      </w:r>
    </w:p>
    <w:p>
      <w:pPr>
        <w:numPr>
          <w:ilvl w:val="0"/>
          <w:numId w:val="1061"/>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18"/>
    <w:bookmarkStart w:id="121" w:name="ordination-and-installation"/>
    <w:p>
      <w:pPr>
        <w:pStyle w:val="Heading3"/>
      </w:pPr>
      <w:r>
        <w:t xml:space="preserve">Ordination and Installation</w:t>
      </w:r>
    </w:p>
    <w:p>
      <w:pPr>
        <w:pStyle w:val="FirstParagraph"/>
      </w:pPr>
      <w:bookmarkStart w:id="119" w:name="anchor-26-4"/>
      <w:bookmarkEnd w:id="119"/>
    </w:p>
    <w:p>
      <w:pPr>
        <w:numPr>
          <w:ilvl w:val="0"/>
          <w:numId w:val="1063"/>
        </w:numPr>
      </w:pPr>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4"/>
        </w:numPr>
      </w:pPr>
      <w:r>
        <w:t xml:space="preserve">Do you believe the Scriptures of the Old and New Testaments, as originally given, to be the infallible Word of God, which is the only infallible rule of faith and practice?</w:t>
      </w:r>
    </w:p>
    <w:p>
      <w:pPr>
        <w:numPr>
          <w:ilvl w:val="1"/>
          <w:numId w:val="1064"/>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4"/>
        </w:numPr>
      </w:pPr>
      <w:r>
        <w:t xml:space="preserve">Do you approve of the government and discipline of Evangel Presbytery, as being in conformity with the general principles of biblical polity?</w:t>
      </w:r>
    </w:p>
    <w:p>
      <w:pPr>
        <w:numPr>
          <w:ilvl w:val="1"/>
          <w:numId w:val="1064"/>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4"/>
        </w:numPr>
      </w:pPr>
      <w:r>
        <w:t xml:space="preserve">Do you promise subjection to your brethren in the Lord?</w:t>
      </w:r>
    </w:p>
    <w:p>
      <w:pPr>
        <w:numPr>
          <w:ilvl w:val="1"/>
          <w:numId w:val="1064"/>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63"/>
        </w:numPr>
      </w:pPr>
      <w:bookmarkStart w:id="120" w:name="anchor-26-5"/>
      <w:bookmarkEnd w:id="120"/>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63"/>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63"/>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63"/>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1"/>
    <w:bookmarkEnd w:id="122"/>
    <w:bookmarkStart w:id="124" w:name="congregational-meetings"/>
    <w:p>
      <w:pPr>
        <w:pStyle w:val="Heading2"/>
      </w:pPr>
      <w:r>
        <w:t xml:space="preserve">27. Congregational Meetings</w:t>
      </w:r>
    </w:p>
    <w:p>
      <w:pPr>
        <w:numPr>
          <w:ilvl w:val="0"/>
          <w:numId w:val="1065"/>
        </w:numPr>
      </w:pPr>
      <w:bookmarkStart w:id="123" w:name="anchor-27"/>
      <w:bookmarkEnd w:id="123"/>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5"/>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5"/>
        </w:numPr>
      </w:pPr>
      <w:r>
        <w:t xml:space="preserve">A quorum of the congregational meeting shall consist of one-fourth of the voting members of the church.</w:t>
      </w:r>
    </w:p>
    <w:p>
      <w:pPr>
        <w:numPr>
          <w:ilvl w:val="0"/>
          <w:numId w:val="1065"/>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5"/>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5"/>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5"/>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5"/>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5"/>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5"/>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5"/>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4"/>
    <w:bookmarkStart w:id="131" w:name="amending-the-constitution-of-the-church"/>
    <w:p>
      <w:pPr>
        <w:pStyle w:val="Heading2"/>
      </w:pPr>
      <w:r>
        <w:t xml:space="preserve">28. Amending the Constitution of the Church</w:t>
      </w:r>
    </w:p>
    <w:p>
      <w:pPr>
        <w:pStyle w:val="Compact"/>
        <w:numPr>
          <w:ilvl w:val="0"/>
          <w:numId w:val="1066"/>
        </w:numPr>
      </w:pPr>
      <w:bookmarkStart w:id="125" w:name="anchor-28"/>
      <w:bookmarkEnd w:id="125"/>
      <w:bookmarkStart w:id="126" w:name="anchor-28-1"/>
      <w:bookmarkEnd w:id="126"/>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7"/>
      </w:r>
      <w:r>
        <w:t xml:space="preserve"> </w:t>
      </w:r>
      <w:r>
        <w:t xml:space="preserve">together with the Larger</w:t>
      </w:r>
      <w:r>
        <w:rPr>
          <w:rStyle w:val="FootnoteReference"/>
        </w:rPr>
        <w:footnoteReference w:id="128"/>
      </w:r>
      <w:r>
        <w:t xml:space="preserve"> </w:t>
      </w:r>
      <w:r>
        <w:t xml:space="preserve">and Shorter Catechisms;</w:t>
      </w:r>
      <w:r>
        <w:rPr>
          <w:rStyle w:val="FootnoteReference"/>
        </w:rPr>
        <w:footnoteReference w:id="129"/>
      </w:r>
      <w:r>
        <w:t xml:space="preserve"> </w:t>
      </w:r>
      <w:r>
        <w:t xml:space="preserve">the Doctrinal Declarations of the Presbytery;</w:t>
      </w:r>
      <w:r>
        <w:rPr>
          <w:rStyle w:val="FootnoteReference"/>
        </w:rPr>
        <w:footnoteReference w:id="130"/>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7"/>
        </w:numPr>
      </w:pPr>
      <w:r>
        <w:t xml:space="preserve">Amendments to the Book of Church Order may be made only in the following manner:</w:t>
      </w:r>
    </w:p>
    <w:p>
      <w:pPr>
        <w:numPr>
          <w:ilvl w:val="1"/>
          <w:numId w:val="1068"/>
        </w:numPr>
      </w:pPr>
      <w:r>
        <w:t xml:space="preserve">Approval of the proposed amendment by the Presbytery and its recommendation to the Sessions.</w:t>
      </w:r>
    </w:p>
    <w:p>
      <w:pPr>
        <w:numPr>
          <w:ilvl w:val="1"/>
          <w:numId w:val="1068"/>
        </w:numPr>
      </w:pPr>
      <w:r>
        <w:t xml:space="preserve">The advice and consent of a majority of the Sessions.</w:t>
      </w:r>
    </w:p>
    <w:p>
      <w:pPr>
        <w:numPr>
          <w:ilvl w:val="1"/>
          <w:numId w:val="1068"/>
        </w:numPr>
      </w:pPr>
      <w:r>
        <w:t xml:space="preserve">The approval and enactment at a subsequent Presbytery meeting.</w:t>
      </w:r>
    </w:p>
    <w:p>
      <w:pPr>
        <w:numPr>
          <w:ilvl w:val="0"/>
          <w:numId w:val="1067"/>
        </w:numPr>
      </w:pPr>
      <w:r>
        <w:t xml:space="preserve">Amendments to the Confession of Faith and Catechisms of this Church may be made only in the following manner:</w:t>
      </w:r>
    </w:p>
    <w:p>
      <w:pPr>
        <w:numPr>
          <w:ilvl w:val="1"/>
          <w:numId w:val="1069"/>
        </w:numPr>
      </w:pPr>
      <w:r>
        <w:t xml:space="preserve">The approval of the proposed amendment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7"/>
        </w:numPr>
      </w:pPr>
    </w:p>
    <w:p>
      <w:pPr>
        <w:numPr>
          <w:ilvl w:val="1"/>
          <w:numId w:val="1070"/>
        </w:numPr>
      </w:pPr>
      <w:r>
        <w:t xml:space="preserve">The Doctrinal Declarations of the Presbytery are as follows:</w:t>
      </w:r>
    </w:p>
    <w:p>
      <w:pPr>
        <w:pStyle w:val="Compact"/>
        <w:numPr>
          <w:ilvl w:val="2"/>
          <w:numId w:val="1071"/>
        </w:numPr>
      </w:pPr>
      <w:r>
        <w:t xml:space="preserve">Declaration of Doctrine on Sexuality</w:t>
      </w:r>
    </w:p>
    <w:p>
      <w:pPr>
        <w:pStyle w:val="Compact"/>
        <w:numPr>
          <w:ilvl w:val="2"/>
          <w:numId w:val="1071"/>
        </w:numPr>
      </w:pPr>
      <w:r>
        <w:t xml:space="preserve">Declaration of Doctrine on Abortion</w:t>
      </w:r>
    </w:p>
    <w:p>
      <w:pPr>
        <w:numPr>
          <w:ilvl w:val="1"/>
          <w:numId w:val="1070"/>
        </w:numPr>
      </w:pPr>
      <w:r>
        <w:t xml:space="preserve">Amendments to the Doctrinal Declarations of the Presbytery may be made only in the following manner:</w:t>
      </w:r>
    </w:p>
    <w:p>
      <w:pPr>
        <w:pStyle w:val="Compact"/>
        <w:numPr>
          <w:ilvl w:val="2"/>
          <w:numId w:val="1072"/>
        </w:numPr>
      </w:pPr>
      <w:r>
        <w:t xml:space="preserve">Approval of the proposed amendment by the Presbytery and its recommendation to the Sessions.</w:t>
      </w:r>
    </w:p>
    <w:p>
      <w:pPr>
        <w:pStyle w:val="Compact"/>
        <w:numPr>
          <w:ilvl w:val="2"/>
          <w:numId w:val="1072"/>
        </w:numPr>
      </w:pPr>
      <w:r>
        <w:t xml:space="preserve">The advice and consent of a majority of the Sessions.</w:t>
      </w:r>
    </w:p>
    <w:p>
      <w:pPr>
        <w:pStyle w:val="Compact"/>
        <w:numPr>
          <w:ilvl w:val="2"/>
          <w:numId w:val="1072"/>
        </w:numPr>
      </w:pPr>
      <w:r>
        <w:t xml:space="preserve">The approval and enactment at a subsequent Presbytery meeting.</w:t>
      </w:r>
    </w:p>
    <w:p>
      <w:pPr>
        <w:numPr>
          <w:ilvl w:val="0"/>
          <w:numId w:val="1067"/>
        </w:numPr>
      </w:pPr>
      <w:r>
        <w:t xml:space="preserve">Full organic union and consolidation of Evangel Presbytery with any other ecclesiastical body can be effected only in the following manner:</w:t>
      </w:r>
    </w:p>
    <w:p>
      <w:pPr>
        <w:numPr>
          <w:ilvl w:val="1"/>
          <w:numId w:val="1073"/>
        </w:numPr>
      </w:pPr>
      <w:r>
        <w:t xml:space="preserve">The approval of the proposed union by the Presbytery and its recommendation to the Sessions.</w:t>
      </w:r>
    </w:p>
    <w:p>
      <w:pPr>
        <w:numPr>
          <w:ilvl w:val="1"/>
          <w:numId w:val="1073"/>
        </w:numPr>
      </w:pPr>
      <w:r>
        <w:t xml:space="preserve">The advice and consent of three-fourths of the Sessions.</w:t>
      </w:r>
    </w:p>
    <w:p>
      <w:pPr>
        <w:numPr>
          <w:ilvl w:val="1"/>
          <w:numId w:val="1073"/>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7"/>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1"/>
    <w:bookmarkEnd w:id="132"/>
    <w:bookmarkStart w:id="198" w:name="the-rules-of-discipline"/>
    <w:p>
      <w:pPr>
        <w:pStyle w:val="Heading1"/>
      </w:pPr>
      <w:r>
        <w:t xml:space="preserve">The Rules of Discipline</w:t>
      </w:r>
    </w:p>
    <w:bookmarkStart w:id="137" w:name="disciplineits-nature-subjects-and-ends"/>
    <w:p>
      <w:pPr>
        <w:pStyle w:val="Heading2"/>
      </w:pPr>
      <w:r>
        <w:t xml:space="preserve">29. Discipline—Its Nature, Subjects, and Ends</w:t>
      </w:r>
    </w:p>
    <w:p>
      <w:pPr>
        <w:pStyle w:val="FirstParagraph"/>
      </w:pPr>
      <w:bookmarkStart w:id="133" w:name="anchor-29-1"/>
      <w:bookmarkEnd w:id="133"/>
    </w:p>
    <w:p>
      <w:pPr>
        <w:numPr>
          <w:ilvl w:val="0"/>
          <w:numId w:val="1074"/>
        </w:numPr>
      </w:pPr>
      <w:r>
        <w:t xml:space="preserve">Discipline is the exercise of authority given the Church by the Lord Jesus Christ to instruct and guide its members and to promote its purity and welfare. The term has two senses:</w:t>
      </w:r>
    </w:p>
    <w:p>
      <w:pPr>
        <w:numPr>
          <w:ilvl w:val="1"/>
          <w:numId w:val="1075"/>
        </w:numPr>
      </w:pPr>
      <w:bookmarkStart w:id="134" w:name="anchor-29-1-a"/>
      <w:bookmarkEnd w:id="134"/>
      <w:r>
        <w:t xml:space="preserve">the one referring to the whole government, inspection, training, guardianship, and control which the Church maintains over its members, its officers, and its courts;</w:t>
      </w:r>
    </w:p>
    <w:p>
      <w:pPr>
        <w:numPr>
          <w:ilvl w:val="1"/>
          <w:numId w:val="1075"/>
        </w:numPr>
      </w:pPr>
      <w:r>
        <w:t xml:space="preserve">the other a restricted and technical sense, signifying judicial process.</w:t>
      </w:r>
    </w:p>
    <w:p>
      <w:pPr>
        <w:numPr>
          <w:ilvl w:val="0"/>
          <w:numId w:val="1074"/>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4"/>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5"/>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6"/>
        </w:numPr>
      </w:pPr>
      <w:bookmarkStart w:id="136" w:name="anchor-29-4"/>
      <w:bookmarkEnd w:id="136"/>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7"/>
    <w:bookmarkStart w:id="141" w:name="discipline-of-non-communing-members"/>
    <w:p>
      <w:pPr>
        <w:pStyle w:val="Heading2"/>
      </w:pPr>
      <w:r>
        <w:t xml:space="preserve">30. Discipline of Non-communing Members</w:t>
      </w:r>
    </w:p>
    <w:p>
      <w:pPr>
        <w:numPr>
          <w:ilvl w:val="0"/>
          <w:numId w:val="1077"/>
        </w:numPr>
      </w:pPr>
      <w:bookmarkStart w:id="138" w:name="anchor-30"/>
      <w:bookmarkEnd w:id="138"/>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7"/>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7"/>
        </w:numPr>
      </w:pPr>
      <w:r>
        <w:t xml:space="preserve">The Church should maintain constant and sympathetic relations with the children, and should encourage them on coming to years of discretion</w:t>
      </w:r>
      <w:r>
        <w:rPr>
          <w:rStyle w:val="FootnoteReference"/>
        </w:rPr>
        <w:footnoteReference w:id="139"/>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8"/>
        </w:numPr>
      </w:pPr>
      <w:r>
        <w:t xml:space="preserve">Adult non-communing members</w:t>
      </w:r>
      <w:r>
        <w:rPr>
          <w:rStyle w:val="FootnoteReference"/>
        </w:rPr>
        <w:footnoteReference w:id="140"/>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9"/>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1"/>
    <w:bookmarkStart w:id="144" w:name="offenses"/>
    <w:p>
      <w:pPr>
        <w:pStyle w:val="Heading2"/>
      </w:pPr>
      <w:r>
        <w:t xml:space="preserve">31. Offenses</w:t>
      </w:r>
    </w:p>
    <w:p>
      <w:pPr>
        <w:numPr>
          <w:ilvl w:val="0"/>
          <w:numId w:val="1080"/>
        </w:numPr>
      </w:pPr>
      <w:bookmarkStart w:id="142" w:name="anchor-31"/>
      <w:bookmarkEnd w:id="142"/>
      <w:bookmarkStart w:id="143" w:name="anchor-31-1"/>
      <w:bookmarkEnd w:id="143"/>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80"/>
        </w:numPr>
      </w:pPr>
      <w:r>
        <w:t xml:space="preserve">Offenses are either personal or general, private or public; but all of them being sins against God, are therefore grounds of discipline.</w:t>
      </w:r>
    </w:p>
    <w:p>
      <w:pPr>
        <w:numPr>
          <w:ilvl w:val="0"/>
          <w:numId w:val="1080"/>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80"/>
        </w:numPr>
      </w:pPr>
      <w:r>
        <w:t xml:space="preserve">Private offenses are those which are known only to a few persons. Public offenses are those which are notorious.</w:t>
      </w:r>
    </w:p>
    <w:bookmarkEnd w:id="144"/>
    <w:bookmarkStart w:id="146" w:name="church-censures"/>
    <w:p>
      <w:pPr>
        <w:pStyle w:val="Heading2"/>
      </w:pPr>
      <w:r>
        <w:t xml:space="preserve">32. Church Censures</w:t>
      </w:r>
    </w:p>
    <w:p>
      <w:pPr>
        <w:numPr>
          <w:ilvl w:val="0"/>
          <w:numId w:val="1081"/>
        </w:numPr>
      </w:pPr>
      <w:bookmarkStart w:id="145" w:name="anchor-32"/>
      <w:bookmarkEnd w:id="145"/>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81"/>
        </w:numPr>
      </w:pPr>
      <w:r>
        <w:t xml:space="preserve">Admonition is the formal reproof of an offender by a church court, warning him of his guilt and danger, and exhorting him to be more circumspect and watchful in the future.</w:t>
      </w:r>
    </w:p>
    <w:p>
      <w:pPr>
        <w:numPr>
          <w:ilvl w:val="0"/>
          <w:numId w:val="1081"/>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81"/>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81"/>
        </w:numPr>
      </w:pPr>
      <w:r>
        <w:t xml:space="preserve">Deposition is the removal of an officer from his office, and may or may not be accompanied with the infliction of other censure.</w:t>
      </w:r>
    </w:p>
    <w:bookmarkEnd w:id="146"/>
    <w:bookmarkStart w:id="150" w:name="the-parties-in-cases-of-process"/>
    <w:p>
      <w:pPr>
        <w:pStyle w:val="Heading2"/>
      </w:pPr>
      <w:r>
        <w:t xml:space="preserve">33. The Parties in Cases of Process</w:t>
      </w:r>
    </w:p>
    <w:p>
      <w:pPr>
        <w:numPr>
          <w:ilvl w:val="0"/>
          <w:numId w:val="1082"/>
        </w:numPr>
      </w:pPr>
      <w:bookmarkStart w:id="147" w:name="anchor-33"/>
      <w:bookmarkEnd w:id="147"/>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82"/>
        </w:numPr>
      </w:pPr>
      <w:bookmarkStart w:id="148" w:name="anchor-33-2"/>
      <w:bookmarkEnd w:id="148"/>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82"/>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82"/>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82"/>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49"/>
      </w:r>
    </w:p>
    <w:p>
      <w:pPr>
        <w:numPr>
          <w:ilvl w:val="0"/>
          <w:numId w:val="1083"/>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83"/>
        </w:numPr>
      </w:pPr>
      <w:r>
        <w:t xml:space="preserve">When the offense is general, the cause may be conducted either by any person appearing as prosecutor, or by a prosecutor appointed by the court.</w:t>
      </w:r>
    </w:p>
    <w:p>
      <w:pPr>
        <w:numPr>
          <w:ilvl w:val="0"/>
          <w:numId w:val="1083"/>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83"/>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83"/>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83"/>
        </w:numPr>
      </w:pPr>
      <w:r>
        <w:t xml:space="preserve">When a member of a church court is under process, all his official functions may be suspended, at its discretion; but this shall never be done in the way of censure.</w:t>
      </w:r>
    </w:p>
    <w:p>
      <w:pPr>
        <w:numPr>
          <w:ilvl w:val="0"/>
          <w:numId w:val="1083"/>
        </w:numPr>
      </w:pPr>
      <w:r>
        <w:t xml:space="preserve">In the discussion of all questions arising when a member of a church court is under process, the accused shall exercise the rights of defendant only, not of judge.</w:t>
      </w:r>
    </w:p>
    <w:bookmarkEnd w:id="150"/>
    <w:bookmarkStart w:id="155" w:name="Xa05ecd3af34679d1ef483f4a60ab86a634c4ce5"/>
    <w:p>
      <w:pPr>
        <w:pStyle w:val="Heading2"/>
      </w:pPr>
      <w:r>
        <w:t xml:space="preserve">34. General Provisions Applicable to All Cases of Process</w:t>
      </w:r>
    </w:p>
    <w:p>
      <w:pPr>
        <w:pStyle w:val="Compact"/>
        <w:numPr>
          <w:ilvl w:val="0"/>
          <w:numId w:val="1084"/>
        </w:numPr>
      </w:pPr>
      <w:bookmarkStart w:id="151" w:name="anchor-34"/>
      <w:bookmarkEnd w:id="151"/>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2"/>
      </w:r>
    </w:p>
    <w:p>
      <w:pPr>
        <w:numPr>
          <w:ilvl w:val="0"/>
          <w:numId w:val="1085"/>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5"/>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5"/>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5"/>
        </w:numPr>
      </w:pPr>
      <w:r>
        <w:t xml:space="preserve">In drawing the indictment, the times, places, and circumstances should, if possible, be particularly stated, that the accused may have an opportunity to make his defense.</w:t>
      </w:r>
    </w:p>
    <w:p>
      <w:pPr>
        <w:numPr>
          <w:ilvl w:val="0"/>
          <w:numId w:val="1085"/>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5"/>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5"/>
        </w:numPr>
      </w:pPr>
      <w:bookmarkStart w:id="153" w:name="anchor-34-8"/>
      <w:bookmarkEnd w:id="153"/>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4"/>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6"/>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6"/>
        </w:numPr>
      </w:pPr>
      <w:r>
        <w:t xml:space="preserve">Before proceeding to trial, courts ought to ascertain that their citations have been duly served.</w:t>
      </w:r>
    </w:p>
    <w:p>
      <w:pPr>
        <w:numPr>
          <w:ilvl w:val="0"/>
          <w:numId w:val="1086"/>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6"/>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6"/>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6"/>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6"/>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6"/>
        </w:numPr>
      </w:pPr>
      <w:r>
        <w:t xml:space="preserve">Either party may, for cause, challenge the right of any member to sit in the trial of the case, which question shall be decided by the members of the court other than the one challenged.</w:t>
      </w:r>
    </w:p>
    <w:p>
      <w:pPr>
        <w:numPr>
          <w:ilvl w:val="0"/>
          <w:numId w:val="1086"/>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6"/>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6"/>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6"/>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5"/>
    <w:bookmarkStart w:id="159" w:name="Xfbdb5038cdb66620e0b0a7a526e2ab3f00aef5f"/>
    <w:p>
      <w:pPr>
        <w:pStyle w:val="Heading2"/>
      </w:pPr>
      <w:r>
        <w:t xml:space="preserve">35. Special Rules Pertaining to Process before Sessions</w:t>
      </w:r>
    </w:p>
    <w:p>
      <w:pPr>
        <w:numPr>
          <w:ilvl w:val="0"/>
          <w:numId w:val="1087"/>
        </w:numPr>
      </w:pPr>
      <w:bookmarkStart w:id="156" w:name="anchor-35"/>
      <w:bookmarkEnd w:id="156"/>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7"/>
        </w:numPr>
      </w:pPr>
      <w:bookmarkStart w:id="157" w:name="anchor-35-2"/>
      <w:bookmarkEnd w:id="157"/>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7"/>
        </w:numPr>
      </w:pPr>
      <w:bookmarkStart w:id="158" w:name="anchor-35-3"/>
      <w:bookmarkEnd w:id="158"/>
      <w:r>
        <w:t xml:space="preserve">If after further endeavor by the court to bring the accused to a sense of his guilt, he persists in his contumacy, he shall be excommunicated from the Church.</w:t>
      </w:r>
    </w:p>
    <w:p>
      <w:pPr>
        <w:numPr>
          <w:ilvl w:val="0"/>
          <w:numId w:val="1087"/>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59"/>
    <w:bookmarkStart w:id="164" w:name="Xfbadf15979d5e77021499dffc3645acc0f3f00e"/>
    <w:p>
      <w:pPr>
        <w:pStyle w:val="Heading2"/>
      </w:pPr>
      <w:r>
        <w:t xml:space="preserve">36. Special Rules Pertaining to Process against a Minister</w:t>
      </w:r>
    </w:p>
    <w:p>
      <w:pPr>
        <w:numPr>
          <w:ilvl w:val="0"/>
          <w:numId w:val="1088"/>
        </w:numPr>
      </w:pPr>
      <w:bookmarkStart w:id="160" w:name="anchor-36"/>
      <w:bookmarkEnd w:id="160"/>
      <w:r>
        <w:t xml:space="preserve">Process against a Minister shall be entered before the Presbytery of which he is a member.</w:t>
      </w:r>
    </w:p>
    <w:p>
      <w:pPr>
        <w:numPr>
          <w:ilvl w:val="0"/>
          <w:numId w:val="1088"/>
        </w:numPr>
      </w:pPr>
      <w:r>
        <w:t xml:space="preserve">As no Minister ought, on account of his office, to be screened in his sin, or slightly censured, so scandalous charges ought not to be received against him on slight grounds.</w:t>
      </w:r>
    </w:p>
    <w:p>
      <w:pPr>
        <w:numPr>
          <w:ilvl w:val="0"/>
          <w:numId w:val="1088"/>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8"/>
        </w:numPr>
      </w:pPr>
      <w:bookmarkStart w:id="161" w:name="anchor-36-4"/>
      <w:bookmarkEnd w:id="161"/>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8"/>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8"/>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8"/>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8"/>
        </w:numPr>
      </w:pPr>
      <w:bookmarkStart w:id="162" w:name="anchor-36-8"/>
      <w:bookmarkEnd w:id="162"/>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8"/>
        </w:numPr>
      </w:pPr>
      <w:bookmarkStart w:id="163" w:name="anchor-36-10"/>
      <w:bookmarkEnd w:id="163"/>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4"/>
    <w:bookmarkStart w:id="167" w:name="evidence"/>
    <w:p>
      <w:pPr>
        <w:pStyle w:val="Heading2"/>
      </w:pPr>
      <w:r>
        <w:t xml:space="preserve">37. Evidence</w:t>
      </w:r>
    </w:p>
    <w:p>
      <w:pPr>
        <w:numPr>
          <w:ilvl w:val="0"/>
          <w:numId w:val="1089"/>
        </w:numPr>
      </w:pPr>
      <w:bookmarkStart w:id="165" w:name="anchor-37"/>
      <w:bookmarkEnd w:id="165"/>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9"/>
        </w:numPr>
      </w:pPr>
      <w:r>
        <w:t xml:space="preserve">A husband or wife shall not be compelled to bear testimony the one against the other in any court.</w:t>
      </w:r>
    </w:p>
    <w:p>
      <w:pPr>
        <w:numPr>
          <w:ilvl w:val="0"/>
          <w:numId w:val="1089"/>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9"/>
        </w:numPr>
      </w:pPr>
      <w:r>
        <w:t xml:space="preserve">No witness afterwards to be examined, except a member of the court, shall be present during the examination of another witness on the same case, if either party object.</w:t>
      </w:r>
    </w:p>
    <w:p>
      <w:pPr>
        <w:numPr>
          <w:ilvl w:val="0"/>
          <w:numId w:val="1089"/>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9"/>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9"/>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9"/>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9"/>
        </w:numPr>
      </w:pPr>
      <w:r>
        <w:t xml:space="preserve">In like manner, testimony taken by one court, and regularly certified, shall be received by every other court as no less valid than if it had been taken by itself.</w:t>
      </w:r>
    </w:p>
    <w:p>
      <w:pPr>
        <w:numPr>
          <w:ilvl w:val="0"/>
          <w:numId w:val="1089"/>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9"/>
        </w:numPr>
      </w:pPr>
      <w:r>
        <w:t xml:space="preserve">A member of the court who has given testimony in a case becomes disqualified for sitting as a judge if either party makes objection.</w:t>
      </w:r>
    </w:p>
    <w:p>
      <w:pPr>
        <w:numPr>
          <w:ilvl w:val="0"/>
          <w:numId w:val="1089"/>
        </w:numPr>
      </w:pPr>
      <w:r>
        <w:t xml:space="preserve">An officer or private member of the church refusing to testify may be censured for contumacy.</w:t>
      </w:r>
    </w:p>
    <w:p>
      <w:pPr>
        <w:numPr>
          <w:ilvl w:val="0"/>
          <w:numId w:val="1089"/>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9"/>
        </w:numPr>
      </w:pPr>
      <w:bookmarkStart w:id="166" w:name="anchor-37-14"/>
      <w:bookmarkEnd w:id="166"/>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7"/>
    <w:bookmarkStart w:id="170" w:name="the-infliction-of-church-censures"/>
    <w:p>
      <w:pPr>
        <w:pStyle w:val="Heading2"/>
      </w:pPr>
      <w:r>
        <w:t xml:space="preserve">38. The Infliction of Church Censures</w:t>
      </w:r>
    </w:p>
    <w:p>
      <w:pPr>
        <w:numPr>
          <w:ilvl w:val="0"/>
          <w:numId w:val="1090"/>
        </w:numPr>
      </w:pPr>
      <w:bookmarkStart w:id="168" w:name="anchor-38"/>
      <w:bookmarkEnd w:id="168"/>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90"/>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90"/>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90"/>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90"/>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90"/>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69"/>
      </w:r>
    </w:p>
    <w:p>
      <w:pPr>
        <w:numPr>
          <w:ilvl w:val="0"/>
          <w:numId w:val="1091"/>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0"/>
    <w:bookmarkStart w:id="172" w:name="the-removal-of-censure"/>
    <w:p>
      <w:pPr>
        <w:pStyle w:val="Heading2"/>
      </w:pPr>
      <w:r>
        <w:t xml:space="preserve">39. The Removal of Censure</w:t>
      </w:r>
    </w:p>
    <w:p>
      <w:pPr>
        <w:pStyle w:val="FirstParagraph"/>
      </w:pPr>
      <w:bookmarkStart w:id="171" w:name="anchor-39"/>
      <w:bookmarkEnd w:id="171"/>
    </w:p>
    <w:p>
      <w:pPr>
        <w:numPr>
          <w:ilvl w:val="0"/>
          <w:numId w:val="1092"/>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92"/>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92"/>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92"/>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92"/>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92"/>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92"/>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92"/>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92"/>
        </w:numPr>
      </w:pPr>
      <w:r>
        <w:t xml:space="preserve">In the case of the removal of censures from, or the restoration of, a minister, jurisdiction shall be as follows:</w:t>
      </w:r>
    </w:p>
    <w:p>
      <w:pPr>
        <w:numPr>
          <w:ilvl w:val="1"/>
          <w:numId w:val="1093"/>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93"/>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2"/>
    <w:bookmarkStart w:id="175" w:name="cases-without-process"/>
    <w:p>
      <w:pPr>
        <w:pStyle w:val="Heading2"/>
      </w:pPr>
      <w:r>
        <w:t xml:space="preserve">40. Cases without Process</w:t>
      </w:r>
    </w:p>
    <w:p>
      <w:pPr>
        <w:numPr>
          <w:ilvl w:val="0"/>
          <w:numId w:val="1094"/>
        </w:numPr>
      </w:pPr>
      <w:bookmarkStart w:id="173" w:name="anchor-40"/>
      <w:bookmarkEnd w:id="173"/>
      <w:r>
        <w:t xml:space="preserve">When any person shall come forward and make his offense known to the court, a full statement of the facts shall be recorded and judgment rendered without process.</w:t>
      </w:r>
    </w:p>
    <w:p>
      <w:pPr>
        <w:numPr>
          <w:ilvl w:val="0"/>
          <w:numId w:val="1094"/>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4"/>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4"/>
        </w:numPr>
      </w:pPr>
      <w:bookmarkStart w:id="174" w:name="anchor-40-4"/>
      <w:bookmarkEnd w:id="174"/>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5"/>
    <w:bookmarkStart w:id="181" w:name="X3cad1f6321d7755286002e3f77e3f770284f7c0"/>
    <w:p>
      <w:pPr>
        <w:pStyle w:val="Heading2"/>
      </w:pPr>
      <w:r>
        <w:t xml:space="preserve">41. Modes in Which the Proceedings of Lower Courts Come Under the Supervision of Higher Courts</w:t>
      </w:r>
    </w:p>
    <w:p>
      <w:pPr>
        <w:pStyle w:val="FirstParagraph"/>
      </w:pPr>
      <w:bookmarkStart w:id="176" w:name="anchor-41"/>
      <w:bookmarkEnd w:id="176"/>
    </w:p>
    <w:p>
      <w:pPr>
        <w:numPr>
          <w:ilvl w:val="0"/>
          <w:numId w:val="1095"/>
        </w:numPr>
      </w:pPr>
      <w:r>
        <w:t xml:space="preserve">The acts and decisions of a lower court are brought under the supervision of a higher court in one or another of the following modes:</w:t>
      </w:r>
    </w:p>
    <w:p>
      <w:pPr>
        <w:pStyle w:val="Compact"/>
        <w:numPr>
          <w:ilvl w:val="1"/>
          <w:numId w:val="1096"/>
        </w:numPr>
      </w:pPr>
      <w:r>
        <w:t xml:space="preserve">Review and Control;</w:t>
      </w:r>
    </w:p>
    <w:p>
      <w:pPr>
        <w:pStyle w:val="Compact"/>
        <w:numPr>
          <w:ilvl w:val="1"/>
          <w:numId w:val="1096"/>
        </w:numPr>
      </w:pPr>
      <w:r>
        <w:t xml:space="preserve">Reference;</w:t>
      </w:r>
    </w:p>
    <w:p>
      <w:pPr>
        <w:pStyle w:val="Compact"/>
        <w:numPr>
          <w:ilvl w:val="1"/>
          <w:numId w:val="1096"/>
        </w:numPr>
      </w:pPr>
      <w:r>
        <w:t xml:space="preserve">Appeal;</w:t>
      </w:r>
    </w:p>
    <w:p>
      <w:pPr>
        <w:pStyle w:val="Compact"/>
        <w:numPr>
          <w:ilvl w:val="1"/>
          <w:numId w:val="1096"/>
        </w:numPr>
      </w:pPr>
      <w:r>
        <w:t xml:space="preserve">Complaint.</w:t>
      </w:r>
    </w:p>
    <w:p>
      <w:pPr>
        <w:numPr>
          <w:ilvl w:val="0"/>
          <w:numId w:val="1095"/>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5"/>
        </w:numPr>
      </w:pPr>
      <w:r>
        <w:t xml:space="preserve">While affirming that the Scripture is</w:t>
      </w:r>
      <w:r>
        <w:t xml:space="preserve"> </w:t>
      </w:r>
      <w:r>
        <w:t xml:space="preserve">“the supreme judge by which all controversies of religion are to be determined,”</w:t>
      </w:r>
      <w:r>
        <w:rPr>
          <w:rStyle w:val="FootnoteReference"/>
        </w:rPr>
        <w:footnoteReference w:id="177"/>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79"/>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7"/>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7"/>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7"/>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7"/>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1"/>
    <w:bookmarkStart w:id="183" w:name="general-review-and-control"/>
    <w:p>
      <w:pPr>
        <w:pStyle w:val="Heading2"/>
      </w:pPr>
      <w:r>
        <w:t xml:space="preserve">42. General Review and Control</w:t>
      </w:r>
    </w:p>
    <w:p>
      <w:pPr>
        <w:numPr>
          <w:ilvl w:val="0"/>
          <w:numId w:val="1098"/>
        </w:numPr>
      </w:pPr>
      <w:bookmarkStart w:id="182" w:name="anchor-42"/>
      <w:bookmarkEnd w:id="182"/>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8"/>
        </w:numPr>
      </w:pPr>
      <w:r>
        <w:t xml:space="preserve">In reviewing records of a lower court the higher court is to examine:</w:t>
      </w:r>
    </w:p>
    <w:p>
      <w:pPr>
        <w:pStyle w:val="Compact"/>
        <w:numPr>
          <w:ilvl w:val="1"/>
          <w:numId w:val="1099"/>
        </w:numPr>
      </w:pPr>
      <w:r>
        <w:t xml:space="preserve">Whether the proceedings have been correctly recorded;</w:t>
      </w:r>
    </w:p>
    <w:p>
      <w:pPr>
        <w:pStyle w:val="Compact"/>
        <w:numPr>
          <w:ilvl w:val="1"/>
          <w:numId w:val="1099"/>
        </w:numPr>
      </w:pPr>
      <w:r>
        <w:t xml:space="preserve">whether they have been regular and in accordance with the Constitution;</w:t>
      </w:r>
    </w:p>
    <w:p>
      <w:pPr>
        <w:pStyle w:val="Compact"/>
        <w:numPr>
          <w:ilvl w:val="1"/>
          <w:numId w:val="1099"/>
        </w:numPr>
      </w:pPr>
      <w:r>
        <w:t xml:space="preserve">whether they have been wise, equitable, and suited to promote the welfare of the Church;</w:t>
      </w:r>
    </w:p>
    <w:p>
      <w:pPr>
        <w:pStyle w:val="Compact"/>
        <w:numPr>
          <w:ilvl w:val="1"/>
          <w:numId w:val="1099"/>
        </w:numPr>
      </w:pPr>
      <w:r>
        <w:t xml:space="preserve">whether the lawful injunctions of the higher court have been obeyed.</w:t>
      </w:r>
    </w:p>
    <w:p>
      <w:pPr>
        <w:numPr>
          <w:ilvl w:val="0"/>
          <w:numId w:val="1098"/>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8"/>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8"/>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8"/>
        </w:numPr>
      </w:pPr>
      <w:r>
        <w:t xml:space="preserve">In process against a lower court, the trial shall be conducted according to the rules provided for process against individuals, so far as they may be applicable.</w:t>
      </w:r>
    </w:p>
    <w:bookmarkEnd w:id="183"/>
    <w:bookmarkStart w:id="186" w:name="references"/>
    <w:p>
      <w:pPr>
        <w:pStyle w:val="Heading2"/>
      </w:pPr>
      <w:r>
        <w:t xml:space="preserve">43. References</w:t>
      </w:r>
    </w:p>
    <w:p>
      <w:pPr>
        <w:numPr>
          <w:ilvl w:val="0"/>
          <w:numId w:val="1100"/>
        </w:numPr>
      </w:pPr>
      <w:bookmarkStart w:id="184" w:name="anchor-43"/>
      <w:bookmarkEnd w:id="184"/>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100"/>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100"/>
        </w:numPr>
      </w:pPr>
      <w:bookmarkStart w:id="185" w:name="anchor-43-3"/>
      <w:bookmarkEnd w:id="185"/>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100"/>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100"/>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100"/>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6"/>
    <w:bookmarkStart w:id="188" w:name="appeals"/>
    <w:p>
      <w:pPr>
        <w:pStyle w:val="Heading2"/>
      </w:pPr>
      <w:r>
        <w:t xml:space="preserve">44. Appeals</w:t>
      </w:r>
    </w:p>
    <w:p>
      <w:pPr>
        <w:numPr>
          <w:ilvl w:val="0"/>
          <w:numId w:val="1101"/>
        </w:numPr>
      </w:pPr>
      <w:bookmarkStart w:id="187" w:name="anchor-44"/>
      <w:bookmarkEnd w:id="187"/>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101"/>
        </w:numPr>
      </w:pPr>
      <w:r>
        <w:t xml:space="preserve">Only those who have submitted to a regular trial are entitled to an appeal. Those who have not submitted to a regular trial are not entitled to an appeal.</w:t>
      </w:r>
    </w:p>
    <w:p>
      <w:pPr>
        <w:numPr>
          <w:ilvl w:val="0"/>
          <w:numId w:val="1101"/>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101"/>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101"/>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101"/>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101"/>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101"/>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101"/>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101"/>
        </w:numPr>
      </w:pPr>
      <w:r>
        <w:t xml:space="preserve">If an appellant manifests a litigious or otherwise unchristian spirit in the prosecution of his appeal, he shall receive a suitable rebuke by the appellate court.</w:t>
      </w:r>
    </w:p>
    <w:p>
      <w:pPr>
        <w:numPr>
          <w:ilvl w:val="0"/>
          <w:numId w:val="1101"/>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88"/>
    <w:bookmarkStart w:id="190" w:name="complaints"/>
    <w:p>
      <w:pPr>
        <w:pStyle w:val="Heading2"/>
      </w:pPr>
      <w:r>
        <w:t xml:space="preserve">45. Complaints</w:t>
      </w:r>
    </w:p>
    <w:p>
      <w:pPr>
        <w:numPr>
          <w:ilvl w:val="0"/>
          <w:numId w:val="1102"/>
        </w:numPr>
      </w:pPr>
      <w:bookmarkStart w:id="189" w:name="anchor-45"/>
      <w:bookmarkEnd w:id="189"/>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102"/>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102"/>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102"/>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102"/>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102"/>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102"/>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102"/>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102"/>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102"/>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0"/>
    <w:bookmarkStart w:id="192" w:name="voting-in-appeals-and-complaints"/>
    <w:p>
      <w:pPr>
        <w:pStyle w:val="Heading2"/>
      </w:pPr>
      <w:r>
        <w:t xml:space="preserve">46. Voting in Appeals and Complaints</w:t>
      </w:r>
    </w:p>
    <w:p>
      <w:pPr>
        <w:numPr>
          <w:ilvl w:val="0"/>
          <w:numId w:val="1103"/>
        </w:numPr>
      </w:pPr>
      <w:bookmarkStart w:id="191" w:name="anchor-46"/>
      <w:bookmarkEnd w:id="191"/>
      <w:r>
        <w:t xml:space="preserve">In voting upon a complaint, the vote shall be either to sustain, to sustain in part, or not to sustain.</w:t>
      </w:r>
    </w:p>
    <w:p>
      <w:pPr>
        <w:numPr>
          <w:ilvl w:val="0"/>
          <w:numId w:val="1103"/>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103"/>
        </w:numPr>
      </w:pPr>
      <w:r>
        <w:t xml:space="preserve">Those voting to sustain in part shall be required when voting to state what item or items, count or counts of the complaint they desire to sustain.</w:t>
      </w:r>
    </w:p>
    <w:p>
      <w:pPr>
        <w:numPr>
          <w:ilvl w:val="0"/>
          <w:numId w:val="1103"/>
        </w:numPr>
      </w:pPr>
      <w:r>
        <w:t xml:space="preserve">In making up the vote on the complaint only those items or counts shall be declared to be sustained for the sustaining of which a majority of the votes cast has been given.</w:t>
      </w:r>
    </w:p>
    <w:bookmarkEnd w:id="192"/>
    <w:bookmarkStart w:id="194" w:name="dissents-protests-and-objections"/>
    <w:p>
      <w:pPr>
        <w:pStyle w:val="Heading2"/>
      </w:pPr>
      <w:r>
        <w:t xml:space="preserve">47. Dissents, Protests, and Objections</w:t>
      </w:r>
    </w:p>
    <w:p>
      <w:pPr>
        <w:numPr>
          <w:ilvl w:val="0"/>
          <w:numId w:val="1104"/>
        </w:numPr>
      </w:pPr>
      <w:bookmarkStart w:id="193" w:name="anchor-47"/>
      <w:bookmarkEnd w:id="193"/>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4"/>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4"/>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4"/>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4"/>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4"/>
    <w:bookmarkStart w:id="197" w:name="jurisdiction"/>
    <w:p>
      <w:pPr>
        <w:pStyle w:val="Heading2"/>
      </w:pPr>
      <w:r>
        <w:t xml:space="preserve">48. Jurisdiction</w:t>
      </w:r>
    </w:p>
    <w:p>
      <w:pPr>
        <w:numPr>
          <w:ilvl w:val="0"/>
          <w:numId w:val="1105"/>
        </w:numPr>
      </w:pPr>
      <w:bookmarkStart w:id="195" w:name="anchor-48"/>
      <w:bookmarkEnd w:id="195"/>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5"/>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5"/>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5"/>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5"/>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5"/>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5"/>
        </w:numPr>
      </w:pPr>
      <w:bookmarkStart w:id="196" w:name="anchor-48-7"/>
      <w:bookmarkEnd w:id="196"/>
      <w:r>
        <w:t xml:space="preserve">When a Presbytery shall divest a Minister of his office without censure, or depose him without excommunication, it shall assign him to membership in some particular church, subject to the approval of the Session of that church.</w:t>
      </w:r>
    </w:p>
    <w:bookmarkEnd w:id="197"/>
    <w:bookmarkEnd w:id="198"/>
    <w:bookmarkStart w:id="342" w:name="directory-for-the-worship-of-god"/>
    <w:p>
      <w:pPr>
        <w:pStyle w:val="Heading1"/>
      </w:pPr>
      <w:r>
        <w:t xml:space="preserve">Directory for the Worship of God</w:t>
      </w:r>
    </w:p>
    <w:bookmarkStart w:id="200" w:name="preface-to-the-directory"/>
    <w:p>
      <w:pPr>
        <w:pStyle w:val="Heading2"/>
      </w:pPr>
      <w:r>
        <w:t xml:space="preserve">Preface to the Directory</w:t>
      </w:r>
    </w:p>
    <w:p>
      <w:pPr>
        <w:pStyle w:val="FirstParagraph"/>
      </w:pPr>
      <w:bookmarkStart w:id="199" w:name="anchor-dfw-preface"/>
      <w:bookmarkEnd w:id="199"/>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6"/>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7"/>
        </w:numPr>
      </w:pPr>
      <w:r>
        <w:t xml:space="preserve">Practices that are strongly recommended are denoted by “should,” “ought to,” “is desirable,” and “is advisable.”</w:t>
      </w:r>
    </w:p>
    <w:p>
      <w:pPr>
        <w:numPr>
          <w:ilvl w:val="0"/>
          <w:numId w:val="1107"/>
        </w:numPr>
      </w:pPr>
      <w:r>
        <w:t xml:space="preserve">Practices that are commended as suitable are denoted by “is appropriate,” “is well,” and “is fitting.”</w:t>
      </w:r>
    </w:p>
    <w:p>
      <w:pPr>
        <w:numPr>
          <w:ilvl w:val="0"/>
          <w:numId w:val="1107"/>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0"/>
    <w:bookmarkStart w:id="202" w:name="gods-institution-of-public-worship"/>
    <w:p>
      <w:pPr>
        <w:pStyle w:val="Heading2"/>
      </w:pPr>
      <w:r>
        <w:t xml:space="preserve">49. God’s Institution of Public Worship</w:t>
      </w:r>
    </w:p>
    <w:p>
      <w:pPr>
        <w:pStyle w:val="FirstParagraph"/>
      </w:pPr>
      <w:bookmarkStart w:id="201" w:name="anchor-49"/>
      <w:bookmarkEnd w:id="201"/>
    </w:p>
    <w:p>
      <w:pPr>
        <w:numPr>
          <w:ilvl w:val="0"/>
          <w:numId w:val="1108"/>
        </w:numPr>
      </w:pPr>
      <w:r>
        <w:t xml:space="preserve">The living and true God, our triune Creator, has instituted the worship of Himself by all people everywhere in spirit and in truth.</w:t>
      </w:r>
    </w:p>
    <w:p>
      <w:pPr>
        <w:numPr>
          <w:ilvl w:val="1"/>
          <w:numId w:val="1109"/>
        </w:numPr>
      </w:pPr>
      <w:r>
        <w:t xml:space="preserve">Because man’s chief end is to glorify God and fully to enjoy Him forever, all of life is to be worshipful. Nevertheless, worship itself consists primarily in specific acts of communion with God.</w:t>
      </w:r>
    </w:p>
    <w:p>
      <w:pPr>
        <w:numPr>
          <w:ilvl w:val="1"/>
          <w:numId w:val="1109"/>
        </w:numPr>
      </w:pPr>
      <w:r>
        <w:t xml:space="preserve">Only those people whose hearts have been made new through God’s grace by the work of the Holy Spirit can truly worship God.</w:t>
      </w:r>
    </w:p>
    <w:p>
      <w:pPr>
        <w:numPr>
          <w:ilvl w:val="1"/>
          <w:numId w:val="1109"/>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8"/>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8"/>
        </w:numPr>
      </w:pPr>
      <w:r>
        <w:t xml:space="preserve">God’s covenant people are to devote the entire Lord’s Day as holy to the Lord.</w:t>
      </w:r>
    </w:p>
    <w:p>
      <w:pPr>
        <w:numPr>
          <w:ilvl w:val="1"/>
          <w:numId w:val="1110"/>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10"/>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10"/>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10"/>
        </w:numPr>
      </w:pPr>
      <w:r>
        <w:t xml:space="preserve">They shall so order works of necessity on that day that they do not improperly detain others from the public worship of God, nor otherwise hinder them from sanctifying the Sabbath.</w:t>
      </w:r>
    </w:p>
    <w:p>
      <w:pPr>
        <w:numPr>
          <w:ilvl w:val="0"/>
          <w:numId w:val="1108"/>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2"/>
    <w:bookmarkStart w:id="206" w:name="the-nature-of-public-worship"/>
    <w:p>
      <w:pPr>
        <w:pStyle w:val="Heading2"/>
      </w:pPr>
      <w:r>
        <w:t xml:space="preserve">50. The Nature of Public Worship</w:t>
      </w:r>
    </w:p>
    <w:p>
      <w:pPr>
        <w:pStyle w:val="FirstParagraph"/>
      </w:pPr>
      <w:bookmarkStart w:id="203" w:name="anchor-50"/>
      <w:bookmarkEnd w:id="203"/>
    </w:p>
    <w:p>
      <w:pPr>
        <w:numPr>
          <w:ilvl w:val="0"/>
          <w:numId w:val="1111"/>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12"/>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12"/>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12"/>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11"/>
        </w:numPr>
      </w:pPr>
      <w:r>
        <w:t xml:space="preserve">Because Christ is the Mediator of the covenant, no one draws near to God except through Him alone.</w:t>
      </w:r>
    </w:p>
    <w:p>
      <w:pPr>
        <w:numPr>
          <w:ilvl w:val="1"/>
          <w:numId w:val="1113"/>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13"/>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11"/>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4"/>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4"/>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4"/>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11"/>
        </w:numPr>
      </w:pPr>
      <w:r>
        <w:t xml:space="preserve">In public worship, God’s people draw near to their God unitedly as His covenant people, the body of Christ.</w:t>
      </w:r>
    </w:p>
    <w:p>
      <w:pPr>
        <w:numPr>
          <w:ilvl w:val="1"/>
          <w:numId w:val="1115"/>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5"/>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5"/>
        </w:numPr>
      </w:pPr>
      <w:r>
        <w:t xml:space="preserve">The unity and catholicity</w:t>
      </w:r>
      <w:r>
        <w:rPr>
          <w:rStyle w:val="FootnoteReference"/>
        </w:rPr>
        <w:footnoteReference w:id="204"/>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5"/>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6"/>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7"/>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7"/>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6"/>
        </w:numPr>
      </w:pPr>
      <w:r>
        <w:t xml:space="preserve">The triune God reveals the way of knowing and worshiping Him in His Word, the Holy Scriptures of the Old and New Testaments, which is the only infallible rule of faith and practice.</w:t>
      </w:r>
    </w:p>
    <w:p>
      <w:pPr>
        <w:numPr>
          <w:ilvl w:val="1"/>
          <w:numId w:val="1118"/>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8"/>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6"/>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5"/>
      </w:r>
    </w:p>
    <w:p>
      <w:pPr>
        <w:numPr>
          <w:ilvl w:val="1"/>
          <w:numId w:val="1119"/>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9"/>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6"/>
    <w:bookmarkStart w:id="209" w:name="the-parts-of-public-worship"/>
    <w:p>
      <w:pPr>
        <w:pStyle w:val="Heading2"/>
      </w:pPr>
      <w:r>
        <w:t xml:space="preserve">51. The Parts of Public Worship</w:t>
      </w:r>
    </w:p>
    <w:p>
      <w:pPr>
        <w:pStyle w:val="FirstParagraph"/>
      </w:pPr>
      <w:bookmarkStart w:id="207" w:name="anchor-51"/>
      <w:bookmarkEnd w:id="207"/>
    </w:p>
    <w:p>
      <w:pPr>
        <w:numPr>
          <w:ilvl w:val="0"/>
          <w:numId w:val="1120"/>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21"/>
        </w:numPr>
      </w:pPr>
      <w:r>
        <w:t xml:space="preserve">By His Spirit working through the ministry of the Word, God addresses His people in the call to worship, in the salutation</w:t>
      </w:r>
      <w:r>
        <w:rPr>
          <w:rStyle w:val="FootnoteReference"/>
        </w:rPr>
        <w:footnoteReference w:id="208"/>
      </w:r>
      <w:r>
        <w:t xml:space="preserve"> </w:t>
      </w:r>
      <w:r>
        <w:t xml:space="preserve">and benediction, in the reading and preaching of the Word, and in the sacraments.</w:t>
      </w:r>
    </w:p>
    <w:p>
      <w:pPr>
        <w:numPr>
          <w:ilvl w:val="1"/>
          <w:numId w:val="1121"/>
        </w:numPr>
      </w:pPr>
      <w:r>
        <w:t xml:space="preserve">His people, enabled by the Holy Spirit, address God in prayer, in song, in offerings, in hearing the Word, in confession, and in receiving and partaking of the sacraments.</w:t>
      </w:r>
    </w:p>
    <w:p>
      <w:pPr>
        <w:numPr>
          <w:ilvl w:val="1"/>
          <w:numId w:val="1121"/>
        </w:numPr>
      </w:pPr>
      <w:r>
        <w:t xml:space="preserve">It is advisable that these two parts be interspersed in the service.</w:t>
      </w:r>
    </w:p>
    <w:p>
      <w:pPr>
        <w:numPr>
          <w:ilvl w:val="0"/>
          <w:numId w:val="1122"/>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23"/>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23"/>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22"/>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22"/>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09"/>
    <w:bookmarkStart w:id="212" w:name="X9d4e6ea83c5082640830f76d8473afee64835ca"/>
    <w:p>
      <w:pPr>
        <w:pStyle w:val="Heading2"/>
      </w:pPr>
      <w:r>
        <w:t xml:space="preserve">52. The Oversight and Conduct of Public Worship</w:t>
      </w:r>
    </w:p>
    <w:p>
      <w:pPr>
        <w:pStyle w:val="FirstParagraph"/>
      </w:pPr>
      <w:bookmarkStart w:id="210" w:name="anchor-52"/>
      <w:bookmarkEnd w:id="210"/>
    </w:p>
    <w:p>
      <w:pPr>
        <w:numPr>
          <w:ilvl w:val="0"/>
          <w:numId w:val="1124"/>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5"/>
        </w:numPr>
      </w:pPr>
      <w:r>
        <w:t xml:space="preserve">He rules over public worship by His Word and Spirit, not only directly, but also through the ministry of officers in their ruling, serving, teaching, and leading His church.</w:t>
      </w:r>
    </w:p>
    <w:p>
      <w:pPr>
        <w:numPr>
          <w:ilvl w:val="1"/>
          <w:numId w:val="1125"/>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4"/>
        </w:numPr>
      </w:pPr>
      <w:r>
        <w:t xml:space="preserve">For this reason:</w:t>
      </w:r>
    </w:p>
    <w:p>
      <w:pPr>
        <w:numPr>
          <w:ilvl w:val="1"/>
          <w:numId w:val="1126"/>
        </w:numPr>
      </w:pPr>
      <w:r>
        <w:t xml:space="preserve">The session is responsible to give immediate oversight to the conduct of public worship in the local church.</w:t>
      </w:r>
    </w:p>
    <w:p>
      <w:pPr>
        <w:numPr>
          <w:ilvl w:val="1"/>
          <w:numId w:val="1126"/>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6"/>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6"/>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6"/>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6"/>
        </w:numPr>
      </w:pPr>
      <w:r>
        <w:t xml:space="preserve">The session may choose to delegate leadership of the musical portions of the service to unordained, godly men gifted for that work, serving under the oversight of the pastor.</w:t>
      </w:r>
    </w:p>
    <w:p>
      <w:pPr>
        <w:numPr>
          <w:ilvl w:val="1"/>
          <w:numId w:val="1126"/>
        </w:numPr>
      </w:pPr>
      <w:r>
        <w:t xml:space="preserve">No others should take such leadership in overseeing or conducting public worship.</w:t>
      </w:r>
    </w:p>
    <w:p>
      <w:pPr>
        <w:numPr>
          <w:ilvl w:val="1"/>
          <w:numId w:val="1126"/>
        </w:numPr>
      </w:pPr>
      <w:r>
        <w:t xml:space="preserve">There are times when it is appropriate for women to participate vocally in a worship service without it being a violation of Scripture’s command for women to remain silent.</w:t>
      </w:r>
      <w:r>
        <w:rPr>
          <w:rStyle w:val="FootnoteReference"/>
        </w:rPr>
        <w:footnoteReference w:id="211"/>
      </w:r>
      <w:r>
        <w:t xml:space="preserve"> </w:t>
      </w:r>
      <w:r>
        <w:t xml:space="preserve">Women should be encouraged to sing, to share prayer requests, to give testimonies of God’s faithfulness, and to pray.</w:t>
      </w:r>
    </w:p>
    <w:p>
      <w:pPr>
        <w:numPr>
          <w:ilvl w:val="1"/>
          <w:numId w:val="1126"/>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2"/>
    <w:bookmarkStart w:id="219" w:name="X3d5c6b82b54008bb923390382cd7c33f3a7df96"/>
    <w:p>
      <w:pPr>
        <w:pStyle w:val="Heading2"/>
      </w:pPr>
      <w:r>
        <w:t xml:space="preserve">53. Elements of Ordinary Public Worship—From God to the People</w:t>
      </w:r>
    </w:p>
    <w:p>
      <w:pPr>
        <w:pStyle w:val="FirstParagraph"/>
      </w:pPr>
      <w:bookmarkStart w:id="213" w:name="anchor-53"/>
      <w:bookmarkEnd w:id="213"/>
    </w:p>
    <w:p>
      <w:pPr>
        <w:numPr>
          <w:ilvl w:val="0"/>
          <w:numId w:val="1127"/>
        </w:numPr>
      </w:pPr>
      <w:r>
        <w:rPr>
          <w:b/>
          <w:bCs/>
        </w:rPr>
        <w:t xml:space="preserve">The Call to Worship</w:t>
      </w:r>
    </w:p>
    <w:p>
      <w:pPr>
        <w:numPr>
          <w:ilvl w:val="1"/>
          <w:numId w:val="1128"/>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8"/>
        </w:numPr>
      </w:pPr>
      <w:r>
        <w:t xml:space="preserve">It is fitting that the congregation respond to the call to worship in words of Scripture, or with singing, or with prayer, or with all of these.</w:t>
      </w:r>
    </w:p>
    <w:p>
      <w:pPr>
        <w:numPr>
          <w:ilvl w:val="0"/>
          <w:numId w:val="1127"/>
        </w:numPr>
      </w:pPr>
      <w:r>
        <w:rPr>
          <w:b/>
          <w:bCs/>
        </w:rPr>
        <w:t xml:space="preserve">The Public Reading of God’s Word</w:t>
      </w:r>
    </w:p>
    <w:p>
      <w:pPr>
        <w:numPr>
          <w:ilvl w:val="1"/>
          <w:numId w:val="1129"/>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9"/>
        </w:numPr>
      </w:pPr>
      <w:r>
        <w:t xml:space="preserve">It is desirable that portions from both the Old and the New Testaments be read each Lord’s Day. It is also well that the law of God be read frequently.</w:t>
      </w:r>
    </w:p>
    <w:p>
      <w:pPr>
        <w:numPr>
          <w:ilvl w:val="1"/>
          <w:numId w:val="1129"/>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7"/>
        </w:numPr>
      </w:pPr>
      <w:r>
        <w:rPr>
          <w:b/>
          <w:bCs/>
        </w:rPr>
        <w:t xml:space="preserve">The Preaching of God’s Word</w:t>
      </w:r>
    </w:p>
    <w:p>
      <w:pPr>
        <w:numPr>
          <w:ilvl w:val="1"/>
          <w:numId w:val="1130"/>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30"/>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30"/>
        </w:numPr>
      </w:pPr>
      <w:r>
        <w:t xml:space="preserve">The session is to give diligence that no person enter the pulpit concerning whose soundness in doctrine and life, or knowledge of Scripture, there is reasonable doubt.</w:t>
      </w:r>
    </w:p>
    <w:p>
      <w:pPr>
        <w:numPr>
          <w:ilvl w:val="1"/>
          <w:numId w:val="1130"/>
        </w:numPr>
      </w:pPr>
      <w:r>
        <w:t xml:space="preserve">No person shall be invited to preach in any of the churches under our care without the consent of the Session, unless sent by the Presbytery.</w:t>
      </w:r>
    </w:p>
    <w:p>
      <w:pPr>
        <w:numPr>
          <w:ilvl w:val="0"/>
          <w:numId w:val="1127"/>
        </w:numPr>
      </w:pPr>
      <w:r>
        <w:rPr>
          <w:b/>
          <w:bCs/>
        </w:rPr>
        <w:t xml:space="preserve">The Sacraments</w:t>
      </w:r>
    </w:p>
    <w:p>
      <w:pPr>
        <w:numPr>
          <w:ilvl w:val="1"/>
          <w:numId w:val="1131"/>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31"/>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31"/>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4"/>
      </w:r>
      <w:r>
        <w:t xml:space="preserve"> </w:t>
      </w:r>
      <w:r>
        <w:t xml:space="preserve">and ministers are</w:t>
      </w:r>
      <w:r>
        <w:t xml:space="preserve"> </w:t>
      </w:r>
      <w:r>
        <w:t xml:space="preserve">“stewards of the mysteries of God”</w:t>
      </w:r>
      <w:r>
        <w:rPr>
          <w:rStyle w:val="FootnoteReference"/>
        </w:rPr>
        <w:footnoteReference w:id="215"/>
      </w:r>
      <w:r>
        <w:t xml:space="preserve"> </w:t>
      </w:r>
      <w:r>
        <w:t xml:space="preserve">in Christ’s church, no other is permitted to take this honor to himself.</w:t>
      </w:r>
      <w:r>
        <w:rPr>
          <w:rStyle w:val="FootnoteReference"/>
        </w:rPr>
        <w:footnoteReference w:id="216"/>
      </w:r>
    </w:p>
    <w:p>
      <w:pPr>
        <w:numPr>
          <w:ilvl w:val="0"/>
          <w:numId w:val="1132"/>
        </w:numPr>
      </w:pPr>
      <w:r>
        <w:rPr>
          <w:b/>
          <w:bCs/>
        </w:rPr>
        <w:t xml:space="preserve">Blessings</w:t>
      </w:r>
    </w:p>
    <w:p>
      <w:pPr>
        <w:numPr>
          <w:ilvl w:val="1"/>
          <w:numId w:val="1133"/>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33"/>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33"/>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7"/>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18"/>
      </w:r>
      <w:r>
        <w:t xml:space="preserve"> </w:t>
      </w:r>
      <w:r>
        <w:t xml:space="preserve">are distinctly appropriate. If, however, the minister deems another benediction taken from Scripture more fitting for a particular occasion, he may use it.</w:t>
      </w:r>
    </w:p>
    <w:bookmarkEnd w:id="219"/>
    <w:bookmarkStart w:id="222" w:name="Xf9daac615e4242cfcb64c0808d00186a7b94d66"/>
    <w:p>
      <w:pPr>
        <w:pStyle w:val="Heading2"/>
      </w:pPr>
      <w:r>
        <w:t xml:space="preserve">54. Elements of Ordinary Public Worship—From the People to God</w:t>
      </w:r>
    </w:p>
    <w:p>
      <w:pPr>
        <w:pStyle w:val="FirstParagraph"/>
      </w:pPr>
      <w:bookmarkStart w:id="220" w:name="anchor-54"/>
      <w:bookmarkEnd w:id="220"/>
    </w:p>
    <w:p>
      <w:pPr>
        <w:numPr>
          <w:ilvl w:val="0"/>
          <w:numId w:val="1134"/>
        </w:numPr>
      </w:pPr>
      <w:r>
        <w:rPr>
          <w:b/>
          <w:bCs/>
        </w:rPr>
        <w:t xml:space="preserve">Public Prayer</w:t>
      </w:r>
    </w:p>
    <w:p>
      <w:pPr>
        <w:numPr>
          <w:ilvl w:val="1"/>
          <w:numId w:val="1135"/>
        </w:numPr>
      </w:pPr>
      <w:r>
        <w:t xml:space="preserve">Prayer is an essential element of public worship. In order to be accepted by God, prayer is to be by faith, in the name of the Son of God, by the help of His Spirit, and according to God’s will.</w:t>
      </w:r>
    </w:p>
    <w:p>
      <w:pPr>
        <w:numPr>
          <w:ilvl w:val="1"/>
          <w:numId w:val="1135"/>
        </w:numPr>
      </w:pPr>
      <w:r>
        <w:t xml:space="preserve">In preparation for the service, the session should provide circumstances conducive to the people adopting an attitude appropriate to worship and prayer.</w:t>
      </w:r>
    </w:p>
    <w:p>
      <w:pPr>
        <w:numPr>
          <w:ilvl w:val="1"/>
          <w:numId w:val="1135"/>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5"/>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5"/>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5"/>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5"/>
        </w:numPr>
      </w:pPr>
      <w:r>
        <w:t xml:space="preserve">It is fitting that a prayer of confession of sin precede or follow any reading of the law of God to the congregation.</w:t>
      </w:r>
    </w:p>
    <w:p>
      <w:pPr>
        <w:numPr>
          <w:ilvl w:val="1"/>
          <w:numId w:val="1135"/>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5"/>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5"/>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5"/>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5"/>
        </w:numPr>
      </w:pPr>
      <w:r>
        <w:t xml:space="preserve">Our prayers should be addressed to God the Father and concluded in the name of the Son, according to Scripture.</w:t>
      </w:r>
      <w:r>
        <w:rPr>
          <w:rStyle w:val="FootnoteReference"/>
        </w:rPr>
        <w:footnoteReference w:id="221"/>
      </w:r>
    </w:p>
    <w:p>
      <w:pPr>
        <w:numPr>
          <w:ilvl w:val="0"/>
          <w:numId w:val="1136"/>
        </w:numPr>
      </w:pPr>
      <w:r>
        <w:rPr>
          <w:b/>
          <w:bCs/>
        </w:rPr>
        <w:t xml:space="preserve">Congregational Singing</w:t>
      </w:r>
    </w:p>
    <w:p>
      <w:pPr>
        <w:numPr>
          <w:ilvl w:val="1"/>
          <w:numId w:val="1137"/>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7"/>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7"/>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7"/>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7"/>
        </w:numPr>
      </w:pPr>
      <w:r>
        <w:t xml:space="preserve">Musical gifts are properly used in public worship to assist the congregation in its worship of God. They may not be used for the praise or applause of men.</w:t>
      </w:r>
    </w:p>
    <w:p>
      <w:pPr>
        <w:numPr>
          <w:ilvl w:val="1"/>
          <w:numId w:val="1137"/>
        </w:numPr>
      </w:pPr>
      <w:r>
        <w:t xml:space="preserve">No person may take a prominent part in the leadership of the service unless he is a professing Christian who is a member of Christ’s church.</w:t>
      </w:r>
    </w:p>
    <w:p>
      <w:pPr>
        <w:numPr>
          <w:ilvl w:val="0"/>
          <w:numId w:val="1136"/>
        </w:numPr>
      </w:pPr>
      <w:r>
        <w:rPr>
          <w:b/>
          <w:bCs/>
        </w:rPr>
        <w:t xml:space="preserve">Public Confession of Faith</w:t>
      </w:r>
    </w:p>
    <w:p>
      <w:pPr>
        <w:numPr>
          <w:ilvl w:val="1"/>
          <w:numId w:val="1138"/>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8"/>
        </w:numPr>
      </w:pPr>
      <w:r>
        <w:t xml:space="preserve">It is also fitting that the congregation as one body confess its common faith, using creeds that are true to the Word of God, such as the Apostles’ Creed or the Nicene Creed.</w:t>
      </w:r>
    </w:p>
    <w:p>
      <w:pPr>
        <w:numPr>
          <w:ilvl w:val="0"/>
          <w:numId w:val="1136"/>
        </w:numPr>
      </w:pPr>
      <w:r>
        <w:rPr>
          <w:b/>
          <w:bCs/>
        </w:rPr>
        <w:t xml:space="preserve">The Bringing of Offerings</w:t>
      </w:r>
    </w:p>
    <w:p>
      <w:pPr>
        <w:numPr>
          <w:ilvl w:val="1"/>
          <w:numId w:val="1139"/>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9"/>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9"/>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9"/>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2"/>
    <w:bookmarkStart w:id="224" w:name="Xf8230d65e2747cefdee3ce08563d8da9a462cd7"/>
    <w:p>
      <w:pPr>
        <w:pStyle w:val="Heading2"/>
      </w:pPr>
      <w:r>
        <w:t xml:space="preserve">55. The Administration of the Sacraments—General Provisions</w:t>
      </w:r>
    </w:p>
    <w:p>
      <w:pPr>
        <w:numPr>
          <w:ilvl w:val="0"/>
          <w:numId w:val="1140"/>
        </w:numPr>
      </w:pPr>
      <w:bookmarkStart w:id="223" w:name="anchor-55"/>
      <w:bookmarkEnd w:id="223"/>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40"/>
        </w:numPr>
      </w:pPr>
      <w:r>
        <w:t xml:space="preserve">Concerning paedo-baptism, the baptism of infants is not to be unduly delayed, but is to be administered as soon as practicable.</w:t>
      </w:r>
    </w:p>
    <w:p>
      <w:pPr>
        <w:numPr>
          <w:ilvl w:val="0"/>
          <w:numId w:val="1140"/>
        </w:numPr>
      </w:pPr>
      <w:r>
        <w:t xml:space="preserve">Concerning credo-baptism, baptism is to be administered as soon as practicable after public profession of faith in Christ.</w:t>
      </w:r>
    </w:p>
    <w:p>
      <w:pPr>
        <w:numPr>
          <w:ilvl w:val="0"/>
          <w:numId w:val="1140"/>
        </w:numPr>
      </w:pPr>
      <w:r>
        <w:t xml:space="preserve">The Lord’s Supper is to be celebrated frequently, but the frequency may be determined by each session as it may judge most conducive to edification.</w:t>
      </w:r>
    </w:p>
    <w:p>
      <w:pPr>
        <w:numPr>
          <w:ilvl w:val="0"/>
          <w:numId w:val="1140"/>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4"/>
    <w:bookmarkStart w:id="233" w:name="the-baptism-of-infants"/>
    <w:p>
      <w:pPr>
        <w:pStyle w:val="Heading2"/>
      </w:pPr>
      <w:r>
        <w:t xml:space="preserve">56. The Baptism of Infants</w:t>
      </w:r>
    </w:p>
    <w:p>
      <w:pPr>
        <w:pStyle w:val="FirstParagraph"/>
      </w:pPr>
      <w:bookmarkStart w:id="225" w:name="anchor-56"/>
      <w:bookmarkEnd w:id="225"/>
    </w:p>
    <w:p>
      <w:pPr>
        <w:numPr>
          <w:ilvl w:val="0"/>
          <w:numId w:val="1141"/>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41"/>
        </w:numPr>
      </w:pPr>
      <w:r>
        <w:rPr>
          <w:b/>
          <w:bCs/>
        </w:rPr>
        <w:t xml:space="preserve">The Administration of Baptism to Infants</w:t>
      </w:r>
    </w:p>
    <w:p>
      <w:pPr>
        <w:numPr>
          <w:ilvl w:val="1"/>
          <w:numId w:val="1142"/>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2"/>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2"/>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42"/>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6"/>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7"/>
      </w:r>
      <w:r>
        <w:t xml:space="preserve"> </w:t>
      </w:r>
      <w:r>
        <w:t xml:space="preserve">He promises, “Believe in the Lord Jesus Christ, and you will be saved, you and your household.”</w:t>
      </w:r>
      <w:r>
        <w:rPr>
          <w:rStyle w:val="FootnoteReference"/>
        </w:rPr>
        <w:footnoteReference w:id="228"/>
      </w:r>
      <w:r>
        <w:t xml:space="preserve"> </w:t>
      </w:r>
      <w:r>
        <w:t xml:space="preserve">He affirms that if even one parent is a believer, the children are “holy.”</w:t>
      </w:r>
      <w:r>
        <w:rPr>
          <w:rStyle w:val="FootnoteReference"/>
        </w:rPr>
        <w:footnoteReference w:id="229"/>
      </w:r>
      <w:r>
        <w:t xml:space="preserve"> </w:t>
      </w:r>
      <w:r>
        <w:t xml:space="preserve">Moreover, our Savior admitted little children into His presence, embracing and blessing them, and saying, “for the kingdom of God belongs to such as these.”</w:t>
      </w:r>
      <w:r>
        <w:rPr>
          <w:rStyle w:val="FootnoteReference"/>
        </w:rPr>
        <w:footnoteReference w:id="230"/>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1"/>
      </w:r>
      <w:r>
        <w:t xml:space="preserve"> </w:t>
      </w:r>
      <w:r>
        <w:t xml:space="preserve">Therefore, by the covenant sign of baptism the children of believers are to be distinguished from the world and solemnly admitted into the visible church.</w:t>
      </w:r>
    </w:p>
    <w:p>
      <w:pPr>
        <w:numPr>
          <w:ilvl w:val="1"/>
          <w:numId w:val="1142"/>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43"/>
        </w:numPr>
      </w:pPr>
      <w:r>
        <w:t xml:space="preserve">Do you reaffirm your own faith in Jesus Christ as Savior and Lord?</w:t>
      </w:r>
    </w:p>
    <w:p>
      <w:pPr>
        <w:pStyle w:val="Compact"/>
        <w:numPr>
          <w:ilvl w:val="2"/>
          <w:numId w:val="1143"/>
        </w:numPr>
      </w:pPr>
      <w:r>
        <w:t xml:space="preserve">Do you acknowledge your child’s need of the cleansing blood of Jesus Christ, and the renewing grace of the Holy Spirit?</w:t>
      </w:r>
    </w:p>
    <w:p>
      <w:pPr>
        <w:pStyle w:val="Compact"/>
        <w:numPr>
          <w:ilvl w:val="2"/>
          <w:numId w:val="1143"/>
        </w:numPr>
      </w:pPr>
      <w:r>
        <w:t xml:space="preserve">Do you claim God’s covenant promises in [his/her] behalf and do you look in faith to the Lord Jesus Christ for [his/her] salvation, as you do for your own?</w:t>
      </w:r>
    </w:p>
    <w:p>
      <w:pPr>
        <w:pStyle w:val="Compact"/>
        <w:numPr>
          <w:ilvl w:val="2"/>
          <w:numId w:val="1143"/>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2"/>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42"/>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42"/>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42"/>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42"/>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3"/>
    <w:bookmarkStart w:id="235" w:name="a-note-on-infant-dedication"/>
    <w:p>
      <w:pPr>
        <w:pStyle w:val="Heading2"/>
      </w:pPr>
      <w:r>
        <w:t xml:space="preserve">57. A Note on Infant Dedication</w:t>
      </w:r>
    </w:p>
    <w:p>
      <w:pPr>
        <w:pStyle w:val="FirstParagraph"/>
      </w:pPr>
      <w:bookmarkStart w:id="234" w:name="anchor-57"/>
      <w:bookmarkEnd w:id="234"/>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5"/>
    <w:bookmarkStart w:id="237" w:name="the-baptism-of-those-professing-faith"/>
    <w:p>
      <w:pPr>
        <w:pStyle w:val="Heading2"/>
      </w:pPr>
      <w:r>
        <w:t xml:space="preserve">58. The Baptism of Those Professing Faith</w:t>
      </w:r>
    </w:p>
    <w:p>
      <w:pPr>
        <w:pStyle w:val="FirstParagraph"/>
      </w:pPr>
      <w:bookmarkStart w:id="236" w:name="anchor-58"/>
      <w:bookmarkEnd w:id="236"/>
    </w:p>
    <w:p>
      <w:pPr>
        <w:numPr>
          <w:ilvl w:val="0"/>
          <w:numId w:val="1144"/>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4"/>
        </w:numPr>
      </w:pPr>
      <w:r>
        <w:rPr>
          <w:b/>
          <w:bCs/>
        </w:rPr>
        <w:t xml:space="preserve">The Administration of Baptism to Those Professing Faith</w:t>
      </w:r>
    </w:p>
    <w:p>
      <w:pPr>
        <w:numPr>
          <w:ilvl w:val="1"/>
          <w:numId w:val="1145"/>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5"/>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6"/>
        </w:numPr>
      </w:pPr>
      <w:r>
        <w:t xml:space="preserve">Do you believe in God the Father Almighty, Maker of heaven and earth; and in Jesus Christ His only Son our Lord; and in the Holy Spirit, the Lord and Giver of life?</w:t>
      </w:r>
    </w:p>
    <w:p>
      <w:pPr>
        <w:pStyle w:val="Compact"/>
        <w:numPr>
          <w:ilvl w:val="2"/>
          <w:numId w:val="1146"/>
        </w:numPr>
      </w:pPr>
      <w:r>
        <w:t xml:space="preserve">Do you acknowledge yourself to be a sinner in the sight of God, justly deserving His wrath, and without hope apart from His sovereign mercy?</w:t>
      </w:r>
    </w:p>
    <w:p>
      <w:pPr>
        <w:pStyle w:val="Compact"/>
        <w:numPr>
          <w:ilvl w:val="2"/>
          <w:numId w:val="1146"/>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6"/>
        </w:numPr>
      </w:pPr>
      <w:r>
        <w:t xml:space="preserve">Do you believe in the Lord Jesus Christ as the Son of God, and Savior of sinners, and do you receive and rest upon Him alone for salvation as He is offered in the Gospel?</w:t>
      </w:r>
    </w:p>
    <w:p>
      <w:pPr>
        <w:pStyle w:val="Compact"/>
        <w:numPr>
          <w:ilvl w:val="2"/>
          <w:numId w:val="1146"/>
        </w:numPr>
      </w:pPr>
      <w:r>
        <w:t xml:space="preserve">Do you now resolve and promise, in humble reliance upon the grace of the Holy Spirit, that you will endeavor to live as a faithful follower of Christ?</w:t>
      </w:r>
    </w:p>
    <w:p>
      <w:pPr>
        <w:pStyle w:val="Compact"/>
        <w:numPr>
          <w:ilvl w:val="2"/>
          <w:numId w:val="1146"/>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5"/>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5"/>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5"/>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5"/>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5"/>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7"/>
    <w:bookmarkStart w:id="244" w:name="the-lords-supper"/>
    <w:p>
      <w:pPr>
        <w:pStyle w:val="Heading2"/>
      </w:pPr>
      <w:r>
        <w:t xml:space="preserve">59. The Lord’s Supper</w:t>
      </w:r>
    </w:p>
    <w:p>
      <w:pPr>
        <w:pStyle w:val="FirstParagraph"/>
      </w:pPr>
      <w:bookmarkStart w:id="238" w:name="anchor-59"/>
      <w:bookmarkEnd w:id="238"/>
    </w:p>
    <w:p>
      <w:pPr>
        <w:numPr>
          <w:ilvl w:val="0"/>
          <w:numId w:val="1147"/>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7"/>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7"/>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39"/>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8"/>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0"/>
      </w:r>
    </w:p>
    <w:p>
      <w:pPr>
        <w:numPr>
          <w:ilvl w:val="0"/>
          <w:numId w:val="1149"/>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1"/>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50"/>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50"/>
        </w:numPr>
      </w:pPr>
      <w:r>
        <w:rPr>
          <w:b/>
          <w:bCs/>
        </w:rPr>
        <w:t xml:space="preserve">Partaking of the Elements</w:t>
      </w:r>
    </w:p>
    <w:p>
      <w:pPr>
        <w:numPr>
          <w:ilvl w:val="0"/>
          <w:numId w:val="1000"/>
        </w:numPr>
      </w:pPr>
      <w:r>
        <w:t xml:space="preserve">Normally,</w:t>
      </w:r>
      <w:r>
        <w:rPr>
          <w:rStyle w:val="FootnoteReference"/>
        </w:rPr>
        <w:footnoteReference w:id="242"/>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50"/>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50"/>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3"/>
      </w:r>
    </w:p>
    <w:p>
      <w:pPr>
        <w:pStyle w:val="FirstParagraph"/>
      </w:pPr>
      <w:r>
        <w:rPr>
          <w:i/>
          <w:iCs/>
        </w:rPr>
        <w:t xml:space="preserve">The above exhortations and explanations are in accord with the historic Reformed liturgies.</w:t>
      </w:r>
    </w:p>
    <w:bookmarkEnd w:id="244"/>
    <w:bookmarkStart w:id="248" w:name="X4bf295be6dc8c150971c151ab63667c63fdd970"/>
    <w:p>
      <w:pPr>
        <w:pStyle w:val="Heading2"/>
      </w:pPr>
      <w:r>
        <w:t xml:space="preserve">60. Public Reception of Church Members—General Provisions</w:t>
      </w:r>
    </w:p>
    <w:p>
      <w:pPr>
        <w:numPr>
          <w:ilvl w:val="0"/>
          <w:numId w:val="1151"/>
        </w:numPr>
      </w:pPr>
      <w:bookmarkStart w:id="245" w:name="anchor-60"/>
      <w:bookmarkEnd w:id="245"/>
      <w:r>
        <w:t xml:space="preserve">Only those may be admitted to full communion in the church who have been baptized and have made public profession of faith in Jesus Christ.</w:t>
      </w:r>
    </w:p>
    <w:p>
      <w:pPr>
        <w:numPr>
          <w:ilvl w:val="0"/>
          <w:numId w:val="1151"/>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51"/>
        </w:numPr>
      </w:pPr>
      <w:bookmarkStart w:id="246" w:name="anchor-60-3"/>
      <w:bookmarkEnd w:id="246"/>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51"/>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51"/>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7"/>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52"/>
        </w:numPr>
      </w:pPr>
      <w:r>
        <w:t xml:space="preserve">If they have been baptized, non-communing members of the congregation may be received into communicant membership by profession of faith.</w:t>
      </w:r>
    </w:p>
    <w:bookmarkEnd w:id="248"/>
    <w:bookmarkStart w:id="251" w:name="Xb1d1419746cfc47d0252b6772fff5a1cfab15e4"/>
    <w:p>
      <w:pPr>
        <w:pStyle w:val="Heading2"/>
      </w:pPr>
      <w:r>
        <w:t xml:space="preserve">61. Reception into Full Communion of Non-communing Members by Profession of Faith</w:t>
      </w:r>
    </w:p>
    <w:p>
      <w:pPr>
        <w:pStyle w:val="FirstParagraph"/>
      </w:pPr>
      <w:bookmarkStart w:id="249" w:name="anchor-61"/>
      <w:bookmarkEnd w:id="249"/>
    </w:p>
    <w:p>
      <w:pPr>
        <w:numPr>
          <w:ilvl w:val="0"/>
          <w:numId w:val="1153"/>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bookmarkStart w:id="250" w:name="anchor-61-2-5"/>
      <w:bookmarkEnd w:id="250"/>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1"/>
    <w:bookmarkStart w:id="253" w:name="Xdcddc2f0c4ed4a31d44f70081be6e0b206f6ad4"/>
    <w:p>
      <w:pPr>
        <w:pStyle w:val="Heading2"/>
      </w:pPr>
      <w:r>
        <w:t xml:space="preserve">62. Reception by Letter of Transfer from Another Church within Evangel Presbytery</w:t>
      </w:r>
    </w:p>
    <w:p>
      <w:pPr>
        <w:pStyle w:val="FirstParagraph"/>
      </w:pPr>
      <w:bookmarkStart w:id="252" w:name="anchor-62"/>
      <w:bookmarkEnd w:id="252"/>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3"/>
    <w:bookmarkStart w:id="256" w:name="Xd29bfee5feff8d35db0013d4b2bb87ea3e6c2a9"/>
    <w:p>
      <w:pPr>
        <w:pStyle w:val="Heading2"/>
      </w:pPr>
      <w:r>
        <w:t xml:space="preserve">63. Reception by Letter of Transfer from Another Church of Like Faith and Practice</w:t>
      </w:r>
    </w:p>
    <w:p>
      <w:pPr>
        <w:pStyle w:val="FirstParagraph"/>
      </w:pPr>
      <w:bookmarkStart w:id="254" w:name="anchor-63"/>
      <w:bookmarkEnd w:id="254"/>
    </w:p>
    <w:p>
      <w:pPr>
        <w:numPr>
          <w:ilvl w:val="0"/>
          <w:numId w:val="1155"/>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pStyle w:val="FirstParagraph"/>
      </w:pPr>
      <w:bookmarkStart w:id="255" w:name="anchor-63-4"/>
      <w:bookmarkEnd w:id="255"/>
    </w:p>
    <w:p>
      <w:pPr>
        <w:numPr>
          <w:ilvl w:val="0"/>
          <w:numId w:val="1157"/>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6"/>
    <w:bookmarkStart w:id="258" w:name="reception-by-reaffirmation-of-faith"/>
    <w:p>
      <w:pPr>
        <w:pStyle w:val="Heading2"/>
      </w:pPr>
      <w:r>
        <w:t xml:space="preserve">64. Reception by Reaffirmation of Faith</w:t>
      </w:r>
    </w:p>
    <w:p>
      <w:pPr>
        <w:pStyle w:val="FirstParagraph"/>
      </w:pPr>
      <w:bookmarkStart w:id="257" w:name="anchor-64"/>
      <w:bookmarkEnd w:id="257"/>
    </w:p>
    <w:p>
      <w:pPr>
        <w:numPr>
          <w:ilvl w:val="0"/>
          <w:numId w:val="1158"/>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8"/>
        </w:numPr>
      </w:pPr>
      <w:r>
        <w:t xml:space="preserve">The minister shall then require the person to profess publicly his Christian faith by giving assent to these questions:</w:t>
      </w:r>
    </w:p>
    <w:p>
      <w:pPr>
        <w:pStyle w:val="Compact"/>
        <w:numPr>
          <w:ilvl w:val="1"/>
          <w:numId w:val="1159"/>
        </w:numPr>
      </w:pPr>
      <w:r>
        <w:t xml:space="preserve">Do you believe in God the Father Almighty, Maker of heaven and earth; and in Jesus Christ His only Son our Lord; and in the Holy Spirit, the Lord and Giver of life?</w:t>
      </w:r>
    </w:p>
    <w:p>
      <w:pPr>
        <w:pStyle w:val="Compact"/>
        <w:numPr>
          <w:ilvl w:val="1"/>
          <w:numId w:val="1159"/>
        </w:numPr>
      </w:pPr>
      <w:r>
        <w:t xml:space="preserve">Do you acknowledge yourself to be a sinner in the sight of God, justly deserving His wrath, and without hope apart from His sovereign mercy?</w:t>
      </w:r>
    </w:p>
    <w:p>
      <w:pPr>
        <w:pStyle w:val="Compact"/>
        <w:numPr>
          <w:ilvl w:val="1"/>
          <w:numId w:val="1159"/>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9"/>
        </w:numPr>
      </w:pPr>
      <w:r>
        <w:t xml:space="preserve">Do you believe in the Lord Jesus Christ as the Son of God, and Savior of sinners, and do you receive and rest upon Him alone for salvation as He is offered in the Gospel?</w:t>
      </w:r>
    </w:p>
    <w:p>
      <w:pPr>
        <w:pStyle w:val="Compact"/>
        <w:numPr>
          <w:ilvl w:val="1"/>
          <w:numId w:val="1159"/>
        </w:numPr>
      </w:pPr>
      <w:r>
        <w:t xml:space="preserve">Do you now resolve and promise, in humble reliance upon the grace of the Holy Spirit, that you will endeavor to live as a faithful follower of Christ?</w:t>
      </w:r>
    </w:p>
    <w:p>
      <w:pPr>
        <w:pStyle w:val="Compact"/>
        <w:numPr>
          <w:ilvl w:val="1"/>
          <w:numId w:val="1159"/>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8"/>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8"/>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1" w:name="X707c6559175926ef2b42e4e2fbd8a0ebc54a29f"/>
    <w:p>
      <w:pPr>
        <w:pStyle w:val="Heading2"/>
      </w:pPr>
      <w:r>
        <w:t xml:space="preserve">65. Reception of New Members by Public Profession of Faith</w:t>
      </w:r>
    </w:p>
    <w:p>
      <w:pPr>
        <w:numPr>
          <w:ilvl w:val="0"/>
          <w:numId w:val="1160"/>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60"/>
        </w:numPr>
      </w:pPr>
      <w:r>
        <w:t xml:space="preserve">The minister shall then require the person to profess publicly his Christian faith by giving assent to these questions:</w:t>
      </w:r>
    </w:p>
    <w:p>
      <w:pPr>
        <w:pStyle w:val="Compact"/>
        <w:numPr>
          <w:ilvl w:val="1"/>
          <w:numId w:val="1161"/>
        </w:numPr>
      </w:pPr>
      <w:r>
        <w:t xml:space="preserve">Do you believe in God the Father Almighty, Maker of heaven and earth; and in Jesus Christ His only Son our Lord; and in the Holy Spirit, the Lord and Giver of life?</w:t>
      </w:r>
    </w:p>
    <w:p>
      <w:pPr>
        <w:pStyle w:val="Compact"/>
        <w:numPr>
          <w:ilvl w:val="1"/>
          <w:numId w:val="1161"/>
        </w:numPr>
      </w:pPr>
      <w:r>
        <w:t xml:space="preserve">Do you acknowledge yourself to be a sinner in the sight of God, justly deserving His wrath, and without hope apart from His sovereign mercy?</w:t>
      </w:r>
    </w:p>
    <w:p>
      <w:pPr>
        <w:pStyle w:val="Compact"/>
        <w:numPr>
          <w:ilvl w:val="1"/>
          <w:numId w:val="1161"/>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61"/>
        </w:numPr>
      </w:pPr>
      <w:r>
        <w:t xml:space="preserve">Do you believe in the Lord Jesus Christ as the Son of God, and Savior of sinners, and do you receive and rest upon Him alone for salvation as He is offered in the Gospel?</w:t>
      </w:r>
    </w:p>
    <w:p>
      <w:pPr>
        <w:pStyle w:val="Compact"/>
        <w:numPr>
          <w:ilvl w:val="1"/>
          <w:numId w:val="1161"/>
        </w:numPr>
      </w:pPr>
      <w:r>
        <w:t xml:space="preserve">Do you now resolve and promise, in humble reliance upon the grace of the Holy Spirit, that you will endeavor to live as a faithful follower of Christ?</w:t>
      </w:r>
    </w:p>
    <w:p>
      <w:pPr>
        <w:pStyle w:val="Compact"/>
        <w:numPr>
          <w:ilvl w:val="1"/>
          <w:numId w:val="1161"/>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pStyle w:val="FirstParagraph"/>
      </w:pPr>
      <w:bookmarkStart w:id="259" w:name="anchor-65-3"/>
      <w:bookmarkEnd w:id="259"/>
    </w:p>
    <w:p>
      <w:pPr>
        <w:numPr>
          <w:ilvl w:val="0"/>
          <w:numId w:val="1162"/>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pStyle w:val="FirstParagraph"/>
      </w:pPr>
      <w:bookmarkStart w:id="260" w:name="anchor-65-4"/>
      <w:bookmarkEnd w:id="260"/>
    </w:p>
    <w:p>
      <w:pPr>
        <w:numPr>
          <w:ilvl w:val="0"/>
          <w:numId w:val="116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1"/>
    <w:bookmarkStart w:id="263" w:name="other-occasions-of-public-worship"/>
    <w:p>
      <w:pPr>
        <w:pStyle w:val="Heading2"/>
      </w:pPr>
      <w:r>
        <w:t xml:space="preserve">66. Other Occasions of Public Worship</w:t>
      </w:r>
    </w:p>
    <w:p>
      <w:pPr>
        <w:pStyle w:val="FirstParagraph"/>
      </w:pPr>
      <w:bookmarkStart w:id="262" w:name="anchor-66"/>
      <w:bookmarkEnd w:id="262"/>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3"/>
    <w:bookmarkStart w:id="265" w:name="prayer-meetings"/>
    <w:p>
      <w:pPr>
        <w:pStyle w:val="Heading2"/>
      </w:pPr>
      <w:r>
        <w:t xml:space="preserve">67. Prayer Meetings</w:t>
      </w:r>
    </w:p>
    <w:p>
      <w:pPr>
        <w:pStyle w:val="FirstParagraph"/>
      </w:pPr>
      <w:bookmarkStart w:id="264" w:name="anchor-67"/>
      <w:bookmarkEnd w:id="264"/>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5"/>
    <w:bookmarkStart w:id="267" w:name="prayer-and-fasting"/>
    <w:p>
      <w:pPr>
        <w:pStyle w:val="Heading2"/>
      </w:pPr>
      <w:r>
        <w:t xml:space="preserve">68. Prayer and Fasting</w:t>
      </w:r>
    </w:p>
    <w:p>
      <w:pPr>
        <w:numPr>
          <w:ilvl w:val="0"/>
          <w:numId w:val="1164"/>
        </w:numPr>
      </w:pPr>
      <w:bookmarkStart w:id="266" w:name="anchor-68"/>
      <w:bookmarkEnd w:id="266"/>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64"/>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64"/>
        </w:numPr>
      </w:pPr>
      <w:r>
        <w:t xml:space="preserve">Public notice is to be given before the time of prayer and fasting comes, to enable persons to order their temporal affairs so that they can participate.</w:t>
      </w:r>
    </w:p>
    <w:p>
      <w:pPr>
        <w:numPr>
          <w:ilvl w:val="0"/>
          <w:numId w:val="1164"/>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7"/>
    <w:bookmarkStart w:id="269" w:name="thanksgiving"/>
    <w:p>
      <w:pPr>
        <w:pStyle w:val="Heading2"/>
      </w:pPr>
      <w:r>
        <w:t xml:space="preserve">69. Thanksgiving</w:t>
      </w:r>
    </w:p>
    <w:p>
      <w:pPr>
        <w:numPr>
          <w:ilvl w:val="0"/>
          <w:numId w:val="1165"/>
        </w:numPr>
      </w:pPr>
      <w:bookmarkStart w:id="268" w:name="anchor-69"/>
      <w:bookmarkEnd w:id="268"/>
      <w:r>
        <w:t xml:space="preserve"> </w:t>
      </w:r>
      <w:r>
        <w:t xml:space="preserve">When God’s blessings on the church, community, or nation are particularly evident, it is fitting that the people of God engage in special times of thanksgiving.</w:t>
      </w:r>
    </w:p>
    <w:p>
      <w:pPr>
        <w:numPr>
          <w:ilvl w:val="0"/>
          <w:numId w:val="1165"/>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65"/>
        </w:numPr>
      </w:pPr>
      <w:r>
        <w:t xml:space="preserve">Public notice is to be given before the day of thanksgiving comes, to enable persons to order their temporal affairs so that they can participate.</w:t>
      </w:r>
    </w:p>
    <w:p>
      <w:pPr>
        <w:numPr>
          <w:ilvl w:val="0"/>
          <w:numId w:val="1165"/>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69"/>
    <w:bookmarkStart w:id="271" w:name="home-fellowship-groups"/>
    <w:p>
      <w:pPr>
        <w:pStyle w:val="Heading2"/>
      </w:pPr>
      <w:r>
        <w:t xml:space="preserve">70. Home Fellowship Groups</w:t>
      </w:r>
    </w:p>
    <w:p>
      <w:pPr>
        <w:numPr>
          <w:ilvl w:val="0"/>
          <w:numId w:val="1166"/>
        </w:numPr>
      </w:pPr>
      <w:bookmarkStart w:id="270" w:name="anchor-70"/>
      <w:bookmarkEnd w:id="270"/>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66"/>
        </w:numPr>
      </w:pPr>
      <w:r>
        <w:t xml:space="preserve">Such a gathering is no substitute for the public worship of the local church on the Lord’s Day.</w:t>
      </w:r>
    </w:p>
    <w:p>
      <w:pPr>
        <w:numPr>
          <w:ilvl w:val="0"/>
          <w:numId w:val="1166"/>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1"/>
    <w:bookmarkStart w:id="284" w:name="the-solemnization-of-marriage"/>
    <w:p>
      <w:pPr>
        <w:pStyle w:val="Heading2"/>
      </w:pPr>
      <w:r>
        <w:t xml:space="preserve">71. The Solemnization of Marriage</w:t>
      </w:r>
    </w:p>
    <w:p>
      <w:pPr>
        <w:pStyle w:val="Compact"/>
        <w:numPr>
          <w:ilvl w:val="0"/>
          <w:numId w:val="1167"/>
        </w:numPr>
      </w:pPr>
      <w:bookmarkStart w:id="272" w:name="anchor-71"/>
      <w:bookmarkEnd w:id="272"/>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3"/>
      </w:r>
    </w:p>
    <w:p>
      <w:pPr>
        <w:numPr>
          <w:ilvl w:val="0"/>
          <w:numId w:val="1168"/>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8"/>
        </w:numPr>
      </w:pPr>
      <w:bookmarkStart w:id="274" w:name="anchor-71-3"/>
      <w:bookmarkEnd w:id="274"/>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5"/>
      </w:r>
    </w:p>
    <w:p>
      <w:pPr>
        <w:pStyle w:val="Compact"/>
        <w:numPr>
          <w:ilvl w:val="0"/>
          <w:numId w:val="1169"/>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6"/>
      </w:r>
    </w:p>
    <w:p>
      <w:pPr>
        <w:pStyle w:val="Compact"/>
        <w:numPr>
          <w:ilvl w:val="0"/>
          <w:numId w:val="1170"/>
        </w:numPr>
      </w:pPr>
      <w:r>
        <w:t xml:space="preserve">Marriage is to be a lifelong, monogamous union between one man and one woman,</w:t>
      </w:r>
      <w:r>
        <w:rPr>
          <w:rStyle w:val="FootnoteReference"/>
        </w:rPr>
        <w:footnoteReference w:id="279"/>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71"/>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71"/>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71"/>
        </w:numPr>
      </w:pPr>
      <w:r>
        <w:t xml:space="preserve">Parents should neither compel their children to marry contrary to their will, nor deny their consent without just and significant reasons.</w:t>
      </w:r>
    </w:p>
    <w:p>
      <w:pPr>
        <w:numPr>
          <w:ilvl w:val="0"/>
          <w:numId w:val="1171"/>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1"/>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72"/>
        </w:numPr>
      </w:pPr>
      <w:r>
        <w:t xml:space="preserve">God forbids divorce except in two circumstances: (1) when one spouse abandons the other, and (2) when a spouse engages in sexual immorality.</w:t>
      </w:r>
      <w:r>
        <w:rPr>
          <w:rStyle w:val="FootnoteReference"/>
        </w:rPr>
        <w:footnoteReference w:id="282"/>
      </w:r>
    </w:p>
    <w:bookmarkEnd w:id="284"/>
    <w:bookmarkStart w:id="291" w:name="X418bffa15e06d4069dd9d3137bae3273dbf9013"/>
    <w:p>
      <w:pPr>
        <w:pStyle w:val="Heading2"/>
      </w:pPr>
      <w:r>
        <w:t xml:space="preserve">72. Other Policies Related to Biblical Sexuality</w:t>
      </w:r>
    </w:p>
    <w:p>
      <w:pPr>
        <w:pStyle w:val="FirstParagraph"/>
      </w:pPr>
      <w:bookmarkStart w:id="285" w:name="anchor-72"/>
      <w:bookmarkEnd w:id="285"/>
      <w:r>
        <w:t xml:space="preserve">In accordance with the beliefs laid out in the</w:t>
      </w:r>
      <w:r>
        <w:t xml:space="preserve"> </w:t>
      </w:r>
      <w:hyperlink r:id="rId286">
        <w:r>
          <w:rPr>
            <w:rStyle w:val="Hyperlink"/>
          </w:rPr>
          <w:t xml:space="preserve">Declaration of Doctrine on Sexuality (DDS)</w:t>
        </w:r>
      </w:hyperlink>
      <w:r>
        <w:t xml:space="preserve">, namely, that God created each person as either male or female (</w:t>
      </w:r>
      <w:hyperlink r:id="rId287">
        <w:r>
          <w:rPr>
            <w:rStyle w:val="Hyperlink"/>
          </w:rPr>
          <w:t xml:space="preserve">DDS 5–6</w:t>
        </w:r>
      </w:hyperlink>
      <w:r>
        <w:t xml:space="preserve">); that each person has a subsequent responsibility to live in accordance with the genetic sex given to him by God (</w:t>
      </w:r>
      <w:hyperlink r:id="rId288">
        <w:r>
          <w:rPr>
            <w:rStyle w:val="Hyperlink"/>
          </w:rPr>
          <w:t xml:space="preserve">DDS 6–7</w:t>
        </w:r>
      </w:hyperlink>
      <w:r>
        <w:t xml:space="preserve">); and that any attempt of a man to play the woman or a woman to play the man violates God’s decree (</w:t>
      </w:r>
      <w:hyperlink r:id="rId289">
        <w:r>
          <w:rPr>
            <w:rStyle w:val="Hyperlink"/>
          </w:rPr>
          <w:t xml:space="preserve">DDS 8</w:t>
        </w:r>
      </w:hyperlink>
      <w:r>
        <w:t xml:space="preserve">); Evangel Presbytery has adopted the following policies relating to sexuality:</w:t>
      </w:r>
    </w:p>
    <w:p>
      <w:pPr>
        <w:numPr>
          <w:ilvl w:val="0"/>
          <w:numId w:val="1173"/>
        </w:numPr>
      </w:pPr>
      <w:r>
        <w:t xml:space="preserve">Participation in any program or activity that is limited to men and/or boys (e.g., a men’s Bible study or a men’s retreat) shall be exclusively limited to males.</w:t>
      </w:r>
    </w:p>
    <w:p>
      <w:pPr>
        <w:numPr>
          <w:ilvl w:val="0"/>
          <w:numId w:val="1173"/>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73"/>
        </w:numPr>
      </w:pPr>
      <w:r>
        <w:t xml:space="preserve">Access to facilities that are designated for use by men (e.g., a men’s restroom) shall be exclusively limited to males.</w:t>
      </w:r>
    </w:p>
    <w:p>
      <w:pPr>
        <w:numPr>
          <w:ilvl w:val="0"/>
          <w:numId w:val="1173"/>
        </w:numPr>
      </w:pPr>
      <w:r>
        <w:t xml:space="preserve">Access to facilities that are designated for use by women (e.g., a women’s restroom or nursing/cry room, etc.) shall be exclusively limited to females.</w:t>
      </w:r>
    </w:p>
    <w:p>
      <w:pPr>
        <w:numPr>
          <w:ilvl w:val="0"/>
          <w:numId w:val="1173"/>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0"/>
      </w:r>
    </w:p>
    <w:p>
      <w:pPr>
        <w:pStyle w:val="Compact"/>
        <w:numPr>
          <w:ilvl w:val="0"/>
          <w:numId w:val="1174"/>
        </w:numPr>
      </w:pPr>
      <w:r>
        <w:t xml:space="preserve">Wise and compassionate pastoral discretion is necessary to apply the rules set forth in this chapter. In certain instances the higher law of love may preclude swift and rigid enforcement of rules.</w:t>
      </w:r>
    </w:p>
    <w:bookmarkEnd w:id="291"/>
    <w:bookmarkStart w:id="293" w:name="the-visitation-of-the-sick"/>
    <w:p>
      <w:pPr>
        <w:pStyle w:val="Heading2"/>
      </w:pPr>
      <w:r>
        <w:t xml:space="preserve">73. The Visitation of the Sick</w:t>
      </w:r>
    </w:p>
    <w:p>
      <w:pPr>
        <w:numPr>
          <w:ilvl w:val="0"/>
          <w:numId w:val="1175"/>
        </w:numPr>
      </w:pPr>
      <w:bookmarkStart w:id="292" w:name="anchor-73"/>
      <w:bookmarkEnd w:id="292"/>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75"/>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3"/>
    <w:bookmarkStart w:id="295" w:name="worship-in-the-home"/>
    <w:p>
      <w:pPr>
        <w:pStyle w:val="Heading2"/>
      </w:pPr>
      <w:r>
        <w:t xml:space="preserve">74. Worship in the Home</w:t>
      </w:r>
    </w:p>
    <w:p>
      <w:pPr>
        <w:numPr>
          <w:ilvl w:val="0"/>
          <w:numId w:val="1176"/>
        </w:numPr>
      </w:pPr>
      <w:bookmarkStart w:id="294" w:name="anchor-74"/>
      <w:bookmarkEnd w:id="294"/>
      <w:r>
        <w:t xml:space="preserve">In addition to public worship, it is the duty of each person in private, and of every family in private, to worship God.</w:t>
      </w:r>
    </w:p>
    <w:p>
      <w:pPr>
        <w:numPr>
          <w:ilvl w:val="0"/>
          <w:numId w:val="1176"/>
        </w:numPr>
      </w:pPr>
      <w:r>
        <w:t xml:space="preserve">Private worship is commanded by our Lord. In this duty everyone, should spend some time in prayer, reading the Scriptures, holy meditation, and serious self-examination.</w:t>
      </w:r>
    </w:p>
    <w:p>
      <w:pPr>
        <w:numPr>
          <w:ilvl w:val="0"/>
          <w:numId w:val="1176"/>
        </w:numPr>
      </w:pPr>
      <w:r>
        <w:t xml:space="preserve">Family worship, which should be observed by every family, should consist in prayer, reading the Scriptures, and singing praises, even if briefly.</w:t>
      </w:r>
    </w:p>
    <w:p>
      <w:pPr>
        <w:numPr>
          <w:ilvl w:val="0"/>
          <w:numId w:val="1176"/>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76"/>
        </w:numPr>
      </w:pPr>
      <w:r>
        <w:t xml:space="preserve">Parents should set an example of piety and consistent living before the family. The Lord’s Day should be sanctified and left free for worship, rest, and works of mercy.</w:t>
      </w:r>
    </w:p>
    <w:p>
      <w:pPr>
        <w:numPr>
          <w:ilvl w:val="0"/>
          <w:numId w:val="1176"/>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5"/>
    <w:bookmarkStart w:id="298" w:name="Xa33a3fb8d78fdecadb2d0ff5da4243df5e7f5d2"/>
    <w:p>
      <w:pPr>
        <w:pStyle w:val="Heading2"/>
      </w:pPr>
      <w:r>
        <w:t xml:space="preserve">75. Suggested Form for the Solemnization of Marriage</w:t>
      </w:r>
    </w:p>
    <w:p>
      <w:pPr>
        <w:pStyle w:val="FirstParagraph"/>
      </w:pPr>
      <w:bookmarkStart w:id="296" w:name="anchor-75"/>
      <w:bookmarkEnd w:id="296"/>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7"/>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298"/>
    <w:bookmarkStart w:id="306" w:name="suggested-form-for-a-funeral"/>
    <w:p>
      <w:pPr>
        <w:pStyle w:val="Heading2"/>
      </w:pPr>
      <w:r>
        <w:t xml:space="preserve">76. Suggested Form for a Funeral</w:t>
      </w:r>
    </w:p>
    <w:p>
      <w:pPr>
        <w:pStyle w:val="FirstParagraph"/>
      </w:pPr>
      <w:bookmarkStart w:id="299" w:name="anchor-76"/>
      <w:bookmarkEnd w:id="299"/>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1"/>
      </w:r>
    </w:p>
    <w:p>
      <w:pPr>
        <w:pStyle w:val="BlockText"/>
      </w:pPr>
      <w:r>
        <w:t xml:space="preserve">“For we are sojourners before You, and tenants, as all our fathers were; our days on the earth are like a shadow, and there is no hope.”</w:t>
      </w:r>
      <w:r>
        <w:rPr>
          <w:rStyle w:val="FootnoteReference"/>
        </w:rPr>
        <w:footnoteReference w:id="302"/>
      </w:r>
    </w:p>
    <w:p>
      <w:pPr>
        <w:pStyle w:val="BlockText"/>
      </w:pPr>
      <w:r>
        <w:t xml:space="preserve">“For we have brought nothing into the world, so we cannot take anything out of it either.”</w:t>
      </w:r>
      <w:r>
        <w:rPr>
          <w:rStyle w:val="FootnoteReference"/>
        </w:rPr>
        <w:footnoteReference w:id="303"/>
      </w:r>
    </w:p>
    <w:p>
      <w:pPr>
        <w:pStyle w:val="BlockText"/>
      </w:pPr>
      <w:r>
        <w:t xml:space="preserve">“</w:t>
      </w:r>
      <w:r>
        <w:t xml:space="preserve">‘The LORD gave and the LORD has taken away. Blessed be the name of the LORD.’</w:t>
      </w:r>
      <w:r>
        <w:t xml:space="preserve">”</w:t>
      </w:r>
      <w:r>
        <w:rPr>
          <w:rStyle w:val="FootnoteReference"/>
        </w:rPr>
        <w:footnoteReference w:id="304"/>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5"/>
      </w:r>
      <w:r>
        <w:t xml:space="preserve"> </w:t>
      </w:r>
      <w:r>
        <w:t xml:space="preserve">Amen.</w:t>
      </w:r>
    </w:p>
    <w:bookmarkEnd w:id="306"/>
    <w:bookmarkStart w:id="314" w:name="suggested-form-for-a-childs-funeral"/>
    <w:p>
      <w:pPr>
        <w:pStyle w:val="Heading2"/>
      </w:pPr>
      <w:r>
        <w:t xml:space="preserve">77. Suggested Form for a Child’s Funeral</w:t>
      </w:r>
    </w:p>
    <w:p>
      <w:pPr>
        <w:pStyle w:val="FirstParagraph"/>
      </w:pPr>
      <w:bookmarkStart w:id="307" w:name="anchor-77"/>
      <w:bookmarkEnd w:id="307"/>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08"/>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9"/>
      </w:r>
    </w:p>
    <w:p>
      <w:pPr>
        <w:pStyle w:val="BlockText"/>
      </w:pPr>
      <w:r>
        <w:t xml:space="preserve">“</w:t>
      </w:r>
      <w:r>
        <w:t xml:space="preserve">‘The LORD gave and the LORD has taken away. Blessed be the name of the LORD.’</w:t>
      </w:r>
      <w:r>
        <w:t xml:space="preserve">”</w:t>
      </w:r>
      <w:r>
        <w:rPr>
          <w:rStyle w:val="FootnoteReference"/>
        </w:rPr>
        <w:footnoteReference w:id="310"/>
      </w:r>
    </w:p>
    <w:p>
      <w:pPr>
        <w:pStyle w:val="BlockText"/>
      </w:pPr>
      <w:r>
        <w:t xml:space="preserve">“</w:t>
      </w:r>
      <w:r>
        <w:t xml:space="preserve">‘Come to Me, all who are weary and heavy-laden, and I will give you rest.’</w:t>
      </w:r>
      <w:r>
        <w:t xml:space="preserve">”</w:t>
      </w:r>
      <w:r>
        <w:rPr>
          <w:rStyle w:val="FootnoteReference"/>
        </w:rPr>
        <w:footnoteReference w:id="311"/>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2"/>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3"/>
      </w:r>
      <w:r>
        <w:t xml:space="preserve"> </w:t>
      </w:r>
      <w:r>
        <w:t xml:space="preserve">Amen.</w:t>
      </w:r>
    </w:p>
    <w:bookmarkEnd w:id="314"/>
    <w:bookmarkStart w:id="316" w:name="Xda5bd949aa424424fe1e3504a515b7f4dd8cf12"/>
    <w:p>
      <w:pPr>
        <w:pStyle w:val="Heading2"/>
      </w:pPr>
      <w:r>
        <w:t xml:space="preserve">78. Suggested Form for a Graveside Committal Service</w:t>
      </w:r>
    </w:p>
    <w:p>
      <w:pPr>
        <w:pStyle w:val="FirstParagraph"/>
      </w:pPr>
      <w:bookmarkStart w:id="315" w:name="anchor-78"/>
      <w:bookmarkEnd w:id="315"/>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6"/>
    <w:bookmarkStart w:id="320" w:name="suggested-form-for-infant-dedication"/>
    <w:p>
      <w:pPr>
        <w:pStyle w:val="Heading2"/>
      </w:pPr>
      <w:r>
        <w:t xml:space="preserve">79. Suggested Form for Infant Dedication</w:t>
      </w:r>
    </w:p>
    <w:p>
      <w:pPr>
        <w:pStyle w:val="FirstParagraph"/>
      </w:pPr>
      <w:bookmarkStart w:id="317" w:name="anchor-79"/>
      <w:bookmarkEnd w:id="317"/>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18"/>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19"/>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0"/>
    <w:bookmarkStart w:id="341" w:name="the-creeds"/>
    <w:p>
      <w:pPr>
        <w:pStyle w:val="Heading2"/>
      </w:pPr>
      <w:r>
        <w:t xml:space="preserve">80. The Creeds</w:t>
      </w:r>
    </w:p>
    <w:p>
      <w:pPr>
        <w:pStyle w:val="FirstParagraph"/>
      </w:pPr>
      <w:bookmarkStart w:id="321" w:name="anchor-80"/>
      <w:bookmarkEnd w:id="321"/>
    </w:p>
    <w:bookmarkStart w:id="329" w:name="the-apostles-creed"/>
    <w:p>
      <w:pPr>
        <w:pStyle w:val="Heading3"/>
      </w:pPr>
      <w:r>
        <w:t xml:space="preserve">1.</w:t>
      </w:r>
      <w:r>
        <w:t xml:space="preserve"> </w:t>
      </w:r>
      <w:r>
        <w:rPr>
          <w:b/>
          <w:bCs/>
        </w:rPr>
        <w:t xml:space="preserve">The Apostles’ Creed</w:t>
      </w:r>
    </w:p>
    <w:p>
      <w:pPr>
        <w:pStyle w:val="FirstParagraph"/>
      </w:pPr>
      <w:bookmarkStart w:id="322" w:name="the-apostles-creed"/>
      <w:bookmarkEnd w:id="322"/>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3"/>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4"/>
      </w:r>
      <w:r>
        <w:t xml:space="preserve"> </w:t>
      </w:r>
      <w:r>
        <w:t xml:space="preserve">on the right hand of God the Father Almighty;</w:t>
      </w:r>
      <w:r>
        <w:br/>
      </w:r>
      <w:r>
        <w:t xml:space="preserve">from thence</w:t>
      </w:r>
      <w:r>
        <w:rPr>
          <w:rStyle w:val="FootnoteReference"/>
        </w:rPr>
        <w:footnoteReference w:id="325"/>
      </w:r>
      <w:r>
        <w:t xml:space="preserve"> </w:t>
      </w:r>
      <w:r>
        <w:t xml:space="preserve">He shall come to judge the quick</w:t>
      </w:r>
      <w:r>
        <w:rPr>
          <w:rStyle w:val="FootnoteReference"/>
        </w:rPr>
        <w:footnoteReference w:id="326"/>
      </w:r>
      <w:r>
        <w:t xml:space="preserve"> </w:t>
      </w:r>
      <w:r>
        <w:t xml:space="preserve">and the dead.</w:t>
      </w:r>
    </w:p>
    <w:p>
      <w:pPr>
        <w:pStyle w:val="BlockText"/>
      </w:pPr>
      <w:r>
        <w:t xml:space="preserve">I believe in the Holy Ghost,</w:t>
      </w:r>
      <w:r>
        <w:rPr>
          <w:rStyle w:val="FootnoteReference"/>
        </w:rPr>
        <w:footnoteReference w:id="327"/>
      </w:r>
      <w:r>
        <w:br/>
      </w:r>
      <w:r>
        <w:t xml:space="preserve">the holy catholic</w:t>
      </w:r>
      <w:r>
        <w:rPr>
          <w:rStyle w:val="FootnoteReference"/>
        </w:rPr>
        <w:footnoteReference w:id="328"/>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29"/>
    <w:bookmarkStart w:id="333" w:name="the-nicene-creed"/>
    <w:p>
      <w:pPr>
        <w:pStyle w:val="Heading3"/>
      </w:pPr>
      <w:r>
        <w:t xml:space="preserve">2.</w:t>
      </w:r>
      <w:r>
        <w:t xml:space="preserve"> </w:t>
      </w:r>
      <w:r>
        <w:rPr>
          <w:b/>
          <w:bCs/>
        </w:rPr>
        <w:t xml:space="preserve">The Nicene Creed</w:t>
      </w:r>
    </w:p>
    <w:p>
      <w:pPr>
        <w:pStyle w:val="FirstParagraph"/>
      </w:pPr>
      <w:bookmarkStart w:id="330" w:name="the-nicene-creed"/>
      <w:bookmarkEnd w:id="330"/>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1"/>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2"/>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3"/>
    <w:bookmarkStart w:id="336" w:name="the-athanasian-creed"/>
    <w:p>
      <w:pPr>
        <w:pStyle w:val="Heading3"/>
      </w:pPr>
      <w:r>
        <w:t xml:space="preserve">3.</w:t>
      </w:r>
      <w:r>
        <w:t xml:space="preserve"> </w:t>
      </w:r>
      <w:r>
        <w:rPr>
          <w:b/>
          <w:bCs/>
        </w:rPr>
        <w:t xml:space="preserve">The Athanasian Creed</w:t>
      </w:r>
    </w:p>
    <w:p>
      <w:pPr>
        <w:pStyle w:val="FirstParagraph"/>
      </w:pPr>
      <w:bookmarkStart w:id="334" w:name="the-athanasian-creed"/>
      <w:bookmarkEnd w:id="334"/>
    </w:p>
    <w:p>
      <w:pPr>
        <w:pStyle w:val="BlockText"/>
      </w:pPr>
      <w:r>
        <w:t xml:space="preserve">[1] Whoever desires to be saved should above all hold to the catholic</w:t>
      </w:r>
      <w:r>
        <w:rPr>
          <w:rStyle w:val="FootnoteReference"/>
        </w:rPr>
        <w:footnoteReference w:id="335"/>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6"/>
    <w:bookmarkStart w:id="340" w:name="the-chalcedonian-creed"/>
    <w:p>
      <w:pPr>
        <w:pStyle w:val="Heading3"/>
      </w:pPr>
      <w:r>
        <w:t xml:space="preserve">4.</w:t>
      </w:r>
      <w:r>
        <w:t xml:space="preserve"> </w:t>
      </w:r>
      <w:r>
        <w:rPr>
          <w:b/>
          <w:bCs/>
        </w:rPr>
        <w:t xml:space="preserve">The Chalcedonian Creed</w:t>
      </w:r>
    </w:p>
    <w:p>
      <w:pPr>
        <w:pStyle w:val="FirstParagraph"/>
      </w:pPr>
      <w:bookmarkStart w:id="337" w:name="the-chalcedonian-creed"/>
      <w:bookmarkEnd w:id="337"/>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38"/>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39"/>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0"/>
    <w:bookmarkEnd w:id="341"/>
    <w:bookmarkEnd w:id="342"/>
    <w:bookmarkStart w:id="346" w:name="appendix-1-presbytery-forms"/>
    <w:p>
      <w:pPr>
        <w:pStyle w:val="Heading1"/>
      </w:pPr>
      <w:r>
        <w:t xml:space="preserve">Appendix 1: Presbytery Forms</w:t>
      </w:r>
    </w:p>
    <w:bookmarkStart w:id="345" w:name="form-of-ministerial-obligation"/>
    <w:p>
      <w:pPr>
        <w:pStyle w:val="Heading2"/>
      </w:pPr>
      <w:r>
        <w:t xml:space="preserve">Form of Ministerial Obligation</w:t>
      </w:r>
    </w:p>
    <w:p>
      <w:pPr>
        <w:pStyle w:val="FirstParagraph"/>
      </w:pPr>
      <w:bookmarkStart w:id="343" w:name="Xae9248a0fa53a206ebf12316a29ec44f369ab40"/>
      <w:bookmarkEnd w:id="343"/>
      <w:r>
        <w:t xml:space="preserve"> </w:t>
      </w:r>
      <w:bookmarkStart w:id="344" w:name="anchor-form-of-ministerial-obligation"/>
      <w:bookmarkEnd w:id="344"/>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5"/>
    <w:bookmarkEnd w:id="346"/>
    <w:bookmarkStart w:id="356" w:name="Xc6fc7b9496f09729869b8ab05e2b4c77d8815c9"/>
    <w:p>
      <w:pPr>
        <w:pStyle w:val="Heading1"/>
      </w:pPr>
      <w:r>
        <w:t xml:space="preserve">Appendix 2: Original Texts of Liturgical Forms</w:t>
      </w:r>
    </w:p>
    <w:bookmarkStart w:id="349" w:name="Xd71852eec4774270f400fcb621a9b94ea521c98"/>
    <w:p>
      <w:pPr>
        <w:pStyle w:val="Heading2"/>
      </w:pPr>
      <w:r>
        <w:t xml:space="preserve">1. Calvin’s Service of the Lord’s Supper (1542, 1566)</w:t>
      </w:r>
    </w:p>
    <w:p>
      <w:pPr>
        <w:pStyle w:val="FirstParagraph"/>
      </w:pPr>
      <w:bookmarkStart w:id="347" w:name="anchor-appendix2-1"/>
      <w:bookmarkEnd w:id="347"/>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48"/>
      </w:r>
    </w:p>
    <w:bookmarkEnd w:id="349"/>
    <w:bookmarkStart w:id="352" w:name="Xdf2a2805bd4b0a4713c0db933aa6cccc73bcf38"/>
    <w:p>
      <w:pPr>
        <w:pStyle w:val="Heading2"/>
      </w:pPr>
      <w:r>
        <w:t xml:space="preserve">2. The Form of Solemnization of Matrimony (1549 Book of Common Prayer)</w:t>
      </w:r>
    </w:p>
    <w:p>
      <w:pPr>
        <w:pStyle w:val="FirstParagraph"/>
      </w:pPr>
      <w:bookmarkStart w:id="350" w:name="anchor-appendix2-2"/>
      <w:bookmarkEnd w:id="350"/>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1"/>
      </w:r>
    </w:p>
    <w:bookmarkEnd w:id="352"/>
    <w:bookmarkStart w:id="355" w:name="X486e77db7284ecb45ef32f2dcdf393f8005c634"/>
    <w:p>
      <w:pPr>
        <w:pStyle w:val="Heading2"/>
      </w:pPr>
      <w:r>
        <w:t xml:space="preserve">3. The Order for the Burial of the Dead (1549 Book of Common Prayer)</w:t>
      </w:r>
    </w:p>
    <w:p>
      <w:pPr>
        <w:pStyle w:val="FirstParagraph"/>
      </w:pPr>
      <w:bookmarkStart w:id="353" w:name="anchor-appendix2-3"/>
      <w:bookmarkEnd w:id="353"/>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4"/>
      </w:r>
    </w:p>
    <w:bookmarkEnd w:id="355"/>
    <w:bookmarkEnd w:id="356"/>
    <w:bookmarkStart w:id="364"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7">
        <w:r>
          <w:rPr>
            <w:rStyle w:val="Hyperlink"/>
            <w:i/>
            <w:iCs/>
          </w:rPr>
          <w:t xml:space="preserve">click here</w:t>
        </w:r>
      </w:hyperlink>
      <w:r>
        <w:rPr>
          <w:i/>
          <w:iCs/>
        </w:rPr>
        <w:t xml:space="preserve">.</w:t>
      </w:r>
    </w:p>
    <w:p>
      <w:pPr>
        <w:pStyle w:val="Compact"/>
        <w:numPr>
          <w:ilvl w:val="0"/>
          <w:numId w:val="1177"/>
        </w:numPr>
      </w:pPr>
      <w:r>
        <w:rPr>
          <w:b/>
          <w:bCs/>
        </w:rPr>
        <w:t xml:space="preserve">Current version:</w:t>
      </w:r>
    </w:p>
    <w:p>
      <w:pPr>
        <w:pStyle w:val="Compact"/>
        <w:numPr>
          <w:ilvl w:val="0"/>
          <w:numId w:val="1177"/>
        </w:numPr>
      </w:pPr>
      <w:r>
        <w:t xml:space="preserve">Amendment to BCO 26.1 regarding the notice required before congregational meetings. Ratified at the February 6, 2025 meeting of Presbytery.</w:t>
      </w:r>
    </w:p>
    <w:p>
      <w:pPr>
        <w:pStyle w:val="Compact"/>
        <w:numPr>
          <w:ilvl w:val="0"/>
          <w:numId w:val="1177"/>
        </w:numPr>
      </w:pPr>
      <w:r>
        <w:t xml:space="preserve">Amendment to BCO 15.10 regarding special called meetings. Ratified at the June 6, 2024 meeting of Presbytery.</w:t>
      </w:r>
    </w:p>
    <w:p>
      <w:pPr>
        <w:pStyle w:val="Compact"/>
        <w:numPr>
          <w:ilvl w:val="0"/>
          <w:numId w:val="1177"/>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7"/>
        </w:numPr>
      </w:pPr>
      <w:r>
        <w:t xml:space="preserve">Amendments to BCO 61.4 (regarding fencing the Lord’s table) and BCO 61.1 (regarding paedocommunion) ratified at the June 2023 meeting of Presbytery.</w:t>
      </w:r>
    </w:p>
    <w:p>
      <w:pPr>
        <w:pStyle w:val="Compact"/>
        <w:numPr>
          <w:ilvl w:val="0"/>
          <w:numId w:val="1177"/>
        </w:numPr>
      </w:pPr>
      <w:r>
        <w:t xml:space="preserve">Amendments to BCO 14, 24 and 64, ratified at the October 2022 meeting of Presbytery.</w:t>
      </w:r>
    </w:p>
    <w:p>
      <w:pPr>
        <w:pStyle w:val="Compact"/>
        <w:numPr>
          <w:ilvl w:val="0"/>
          <w:numId w:val="1177"/>
        </w:numPr>
      </w:pPr>
      <w:r>
        <w:t xml:space="preserve">Migrated from Pressbooks to Bookdown hosted on Github pages.</w:t>
      </w:r>
    </w:p>
    <w:p>
      <w:pPr>
        <w:pStyle w:val="Compact"/>
        <w:numPr>
          <w:ilvl w:val="0"/>
          <w:numId w:val="1177"/>
        </w:numPr>
      </w:pPr>
      <w:hyperlink r:id="rId358">
        <w:r>
          <w:rPr>
            <w:rStyle w:val="Hyperlink"/>
          </w:rPr>
          <w:t xml:space="preserve">Hot Fix December 10, 2021</w:t>
        </w:r>
      </w:hyperlink>
    </w:p>
    <w:p>
      <w:pPr>
        <w:pStyle w:val="Compact"/>
        <w:numPr>
          <w:ilvl w:val="1"/>
          <w:numId w:val="1178"/>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7"/>
        </w:numPr>
      </w:pPr>
      <w:hyperlink r:id="rId359">
        <w:r>
          <w:rPr>
            <w:rStyle w:val="Hyperlink"/>
          </w:rPr>
          <w:t xml:space="preserve">Amended October 8, 2021</w:t>
        </w:r>
      </w:hyperlink>
    </w:p>
    <w:p>
      <w:pPr>
        <w:pStyle w:val="Compact"/>
        <w:numPr>
          <w:ilvl w:val="0"/>
          <w:numId w:val="1177"/>
        </w:numPr>
      </w:pPr>
      <w:hyperlink r:id="rId360">
        <w:r>
          <w:rPr>
            <w:rStyle w:val="Hyperlink"/>
          </w:rPr>
          <w:t xml:space="preserve">Amended June 3, 2021</w:t>
        </w:r>
      </w:hyperlink>
    </w:p>
    <w:p>
      <w:pPr>
        <w:pStyle w:val="Compact"/>
        <w:numPr>
          <w:ilvl w:val="0"/>
          <w:numId w:val="1177"/>
        </w:numPr>
      </w:pPr>
      <w:hyperlink r:id="rId361">
        <w:r>
          <w:rPr>
            <w:rStyle w:val="Hyperlink"/>
          </w:rPr>
          <w:t xml:space="preserve">Amended on October 31, 2019</w:t>
        </w:r>
      </w:hyperlink>
    </w:p>
    <w:p>
      <w:pPr>
        <w:pStyle w:val="Compact"/>
        <w:numPr>
          <w:ilvl w:val="0"/>
          <w:numId w:val="1177"/>
        </w:numPr>
      </w:pPr>
      <w:hyperlink r:id="rId362">
        <w:r>
          <w:rPr>
            <w:rStyle w:val="Hyperlink"/>
          </w:rPr>
          <w:t xml:space="preserve">Amended on June 6, 2019</w:t>
        </w:r>
      </w:hyperlink>
    </w:p>
    <w:p>
      <w:pPr>
        <w:pStyle w:val="Compact"/>
        <w:numPr>
          <w:ilvl w:val="0"/>
          <w:numId w:val="1177"/>
        </w:numPr>
      </w:pPr>
      <w:hyperlink r:id="rId363">
        <w:r>
          <w:rPr>
            <w:rStyle w:val="Hyperlink"/>
          </w:rPr>
          <w:t xml:space="preserve">Original Version released February 28, 2019</w:t>
        </w:r>
      </w:hyperlink>
    </w:p>
    <w:bookmarkEnd w:id="3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8">
    <w:p>
      <w:pPr>
        <w:pStyle w:val="FootnoteText"/>
      </w:pPr>
      <w:r>
        <w:rPr>
          <w:rStyle w:val="FootnoteReference"/>
        </w:rPr>
        <w:footnoteRef/>
      </w:r>
      <w:r>
        <w:t xml:space="preserve"> </w:t>
      </w:r>
      <w:r>
        <w:t xml:space="preserve">American revisions as adopted by the Orthodox Presbyterian Church in 1936.</w:t>
      </w:r>
    </w:p>
  </w:footnote>
  <w:footnote w:id="44">
    <w:p>
      <w:pPr>
        <w:pStyle w:val="FootnoteText"/>
      </w:pPr>
      <w:r>
        <w:rPr>
          <w:rStyle w:val="FootnoteReference"/>
        </w:rPr>
        <w:footnoteRef/>
      </w:r>
      <w:r>
        <w:t xml:space="preserve"> </w:t>
      </w:r>
      <w:r>
        <w:t xml:space="preserve">Matthew 22:21.</w:t>
      </w:r>
    </w:p>
  </w:footnote>
  <w:footnote w:id="102">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3">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4">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6">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7">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08">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7">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28">
    <w:p>
      <w:pPr>
        <w:pStyle w:val="FootnoteText"/>
      </w:pPr>
      <w:r>
        <w:rPr>
          <w:rStyle w:val="FootnoteReference"/>
        </w:rPr>
        <w:footnoteRef/>
      </w:r>
      <w:r>
        <w:t xml:space="preserve"> </w:t>
      </w:r>
      <w:r>
        <w:t xml:space="preserve">https://evangelpresbytery.com/westminster-larger-catechism.</w:t>
      </w:r>
    </w:p>
  </w:footnote>
  <w:footnote w:id="129">
    <w:p>
      <w:pPr>
        <w:pStyle w:val="FootnoteText"/>
      </w:pPr>
      <w:r>
        <w:rPr>
          <w:rStyle w:val="FootnoteReference"/>
        </w:rPr>
        <w:footnoteRef/>
      </w:r>
      <w:r>
        <w:t xml:space="preserve"> </w:t>
      </w:r>
      <w:r>
        <w:t xml:space="preserve">https://evangelpresbytery.com/westminster-shorter-catechism.</w:t>
      </w:r>
    </w:p>
  </w:footnote>
  <w:footnote w:id="130">
    <w:p>
      <w:pPr>
        <w:pStyle w:val="FootnoteText"/>
      </w:pPr>
      <w:r>
        <w:rPr>
          <w:rStyle w:val="FootnoteReference"/>
        </w:rPr>
        <w:footnoteRef/>
      </w:r>
      <w:r>
        <w:t xml:space="preserve"> </w:t>
      </w:r>
      <w:r>
        <w:t xml:space="preserve">https://ddp.evangelpresbytery.com.</w:t>
      </w:r>
    </w:p>
  </w:footnote>
  <w:footnote w:id="135">
    <w:p>
      <w:pPr>
        <w:pStyle w:val="FootnoteText"/>
      </w:pPr>
      <w:r>
        <w:rPr>
          <w:rStyle w:val="FootnoteReference"/>
        </w:rPr>
        <w:footnoteRef/>
      </w:r>
      <w:r>
        <w:t xml:space="preserve"> </w:t>
      </w:r>
      <w:r>
        <w:t xml:space="preserve">1 Timothy 4:7.</w:t>
      </w:r>
    </w:p>
  </w:footnote>
  <w:footnote w:id="139">
    <w:p>
      <w:pPr>
        <w:pStyle w:val="FootnoteText"/>
      </w:pPr>
      <w:r>
        <w:rPr>
          <w:rStyle w:val="FootnoteReference"/>
        </w:rPr>
        <w:footnoteRef/>
      </w:r>
      <w:r>
        <w:t xml:space="preserve"> </w:t>
      </w:r>
      <w:r>
        <w:t xml:space="preserve">Isaiah 7:15-16.</w:t>
      </w:r>
    </w:p>
  </w:footnote>
  <w:footnote w:id="140">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49">
    <w:p>
      <w:pPr>
        <w:pStyle w:val="FootnoteText"/>
      </w:pPr>
      <w:r>
        <w:rPr>
          <w:rStyle w:val="FootnoteReference"/>
        </w:rPr>
        <w:footnoteRef/>
      </w:r>
      <w:r>
        <w:t xml:space="preserve"> </w:t>
      </w:r>
      <w:r>
        <w:t xml:space="preserve">Matthew 18:15-16.</w:t>
      </w:r>
    </w:p>
  </w:footnote>
  <w:footnote w:id="152">
    <w:p>
      <w:pPr>
        <w:pStyle w:val="FootnoteText"/>
      </w:pPr>
      <w:r>
        <w:rPr>
          <w:rStyle w:val="FootnoteReference"/>
        </w:rPr>
        <w:footnoteRef/>
      </w:r>
      <w:r>
        <w:t xml:space="preserve"> </w:t>
      </w:r>
      <w:r>
        <w:t xml:space="preserve">Galatians 6:1.</w:t>
      </w:r>
    </w:p>
  </w:footnote>
  <w:footnote w:id="154">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69">
    <w:p>
      <w:pPr>
        <w:pStyle w:val="FootnoteText"/>
      </w:pPr>
      <w:r>
        <w:rPr>
          <w:rStyle w:val="FootnoteReference"/>
        </w:rPr>
        <w:footnoteRef/>
      </w:r>
      <w:r>
        <w:t xml:space="preserve"> </w:t>
      </w:r>
      <w:r>
        <w:t xml:space="preserve">1 Corinthians 5:9-13; Matthew 18:17.</w:t>
      </w:r>
    </w:p>
  </w:footnote>
  <w:footnote w:id="177">
    <w:p>
      <w:pPr>
        <w:pStyle w:val="FootnoteText"/>
      </w:pPr>
      <w:r>
        <w:rPr>
          <w:rStyle w:val="FootnoteReference"/>
        </w:rPr>
        <w:footnoteRef/>
      </w:r>
      <w:r>
        <w:t xml:space="preserve"> </w:t>
      </w:r>
      <w:hyperlink r:id="rId178">
        <w:r>
          <w:rPr>
            <w:rStyle w:val="Hyperlink"/>
          </w:rPr>
          <w:t xml:space="preserve">WCF 1.10</w:t>
        </w:r>
      </w:hyperlink>
      <w:r>
        <w:t xml:space="preserve">.</w:t>
      </w:r>
    </w:p>
  </w:footnote>
  <w:footnote w:id="179">
    <w:p>
      <w:pPr>
        <w:pStyle w:val="FootnoteText"/>
      </w:pPr>
      <w:r>
        <w:rPr>
          <w:rStyle w:val="FootnoteReference"/>
        </w:rPr>
        <w:footnoteRef/>
      </w:r>
      <w:r>
        <w:t xml:space="preserve"> </w:t>
      </w:r>
      <w:hyperlink r:id="rId180">
        <w:r>
          <w:rPr>
            <w:rStyle w:val="Hyperlink"/>
          </w:rPr>
          <w:t xml:space="preserve">WCF 31.3</w:t>
        </w:r>
      </w:hyperlink>
      <w:r>
        <w:t xml:space="preserve">.</w:t>
      </w:r>
    </w:p>
  </w:footnote>
  <w:footnote w:id="204">
    <w:p>
      <w:pPr>
        <w:pStyle w:val="FootnoteText"/>
      </w:pPr>
      <w:r>
        <w:rPr>
          <w:rStyle w:val="FootnoteReference"/>
        </w:rPr>
        <w:footnoteRef/>
      </w:r>
      <w:r>
        <w:t xml:space="preserve"> </w:t>
      </w:r>
      <w:r>
        <w:t xml:space="preserve">I.e., universal or worldwide.</w:t>
      </w:r>
    </w:p>
  </w:footnote>
  <w:footnote w:id="205">
    <w:p>
      <w:pPr>
        <w:pStyle w:val="FootnoteText"/>
      </w:pPr>
      <w:r>
        <w:rPr>
          <w:rStyle w:val="FootnoteReference"/>
        </w:rPr>
        <w:footnoteRef/>
      </w:r>
      <w:r>
        <w:t xml:space="preserve"> </w:t>
      </w:r>
      <w:r>
        <w:t xml:space="preserve">1 Corinthians 14:24-25.</w:t>
      </w:r>
    </w:p>
  </w:footnote>
  <w:footnote w:id="208">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1">
    <w:p>
      <w:pPr>
        <w:pStyle w:val="FootnoteText"/>
      </w:pPr>
      <w:r>
        <w:rPr>
          <w:rStyle w:val="FootnoteReference"/>
        </w:rPr>
        <w:footnoteRef/>
      </w:r>
      <w:r>
        <w:t xml:space="preserve"> </w:t>
      </w:r>
      <w:r>
        <w:t xml:space="preserve">1 Corinthians 14:34.</w:t>
      </w:r>
    </w:p>
  </w:footnote>
  <w:footnote w:id="214">
    <w:p>
      <w:pPr>
        <w:pStyle w:val="FootnoteText"/>
      </w:pPr>
      <w:r>
        <w:rPr>
          <w:rStyle w:val="FootnoteReference"/>
        </w:rPr>
        <w:footnoteRef/>
      </w:r>
      <w:r>
        <w:t xml:space="preserve"> </w:t>
      </w:r>
      <w:r>
        <w:t xml:space="preserve">Matthew 28:16-20; 1 Corinthians 11:23.</w:t>
      </w:r>
    </w:p>
  </w:footnote>
  <w:footnote w:id="215">
    <w:p>
      <w:pPr>
        <w:pStyle w:val="FootnoteText"/>
      </w:pPr>
      <w:r>
        <w:rPr>
          <w:rStyle w:val="FootnoteReference"/>
        </w:rPr>
        <w:footnoteRef/>
      </w:r>
      <w:r>
        <w:t xml:space="preserve"> </w:t>
      </w:r>
      <w:r>
        <w:t xml:space="preserve">1 Corinthians 4:1.</w:t>
      </w:r>
    </w:p>
  </w:footnote>
  <w:footnote w:id="216">
    <w:p>
      <w:pPr>
        <w:pStyle w:val="FootnoteText"/>
      </w:pPr>
      <w:r>
        <w:rPr>
          <w:rStyle w:val="FootnoteReference"/>
        </w:rPr>
        <w:footnoteRef/>
      </w:r>
      <w:r>
        <w:t xml:space="preserve"> </w:t>
      </w:r>
      <w:r>
        <w:t xml:space="preserve">Hebrews 5:4.</w:t>
      </w:r>
    </w:p>
  </w:footnote>
  <w:footnote w:id="217">
    <w:p>
      <w:pPr>
        <w:pStyle w:val="FootnoteText"/>
      </w:pPr>
      <w:r>
        <w:rPr>
          <w:rStyle w:val="FootnoteReference"/>
        </w:rPr>
        <w:footnoteRef/>
      </w:r>
      <w:r>
        <w:t xml:space="preserve"> </w:t>
      </w:r>
      <w:r>
        <w:t xml:space="preserve">Numbers 6:24-26.</w:t>
      </w:r>
    </w:p>
  </w:footnote>
  <w:footnote w:id="218">
    <w:p>
      <w:pPr>
        <w:pStyle w:val="FootnoteText"/>
      </w:pPr>
      <w:r>
        <w:rPr>
          <w:rStyle w:val="FootnoteReference"/>
        </w:rPr>
        <w:footnoteRef/>
      </w:r>
      <w:r>
        <w:t xml:space="preserve"> </w:t>
      </w:r>
      <w:r>
        <w:t xml:space="preserve">2 Corinthians 13:14.</w:t>
      </w:r>
    </w:p>
  </w:footnote>
  <w:footnote w:id="221">
    <w:p>
      <w:pPr>
        <w:pStyle w:val="FootnoteText"/>
      </w:pPr>
      <w:r>
        <w:rPr>
          <w:rStyle w:val="FootnoteReference"/>
        </w:rPr>
        <w:footnoteRef/>
      </w:r>
      <w:r>
        <w:t xml:space="preserve"> </w:t>
      </w:r>
      <w:r>
        <w:t xml:space="preserve">Luke 11:2; John 14:13-14.</w:t>
      </w:r>
    </w:p>
  </w:footnote>
  <w:footnote w:id="226">
    <w:p>
      <w:pPr>
        <w:pStyle w:val="FootnoteText"/>
      </w:pPr>
      <w:r>
        <w:rPr>
          <w:rStyle w:val="FootnoteReference"/>
        </w:rPr>
        <w:footnoteRef/>
      </w:r>
      <w:r>
        <w:t xml:space="preserve"> </w:t>
      </w:r>
      <w:r>
        <w:t xml:space="preserve">Genesis 17:7.</w:t>
      </w:r>
    </w:p>
  </w:footnote>
  <w:footnote w:id="227">
    <w:p>
      <w:pPr>
        <w:pStyle w:val="FootnoteText"/>
      </w:pPr>
      <w:r>
        <w:rPr>
          <w:rStyle w:val="FootnoteReference"/>
        </w:rPr>
        <w:footnoteRef/>
      </w:r>
      <w:r>
        <w:t xml:space="preserve"> </w:t>
      </w:r>
      <w:r>
        <w:t xml:space="preserve">Acts 2:39.</w:t>
      </w:r>
    </w:p>
  </w:footnote>
  <w:footnote w:id="228">
    <w:p>
      <w:pPr>
        <w:pStyle w:val="FootnoteText"/>
      </w:pPr>
      <w:r>
        <w:rPr>
          <w:rStyle w:val="FootnoteReference"/>
        </w:rPr>
        <w:footnoteRef/>
      </w:r>
      <w:r>
        <w:t xml:space="preserve"> </w:t>
      </w:r>
      <w:r>
        <w:t xml:space="preserve">Acts 16:31.</w:t>
      </w:r>
    </w:p>
  </w:footnote>
  <w:footnote w:id="229">
    <w:p>
      <w:pPr>
        <w:pStyle w:val="FootnoteText"/>
      </w:pPr>
      <w:r>
        <w:rPr>
          <w:rStyle w:val="FootnoteReference"/>
        </w:rPr>
        <w:footnoteRef/>
      </w:r>
      <w:r>
        <w:t xml:space="preserve"> </w:t>
      </w:r>
      <w:r>
        <w:t xml:space="preserve">1 Corinthians 7:14.</w:t>
      </w:r>
    </w:p>
  </w:footnote>
  <w:footnote w:id="230">
    <w:p>
      <w:pPr>
        <w:pStyle w:val="FootnoteText"/>
      </w:pPr>
      <w:r>
        <w:rPr>
          <w:rStyle w:val="FootnoteReference"/>
        </w:rPr>
        <w:footnoteRef/>
      </w:r>
      <w:r>
        <w:t xml:space="preserve"> </w:t>
      </w:r>
      <w:r>
        <w:t xml:space="preserve">Mark 10:14.</w:t>
      </w:r>
    </w:p>
  </w:footnote>
  <w:footnote w:id="231">
    <w:p>
      <w:pPr>
        <w:pStyle w:val="FootnoteText"/>
      </w:pPr>
      <w:r>
        <w:rPr>
          <w:rStyle w:val="FootnoteReference"/>
        </w:rPr>
        <w:footnoteRef/>
      </w:r>
      <w:r>
        <w:t xml:space="preserve"> </w:t>
      </w:r>
      <w:r>
        <w:t xml:space="preserve">Colossians 2:11–12.</w:t>
      </w:r>
    </w:p>
  </w:footnote>
  <w:footnote w:id="232">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39">
    <w:p>
      <w:pPr>
        <w:pStyle w:val="FootnoteText"/>
      </w:pPr>
      <w:r>
        <w:rPr>
          <w:rStyle w:val="FootnoteReference"/>
        </w:rPr>
        <w:footnoteRef/>
      </w:r>
      <w:r>
        <w:t xml:space="preserve"> </w:t>
      </w:r>
      <w:r>
        <w:t xml:space="preserve">1 Corinthians 10:17.</w:t>
      </w:r>
    </w:p>
  </w:footnote>
  <w:footnote w:id="240">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1">
    <w:p>
      <w:pPr>
        <w:pStyle w:val="FootnoteText"/>
      </w:pPr>
      <w:r>
        <w:rPr>
          <w:rStyle w:val="FootnoteReference"/>
        </w:rPr>
        <w:footnoteRef/>
      </w:r>
      <w:r>
        <w:t xml:space="preserve"> </w:t>
      </w:r>
      <w:r>
        <w:t xml:space="preserve">Ibid., 327–28.</w:t>
      </w:r>
    </w:p>
  </w:footnote>
  <w:footnote w:id="242">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3">
    <w:p>
      <w:pPr>
        <w:pStyle w:val="FootnoteText"/>
      </w:pPr>
      <w:r>
        <w:rPr>
          <w:rStyle w:val="FootnoteReference"/>
        </w:rPr>
        <w:footnoteRef/>
      </w:r>
      <w:r>
        <w:t xml:space="preserve"> </w:t>
      </w:r>
      <w:r>
        <w:t xml:space="preserve">Hebrews 13:20-21.</w:t>
      </w:r>
    </w:p>
  </w:footnote>
  <w:footnote w:id="247">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3">
    <w:p>
      <w:pPr>
        <w:pStyle w:val="FootnoteText"/>
      </w:pPr>
      <w:r>
        <w:rPr>
          <w:rStyle w:val="FootnoteReference"/>
        </w:rPr>
        <w:footnoteRef/>
      </w:r>
      <w:r>
        <w:t xml:space="preserve"> </w:t>
      </w:r>
      <w:r>
        <w:t xml:space="preserve">Acts 5:29.</w:t>
      </w:r>
    </w:p>
  </w:footnote>
  <w:footnote w:id="275">
    <w:p>
      <w:pPr>
        <w:pStyle w:val="FootnoteText"/>
      </w:pPr>
      <w:r>
        <w:rPr>
          <w:rStyle w:val="FootnoteReference"/>
        </w:rPr>
        <w:footnoteRef/>
      </w:r>
      <w:r>
        <w:t xml:space="preserve"> </w:t>
      </w:r>
      <w:r>
        <w:t xml:space="preserve">Westminster Confession of Faith, 24.2.</w:t>
      </w:r>
    </w:p>
  </w:footnote>
  <w:footnote w:id="276">
    <w:p>
      <w:pPr>
        <w:pStyle w:val="FootnoteText"/>
      </w:pPr>
      <w:r>
        <w:rPr>
          <w:rStyle w:val="FootnoteReference"/>
        </w:rPr>
        <w:footnoteRef/>
      </w:r>
      <w:r>
        <w:t xml:space="preserve"> </w:t>
      </w:r>
      <w:r>
        <w:t xml:space="preserve">See Declaration of Doctrine on Sexuality,</w:t>
      </w:r>
      <w:r>
        <w:t xml:space="preserve"> </w:t>
      </w:r>
      <w:hyperlink r:id="rId277">
        <w:r>
          <w:rPr>
            <w:rStyle w:val="Hyperlink"/>
          </w:rPr>
          <w:t xml:space="preserve">§§1–4</w:t>
        </w:r>
      </w:hyperlink>
      <w:r>
        <w:t xml:space="preserve">,</w:t>
      </w:r>
      <w:r>
        <w:t xml:space="preserve"> </w:t>
      </w:r>
      <w:hyperlink r:id="rId278">
        <w:r>
          <w:rPr>
            <w:rStyle w:val="Hyperlink"/>
          </w:rPr>
          <w:t xml:space="preserve">10–11</w:t>
        </w:r>
      </w:hyperlink>
      <w:r>
        <w:t xml:space="preserve">.</w:t>
      </w:r>
    </w:p>
  </w:footnote>
  <w:footnote w:id="279">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0">
        <w:r>
          <w:rPr>
            <w:rStyle w:val="Hyperlink"/>
          </w:rPr>
          <w:t xml:space="preserve">section 7</w:t>
        </w:r>
      </w:hyperlink>
      <w:r>
        <w:t xml:space="preserve">.</w:t>
      </w:r>
    </w:p>
  </w:footnote>
  <w:footnote w:id="281">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2">
    <w:p>
      <w:pPr>
        <w:pStyle w:val="FootnoteText"/>
      </w:pPr>
      <w:r>
        <w:rPr>
          <w:rStyle w:val="FootnoteReference"/>
        </w:rPr>
        <w:footnoteRef/>
      </w:r>
      <w:r>
        <w:t xml:space="preserve"> </w:t>
      </w:r>
      <w:r>
        <w:t xml:space="preserve">See Declaration of Doctrine on Sexuality,</w:t>
      </w:r>
      <w:r>
        <w:t xml:space="preserve"> </w:t>
      </w:r>
      <w:hyperlink r:id="rId283">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0">
    <w:p>
      <w:pPr>
        <w:pStyle w:val="FootnoteText"/>
      </w:pPr>
      <w:r>
        <w:rPr>
          <w:rStyle w:val="FootnoteReference"/>
        </w:rPr>
        <w:footnoteRef/>
      </w:r>
      <w:r>
        <w:t xml:space="preserve"> </w:t>
      </w:r>
      <w:r>
        <w:t xml:space="preserve">See Doctrinal Declaration on Sexuality,</w:t>
      </w:r>
      <w:r>
        <w:t xml:space="preserve"> </w:t>
      </w:r>
      <w:hyperlink r:id="rId289">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7">
    <w:p>
      <w:pPr>
        <w:pStyle w:val="FootnoteText"/>
      </w:pPr>
      <w:r>
        <w:rPr>
          <w:rStyle w:val="FootnoteReference"/>
        </w:rPr>
        <w:footnoteRef/>
      </w:r>
      <w:r>
        <w:t xml:space="preserve"> </w:t>
      </w:r>
      <w:r>
        <w:t xml:space="preserve">Matthew 19:6.</w:t>
      </w:r>
    </w:p>
  </w:footnote>
  <w:footnote w:id="300">
    <w:p>
      <w:pPr>
        <w:pStyle w:val="FootnoteText"/>
      </w:pPr>
      <w:r>
        <w:rPr>
          <w:rStyle w:val="FootnoteReference"/>
        </w:rPr>
        <w:footnoteRef/>
      </w:r>
      <w:r>
        <w:t xml:space="preserve"> </w:t>
      </w:r>
      <w:r>
        <w:t xml:space="preserve">John 11:25-26.</w:t>
      </w:r>
    </w:p>
  </w:footnote>
  <w:footnote w:id="301">
    <w:p>
      <w:pPr>
        <w:pStyle w:val="FootnoteText"/>
      </w:pPr>
      <w:r>
        <w:rPr>
          <w:rStyle w:val="FootnoteReference"/>
        </w:rPr>
        <w:footnoteRef/>
      </w:r>
      <w:r>
        <w:t xml:space="preserve"> </w:t>
      </w:r>
      <w:r>
        <w:t xml:space="preserve">Job 14:1-2.</w:t>
      </w:r>
    </w:p>
  </w:footnote>
  <w:footnote w:id="302">
    <w:p>
      <w:pPr>
        <w:pStyle w:val="FootnoteText"/>
      </w:pPr>
      <w:r>
        <w:rPr>
          <w:rStyle w:val="FootnoteReference"/>
        </w:rPr>
        <w:footnoteRef/>
      </w:r>
      <w:r>
        <w:t xml:space="preserve"> </w:t>
      </w:r>
      <w:r>
        <w:t xml:space="preserve">1 Chronicles 29:15.</w:t>
      </w:r>
    </w:p>
  </w:footnote>
  <w:footnote w:id="303">
    <w:p>
      <w:pPr>
        <w:pStyle w:val="FootnoteText"/>
      </w:pPr>
      <w:r>
        <w:rPr>
          <w:rStyle w:val="FootnoteReference"/>
        </w:rPr>
        <w:footnoteRef/>
      </w:r>
      <w:r>
        <w:t xml:space="preserve"> </w:t>
      </w:r>
      <w:r>
        <w:t xml:space="preserve">1 Timothy 6:7.</w:t>
      </w:r>
    </w:p>
  </w:footnote>
  <w:footnote w:id="304">
    <w:p>
      <w:pPr>
        <w:pStyle w:val="FootnoteText"/>
      </w:pPr>
      <w:r>
        <w:rPr>
          <w:rStyle w:val="FootnoteReference"/>
        </w:rPr>
        <w:footnoteRef/>
      </w:r>
      <w:r>
        <w:t xml:space="preserve"> </w:t>
      </w:r>
      <w:r>
        <w:t xml:space="preserve">Job 1:21b.</w:t>
      </w:r>
    </w:p>
  </w:footnote>
  <w:footnote w:id="305">
    <w:p>
      <w:pPr>
        <w:pStyle w:val="FootnoteText"/>
      </w:pPr>
      <w:r>
        <w:rPr>
          <w:rStyle w:val="FootnoteReference"/>
        </w:rPr>
        <w:footnoteRef/>
      </w:r>
      <w:r>
        <w:t xml:space="preserve"> </w:t>
      </w:r>
      <w:r>
        <w:t xml:space="preserve">2 Corinthians 13:14.</w:t>
      </w:r>
    </w:p>
  </w:footnote>
  <w:footnote w:id="308">
    <w:p>
      <w:pPr>
        <w:pStyle w:val="FootnoteText"/>
      </w:pPr>
      <w:r>
        <w:rPr>
          <w:rStyle w:val="FootnoteReference"/>
        </w:rPr>
        <w:footnoteRef/>
      </w:r>
      <w:r>
        <w:t xml:space="preserve"> </w:t>
      </w:r>
      <w:r>
        <w:t xml:space="preserve">Psalm 20:1-2.</w:t>
      </w:r>
    </w:p>
  </w:footnote>
  <w:footnote w:id="309">
    <w:p>
      <w:pPr>
        <w:pStyle w:val="FootnoteText"/>
      </w:pPr>
      <w:r>
        <w:rPr>
          <w:rStyle w:val="FootnoteReference"/>
        </w:rPr>
        <w:footnoteRef/>
      </w:r>
      <w:r>
        <w:t xml:space="preserve"> </w:t>
      </w:r>
      <w:r>
        <w:t xml:space="preserve">Job 14:1-2.</w:t>
      </w:r>
    </w:p>
  </w:footnote>
  <w:footnote w:id="310">
    <w:p>
      <w:pPr>
        <w:pStyle w:val="FootnoteText"/>
      </w:pPr>
      <w:r>
        <w:rPr>
          <w:rStyle w:val="FootnoteReference"/>
        </w:rPr>
        <w:footnoteRef/>
      </w:r>
      <w:r>
        <w:t xml:space="preserve"> </w:t>
      </w:r>
      <w:r>
        <w:t xml:space="preserve">Job 1:21b.</w:t>
      </w:r>
    </w:p>
  </w:footnote>
  <w:footnote w:id="311">
    <w:p>
      <w:pPr>
        <w:pStyle w:val="FootnoteText"/>
      </w:pPr>
      <w:r>
        <w:rPr>
          <w:rStyle w:val="FootnoteReference"/>
        </w:rPr>
        <w:footnoteRef/>
      </w:r>
      <w:r>
        <w:t xml:space="preserve"> </w:t>
      </w:r>
      <w:r>
        <w:t xml:space="preserve">Matthew 11:28.</w:t>
      </w:r>
    </w:p>
  </w:footnote>
  <w:footnote w:id="312">
    <w:p>
      <w:pPr>
        <w:pStyle w:val="FootnoteText"/>
      </w:pPr>
      <w:r>
        <w:rPr>
          <w:rStyle w:val="FootnoteReference"/>
        </w:rPr>
        <w:footnoteRef/>
      </w:r>
      <w:r>
        <w:t xml:space="preserve"> </w:t>
      </w:r>
      <w:r>
        <w:t xml:space="preserve">Matthew 19:14.</w:t>
      </w:r>
    </w:p>
  </w:footnote>
  <w:footnote w:id="313">
    <w:p>
      <w:pPr>
        <w:pStyle w:val="FootnoteText"/>
      </w:pPr>
      <w:r>
        <w:rPr>
          <w:rStyle w:val="FootnoteReference"/>
        </w:rPr>
        <w:footnoteRef/>
      </w:r>
      <w:r>
        <w:t xml:space="preserve"> </w:t>
      </w:r>
      <w:r>
        <w:t xml:space="preserve">2 Corinthians 13:14.</w:t>
      </w:r>
    </w:p>
  </w:footnote>
  <w:footnote w:id="318">
    <w:p>
      <w:pPr>
        <w:pStyle w:val="FootnoteText"/>
      </w:pPr>
      <w:r>
        <w:rPr>
          <w:rStyle w:val="FootnoteReference"/>
        </w:rPr>
        <w:footnoteRef/>
      </w:r>
      <w:r>
        <w:t xml:space="preserve"> </w:t>
      </w:r>
      <w:r>
        <w:t xml:space="preserve">Psalm 127:3-5.</w:t>
      </w:r>
    </w:p>
  </w:footnote>
  <w:footnote w:id="319">
    <w:p>
      <w:pPr>
        <w:pStyle w:val="FootnoteText"/>
      </w:pPr>
      <w:r>
        <w:rPr>
          <w:rStyle w:val="FootnoteReference"/>
        </w:rPr>
        <w:footnoteRef/>
      </w:r>
      <w:r>
        <w:t xml:space="preserve"> </w:t>
      </w:r>
      <w:r>
        <w:t xml:space="preserve">Acts 2:39.</w:t>
      </w:r>
    </w:p>
  </w:footnote>
  <w:footnote w:id="323">
    <w:p>
      <w:pPr>
        <w:pStyle w:val="FootnoteText"/>
      </w:pPr>
      <w:r>
        <w:rPr>
          <w:rStyle w:val="FootnoteReference"/>
        </w:rPr>
        <w:footnoteRef/>
      </w:r>
      <w:r>
        <w:t xml:space="preserve"> </w:t>
      </w:r>
      <w:r>
        <w:t xml:space="preserve">Or,</w:t>
      </w:r>
      <w:r>
        <w:t xml:space="preserve"> </w:t>
      </w:r>
      <w:r>
        <w:t xml:space="preserve">“Holy Spirit.”</w:t>
      </w:r>
    </w:p>
  </w:footnote>
  <w:footnote w:id="324">
    <w:p>
      <w:pPr>
        <w:pStyle w:val="FootnoteText"/>
      </w:pPr>
      <w:r>
        <w:rPr>
          <w:rStyle w:val="FootnoteReference"/>
        </w:rPr>
        <w:footnoteRef/>
      </w:r>
      <w:r>
        <w:t xml:space="preserve"> </w:t>
      </w:r>
      <w:r>
        <w:t xml:space="preserve">Or,</w:t>
      </w:r>
      <w:r>
        <w:t xml:space="preserve"> </w:t>
      </w:r>
      <w:r>
        <w:t xml:space="preserve">“sits.”</w:t>
      </w:r>
    </w:p>
  </w:footnote>
  <w:footnote w:id="325">
    <w:p>
      <w:pPr>
        <w:pStyle w:val="FootnoteText"/>
      </w:pPr>
      <w:r>
        <w:rPr>
          <w:rStyle w:val="FootnoteReference"/>
        </w:rPr>
        <w:footnoteRef/>
      </w:r>
      <w:r>
        <w:t xml:space="preserve"> </w:t>
      </w:r>
      <w:r>
        <w:t xml:space="preserve">Or,</w:t>
      </w:r>
      <w:r>
        <w:t xml:space="preserve"> </w:t>
      </w:r>
      <w:r>
        <w:t xml:space="preserve">“there.”</w:t>
      </w:r>
    </w:p>
  </w:footnote>
  <w:footnote w:id="326">
    <w:p>
      <w:pPr>
        <w:pStyle w:val="FootnoteText"/>
      </w:pPr>
      <w:r>
        <w:rPr>
          <w:rStyle w:val="FootnoteReference"/>
        </w:rPr>
        <w:footnoteRef/>
      </w:r>
      <w:r>
        <w:t xml:space="preserve"> </w:t>
      </w:r>
      <w:r>
        <w:t xml:space="preserve">Or,</w:t>
      </w:r>
      <w:r>
        <w:t xml:space="preserve"> </w:t>
      </w:r>
      <w:r>
        <w:t xml:space="preserve">“living.”</w:t>
      </w:r>
    </w:p>
  </w:footnote>
  <w:footnote w:id="327">
    <w:p>
      <w:pPr>
        <w:pStyle w:val="FootnoteText"/>
      </w:pPr>
      <w:r>
        <w:rPr>
          <w:rStyle w:val="FootnoteReference"/>
        </w:rPr>
        <w:footnoteRef/>
      </w:r>
      <w:r>
        <w:t xml:space="preserve"> </w:t>
      </w:r>
      <w:r>
        <w:t xml:space="preserve">Or,</w:t>
      </w:r>
      <w:r>
        <w:t xml:space="preserve"> </w:t>
      </w:r>
      <w:r>
        <w:t xml:space="preserve">“Holy Spirit.”</w:t>
      </w:r>
    </w:p>
  </w:footnote>
  <w:footnote w:id="328">
    <w:p>
      <w:pPr>
        <w:pStyle w:val="FootnoteText"/>
      </w:pPr>
      <w:r>
        <w:rPr>
          <w:rStyle w:val="FootnoteReference"/>
        </w:rPr>
        <w:footnoteRef/>
      </w:r>
      <w:r>
        <w:t xml:space="preserve"> </w:t>
      </w:r>
      <w:r>
        <w:t xml:space="preserve">Or,</w:t>
      </w:r>
      <w:r>
        <w:t xml:space="preserve"> </w:t>
      </w:r>
      <w:r>
        <w:t xml:space="preserve">“universal.”</w:t>
      </w:r>
    </w:p>
  </w:footnote>
  <w:footnote w:id="331">
    <w:p>
      <w:pPr>
        <w:pStyle w:val="FootnoteText"/>
      </w:pPr>
      <w:r>
        <w:rPr>
          <w:rStyle w:val="FootnoteReference"/>
        </w:rPr>
        <w:footnoteRef/>
      </w:r>
      <w:r>
        <w:t xml:space="preserve"> </w:t>
      </w:r>
      <w:r>
        <w:t xml:space="preserve">Or,</w:t>
      </w:r>
      <w:r>
        <w:t xml:space="preserve"> </w:t>
      </w:r>
      <w:r>
        <w:t xml:space="preserve">“living.”</w:t>
      </w:r>
    </w:p>
  </w:footnote>
  <w:footnote w:id="332">
    <w:p>
      <w:pPr>
        <w:pStyle w:val="FootnoteText"/>
      </w:pPr>
      <w:r>
        <w:rPr>
          <w:rStyle w:val="FootnoteReference"/>
        </w:rPr>
        <w:footnoteRef/>
      </w:r>
      <w:r>
        <w:t xml:space="preserve"> </w:t>
      </w:r>
      <w:r>
        <w:t xml:space="preserve">Or,</w:t>
      </w:r>
      <w:r>
        <w:t xml:space="preserve"> </w:t>
      </w:r>
      <w:r>
        <w:t xml:space="preserve">“universal.”</w:t>
      </w:r>
    </w:p>
  </w:footnote>
  <w:footnote w:id="335">
    <w:p>
      <w:pPr>
        <w:pStyle w:val="FootnoteText"/>
      </w:pPr>
      <w:r>
        <w:rPr>
          <w:rStyle w:val="FootnoteReference"/>
        </w:rPr>
        <w:footnoteRef/>
      </w:r>
      <w:r>
        <w:t xml:space="preserve"> </w:t>
      </w:r>
      <w:r>
        <w:t xml:space="preserve">Or,</w:t>
      </w:r>
      <w:r>
        <w:t xml:space="preserve"> </w:t>
      </w:r>
      <w:r>
        <w:t xml:space="preserve">“universal.”</w:t>
      </w:r>
    </w:p>
  </w:footnote>
  <w:footnote w:id="338">
    <w:p>
      <w:pPr>
        <w:pStyle w:val="FootnoteText"/>
      </w:pPr>
      <w:r>
        <w:rPr>
          <w:rStyle w:val="FootnoteReference"/>
        </w:rPr>
        <w:footnoteRef/>
      </w:r>
      <w:r>
        <w:t xml:space="preserve"> </w:t>
      </w:r>
      <w:r>
        <w:t xml:space="preserve">Or,</w:t>
      </w:r>
      <w:r>
        <w:t xml:space="preserve"> </w:t>
      </w:r>
      <w:r>
        <w:t xml:space="preserve">“rational.”</w:t>
      </w:r>
    </w:p>
  </w:footnote>
  <w:footnote w:id="339">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48">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1">
    <w:p>
      <w:pPr>
        <w:pStyle w:val="FootnoteText"/>
      </w:pPr>
      <w:r>
        <w:rPr>
          <w:rStyle w:val="FootnoteReference"/>
        </w:rPr>
        <w:footnoteRef/>
      </w:r>
      <w:r>
        <w:t xml:space="preserve"> </w:t>
      </w:r>
      <w:r>
        <w:t xml:space="preserve">Original text from the 1549 Book of Common Prayer, with modernized spelling.</w:t>
      </w:r>
    </w:p>
  </w:footnote>
  <w:footnote w:id="354">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ddp.evangelpresbytery.com" TargetMode="External" /><Relationship Type="http://schemas.openxmlformats.org/officeDocument/2006/relationships/hyperlink" Id="rId286" Target="https://ddp.evangelpresbytery.com/01-Declaration-of-Doctrine-on-Sexuality.html" TargetMode="External" /><Relationship Type="http://schemas.openxmlformats.org/officeDocument/2006/relationships/hyperlink" Id="rId277" Target="https://ddp.evangelpresbytery.com/01-Declaration-of-Doctrine-on-Sexuality.html#dds-01" TargetMode="External" /><Relationship Type="http://schemas.openxmlformats.org/officeDocument/2006/relationships/hyperlink" Id="rId287" Target="https://ddp.evangelpresbytery.com/01-Declaration-of-Doctrine-on-Sexuality.html#dds-05" TargetMode="External" /><Relationship Type="http://schemas.openxmlformats.org/officeDocument/2006/relationships/hyperlink" Id="rId288" Target="https://ddp.evangelpresbytery.com/01-Declaration-of-Doctrine-on-Sexuality.html#dds-06" TargetMode="External" /><Relationship Type="http://schemas.openxmlformats.org/officeDocument/2006/relationships/hyperlink" Id="rId280" Target="https://ddp.evangelpresbytery.com/01-Declaration-of-Doctrine-on-Sexuality.html#dds-07" TargetMode="External" /><Relationship Type="http://schemas.openxmlformats.org/officeDocument/2006/relationships/hyperlink" Id="rId289" Target="https://ddp.evangelpresbytery.com/01-Declaration-of-Doctrine-on-Sexuality.html#dds-08" TargetMode="External" /><Relationship Type="http://schemas.openxmlformats.org/officeDocument/2006/relationships/hyperlink" Id="rId278" Target="https://ddp.evangelpresbytery.com/01-Declaration-of-Doctrine-on-Sexuality.html#dds-10" TargetMode="External" /><Relationship Type="http://schemas.openxmlformats.org/officeDocument/2006/relationships/hyperlink" Id="rId283" Target="https://ddp.evangelpresbytery.com/01-Declaration-of-Doctrine-on-Sexuality.html#dds-13" TargetMode="External" /><Relationship Type="http://schemas.openxmlformats.org/officeDocument/2006/relationships/hyperlink" Id="rId27" Target="https://evangelpresbytery.com/westminster-confession-of-faith" TargetMode="External" /><Relationship Type="http://schemas.openxmlformats.org/officeDocument/2006/relationships/hyperlink" Id="rId178" Target="https://evangelpresbytery.com/westminster-confession-of-faith/#1.10" TargetMode="External" /><Relationship Type="http://schemas.openxmlformats.org/officeDocument/2006/relationships/hyperlink" Id="rId180" Target="https://evangelpresbytery.com/westminster-confession-of-faith/#31.3" TargetMode="External" /><Relationship Type="http://schemas.openxmlformats.org/officeDocument/2006/relationships/hyperlink" Id="rId29" Target="https://evangelpresbytery.com/westminster-larger-catechism" TargetMode="External" /><Relationship Type="http://schemas.openxmlformats.org/officeDocument/2006/relationships/hyperlink" Id="rId30" Target="https://evangelpresbytery.com/westminster-shorter-catechism" TargetMode="External" /><Relationship Type="http://schemas.openxmlformats.org/officeDocument/2006/relationships/hyperlink" Id="rId357" Target="https://github.com/Evangel-Presbytery/evangel-bco" TargetMode="External" /><Relationship Type="http://schemas.openxmlformats.org/officeDocument/2006/relationships/hyperlink" Id="rId359" Target="https://www.dropbox.com/sh/67fg23e5sksui6j/AAB6LRjZ2dld47gYz1G0jo-Fa?dl=0" TargetMode="External" /><Relationship Type="http://schemas.openxmlformats.org/officeDocument/2006/relationships/hyperlink" Id="rId362" Target="https://www.dropbox.com/sh/6e1mcd2n8vojvpv/AADWRZsciqNw1xteiuRA0lr3a?dl=0" TargetMode="External" /><Relationship Type="http://schemas.openxmlformats.org/officeDocument/2006/relationships/hyperlink" Id="rId358" Target="https://www.dropbox.com/sh/e5lszl09qec2wy0/AADMEzOS1C1Z7Ao4r4xyddHNa?dl=0" TargetMode="External" /><Relationship Type="http://schemas.openxmlformats.org/officeDocument/2006/relationships/hyperlink" Id="rId363" Target="https://www.dropbox.com/sh/w46pitp7sevpepk/AAAH_HDpb8Qpck42Dkfw661Za?dl=0" TargetMode="External" /><Relationship Type="http://schemas.openxmlformats.org/officeDocument/2006/relationships/hyperlink" Id="rId361" Target="https://www.dropbox.com/sh/yhg7o7s6vlx0jha/AABM5so3BTahNcU7rUWsZHAGa?dl=0" TargetMode="External" /><Relationship Type="http://schemas.openxmlformats.org/officeDocument/2006/relationships/hyperlink" Id="rId360"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1" Target="https://ddp.evangelpresbytery.com" TargetMode="External" /><Relationship Type="http://schemas.openxmlformats.org/officeDocument/2006/relationships/hyperlink" Id="rId286" Target="https://ddp.evangelpresbytery.com/01-Declaration-of-Doctrine-on-Sexuality.html" TargetMode="External" /><Relationship Type="http://schemas.openxmlformats.org/officeDocument/2006/relationships/hyperlink" Id="rId277" Target="https://ddp.evangelpresbytery.com/01-Declaration-of-Doctrine-on-Sexuality.html#dds-01" TargetMode="External" /><Relationship Type="http://schemas.openxmlformats.org/officeDocument/2006/relationships/hyperlink" Id="rId287" Target="https://ddp.evangelpresbytery.com/01-Declaration-of-Doctrine-on-Sexuality.html#dds-05" TargetMode="External" /><Relationship Type="http://schemas.openxmlformats.org/officeDocument/2006/relationships/hyperlink" Id="rId288" Target="https://ddp.evangelpresbytery.com/01-Declaration-of-Doctrine-on-Sexuality.html#dds-06" TargetMode="External" /><Relationship Type="http://schemas.openxmlformats.org/officeDocument/2006/relationships/hyperlink" Id="rId280" Target="https://ddp.evangelpresbytery.com/01-Declaration-of-Doctrine-on-Sexuality.html#dds-07" TargetMode="External" /><Relationship Type="http://schemas.openxmlformats.org/officeDocument/2006/relationships/hyperlink" Id="rId289" Target="https://ddp.evangelpresbytery.com/01-Declaration-of-Doctrine-on-Sexuality.html#dds-08" TargetMode="External" /><Relationship Type="http://schemas.openxmlformats.org/officeDocument/2006/relationships/hyperlink" Id="rId278" Target="https://ddp.evangelpresbytery.com/01-Declaration-of-Doctrine-on-Sexuality.html#dds-10" TargetMode="External" /><Relationship Type="http://schemas.openxmlformats.org/officeDocument/2006/relationships/hyperlink" Id="rId283" Target="https://ddp.evangelpresbytery.com/01-Declaration-of-Doctrine-on-Sexuality.html#dds-13" TargetMode="External" /><Relationship Type="http://schemas.openxmlformats.org/officeDocument/2006/relationships/hyperlink" Id="rId27" Target="https://evangelpresbytery.com/westminster-confession-of-faith" TargetMode="External" /><Relationship Type="http://schemas.openxmlformats.org/officeDocument/2006/relationships/hyperlink" Id="rId178" Target="https://evangelpresbytery.com/westminster-confession-of-faith/#1.10" TargetMode="External" /><Relationship Type="http://schemas.openxmlformats.org/officeDocument/2006/relationships/hyperlink" Id="rId180" Target="https://evangelpresbytery.com/westminster-confession-of-faith/#31.3" TargetMode="External" /><Relationship Type="http://schemas.openxmlformats.org/officeDocument/2006/relationships/hyperlink" Id="rId29" Target="https://evangelpresbytery.com/westminster-larger-catechism" TargetMode="External" /><Relationship Type="http://schemas.openxmlformats.org/officeDocument/2006/relationships/hyperlink" Id="rId30" Target="https://evangelpresbytery.com/westminster-shorter-catechism" TargetMode="External" /><Relationship Type="http://schemas.openxmlformats.org/officeDocument/2006/relationships/hyperlink" Id="rId357" Target="https://github.com/Evangel-Presbytery/evangel-bco" TargetMode="External" /><Relationship Type="http://schemas.openxmlformats.org/officeDocument/2006/relationships/hyperlink" Id="rId359" Target="https://www.dropbox.com/sh/67fg23e5sksui6j/AAB6LRjZ2dld47gYz1G0jo-Fa?dl=0" TargetMode="External" /><Relationship Type="http://schemas.openxmlformats.org/officeDocument/2006/relationships/hyperlink" Id="rId362" Target="https://www.dropbox.com/sh/6e1mcd2n8vojvpv/AADWRZsciqNw1xteiuRA0lr3a?dl=0" TargetMode="External" /><Relationship Type="http://schemas.openxmlformats.org/officeDocument/2006/relationships/hyperlink" Id="rId358" Target="https://www.dropbox.com/sh/e5lszl09qec2wy0/AADMEzOS1C1Z7Ao4r4xyddHNa?dl=0" TargetMode="External" /><Relationship Type="http://schemas.openxmlformats.org/officeDocument/2006/relationships/hyperlink" Id="rId363" Target="https://www.dropbox.com/sh/w46pitp7sevpepk/AAAH_HDpb8Qpck42Dkfw661Za?dl=0" TargetMode="External" /><Relationship Type="http://schemas.openxmlformats.org/officeDocument/2006/relationships/hyperlink" Id="rId361" Target="https://www.dropbox.com/sh/yhg7o7s6vlx0jha/AABM5so3BTahNcU7rUWsZHAGa?dl=0" TargetMode="External" /><Relationship Type="http://schemas.openxmlformats.org/officeDocument/2006/relationships/hyperlink" Id="rId360"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2026-02-11T19:09:33Z</dcterms:created>
  <dcterms:modified xsi:type="dcterms:W3CDTF">2026-02-11T19:09:33Z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emplate-partials">
    <vt:lpwstr/>
  </property>
  <property fmtid="{D5CDD505-2E9C-101B-9397-08002B2CF9AE}" pid="11" name="toc-title">
    <vt:lpwstr>Table of contents</vt:lpwstr>
  </property>
</Properties>
</file>