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pStyle w:val="FirstParagraph"/>
      </w:pPr>
      <w:bookmarkStart w:id="133" w:name="anchor-29-1"/>
      <w:bookmarkEnd w:id="133"/>
    </w:p>
    <w:p>
      <w:pPr>
        <w:numPr>
          <w:ilvl w:val="0"/>
          <w:numId w:val="1070"/>
        </w:numPr>
      </w:pPr>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r>
        <w:t xml:space="preserve">39. The Removal of Censure</w:t>
      </w:r>
    </w:p>
    <w:p>
      <w:pPr>
        <w:pStyle w:val="FirstParagraph"/>
      </w:pPr>
      <w:bookmarkStart w:id="171" w:name="anchor-39"/>
      <w:bookmarkEnd w:id="171"/>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r>
        <w:t xml:space="preserve">41. Modes in Which the Proceedings of Lower Courts Come Under the Supervision of Higher Courts</w:t>
      </w:r>
    </w:p>
    <w:p>
      <w:pPr>
        <w:pStyle w:val="FirstParagraph"/>
      </w:pPr>
      <w:bookmarkStart w:id="176" w:name="anchor-41"/>
      <w:bookmarkEnd w:id="176"/>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r>
        <w:t xml:space="preserve">Preface to the Directory</w:t>
      </w:r>
    </w:p>
    <w:p>
      <w:pPr>
        <w:pStyle w:val="FirstParagraph"/>
      </w:pPr>
      <w:bookmarkStart w:id="199" w:name="anchor-dfw-preface"/>
      <w:bookmarkEnd w:id="199"/>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r>
        <w:t xml:space="preserve">49. God’s Institution of Public Worship</w:t>
      </w:r>
    </w:p>
    <w:p>
      <w:pPr>
        <w:pStyle w:val="FirstParagraph"/>
      </w:pPr>
      <w:bookmarkStart w:id="201" w:name="anchor-49"/>
      <w:bookmarkEnd w:id="201"/>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r>
        <w:t xml:space="preserve">50. The Nature of Public Worship</w:t>
      </w:r>
    </w:p>
    <w:p>
      <w:pPr>
        <w:pStyle w:val="FirstParagraph"/>
      </w:pPr>
      <w:bookmarkStart w:id="203" w:name="anchor-50"/>
      <w:bookmarkEnd w:id="203"/>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r>
        <w:t xml:space="preserve">51. The Parts of Public Worship</w:t>
      </w:r>
    </w:p>
    <w:p>
      <w:pPr>
        <w:pStyle w:val="FirstParagraph"/>
      </w:pPr>
      <w:bookmarkStart w:id="207" w:name="anchor-51"/>
      <w:bookmarkEnd w:id="207"/>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r>
        <w:t xml:space="preserve">52. The Oversight and Conduct of Public Worship</w:t>
      </w:r>
    </w:p>
    <w:p>
      <w:pPr>
        <w:pStyle w:val="FirstParagraph"/>
      </w:pPr>
      <w:bookmarkStart w:id="210" w:name="anchor-52"/>
      <w:bookmarkEnd w:id="210"/>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r>
        <w:t xml:space="preserve">53. Elements of Ordinary Public Worship—From God to the People</w:t>
      </w:r>
    </w:p>
    <w:p>
      <w:pPr>
        <w:pStyle w:val="FirstParagraph"/>
      </w:pPr>
      <w:bookmarkStart w:id="213" w:name="anchor-53"/>
      <w:bookmarkEnd w:id="213"/>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r>
        <w:t xml:space="preserve">54. Elements of Ordinary Public Worship—From the People to God</w:t>
      </w:r>
    </w:p>
    <w:p>
      <w:pPr>
        <w:pStyle w:val="FirstParagraph"/>
      </w:pPr>
      <w:bookmarkStart w:id="220" w:name="anchor-54"/>
      <w:bookmarkEnd w:id="220"/>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r>
        <w:t xml:space="preserve">56. The Baptism of Infants</w:t>
      </w:r>
    </w:p>
    <w:p>
      <w:pPr>
        <w:pStyle w:val="FirstParagraph"/>
      </w:pPr>
      <w:bookmarkStart w:id="225" w:name="anchor-56"/>
      <w:bookmarkEnd w:id="225"/>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r>
        <w:t xml:space="preserve">57. A Note on Infant Dedication</w:t>
      </w:r>
    </w:p>
    <w:p>
      <w:pPr>
        <w:pStyle w:val="FirstParagraph"/>
      </w:pPr>
      <w:bookmarkStart w:id="234" w:name="anchor-57"/>
      <w:bookmarkEnd w:id="234"/>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r>
        <w:t xml:space="preserve">58. The Baptism of Those Professing Faith</w:t>
      </w:r>
    </w:p>
    <w:p>
      <w:pPr>
        <w:pStyle w:val="FirstParagraph"/>
      </w:pPr>
      <w:bookmarkStart w:id="236" w:name="anchor-58"/>
      <w:bookmarkEnd w:id="236"/>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r>
        <w:t xml:space="preserve">59. The Lord’s Supper</w:t>
      </w:r>
    </w:p>
    <w:p>
      <w:pPr>
        <w:pStyle w:val="FirstParagraph"/>
      </w:pPr>
      <w:bookmarkStart w:id="238" w:name="anchor-59"/>
      <w:bookmarkEnd w:id="238"/>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r>
        <w:t xml:space="preserve">61. Reception into Full Communion of Non-communing Members by Profession of Faith</w:t>
      </w:r>
    </w:p>
    <w:p>
      <w:pPr>
        <w:pStyle w:val="FirstParagraph"/>
      </w:pPr>
      <w:bookmarkStart w:id="249" w:name="anchor-61"/>
      <w:bookmarkEnd w:id="249"/>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r>
        <w:t xml:space="preserve">62. Reception by Letter of Transfer from Another Church within Evangel Presbytery</w:t>
      </w:r>
    </w:p>
    <w:p>
      <w:pPr>
        <w:pStyle w:val="FirstParagraph"/>
      </w:pPr>
      <w:bookmarkStart w:id="252" w:name="anchor-62"/>
      <w:bookmarkEnd w:id="252"/>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r>
        <w:t xml:space="preserve">63. Reception by Letter of Transfer from Another Church of Like Faith and Practice</w:t>
      </w:r>
    </w:p>
    <w:p>
      <w:pPr>
        <w:pStyle w:val="FirstParagraph"/>
      </w:pPr>
      <w:bookmarkStart w:id="254" w:name="anchor-63"/>
      <w:bookmarkEnd w:id="254"/>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55" w:name="anchor-63-4"/>
      <w:bookmarkEnd w:id="255"/>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r>
        <w:t xml:space="preserve">64. Reception by Reaffirmation of Faith</w:t>
      </w:r>
    </w:p>
    <w:p>
      <w:pPr>
        <w:pStyle w:val="FirstParagraph"/>
      </w:pPr>
      <w:bookmarkStart w:id="257" w:name="anchor-64"/>
      <w:bookmarkEnd w:id="257"/>
    </w:p>
    <w:p>
      <w:pPr>
        <w:numPr>
          <w:ilvl w:val="0"/>
          <w:numId w:val="1154"/>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4"/>
        </w:numPr>
      </w:pPr>
      <w:r>
        <w:t xml:space="preserve">The minister shall then require the person to profess publicly his Christian faith by giving assent to these questions:</w:t>
      </w:r>
    </w:p>
    <w:p>
      <w:pPr>
        <w:pStyle w:val="Compact"/>
        <w:numPr>
          <w:ilvl w:val="1"/>
          <w:numId w:val="1155"/>
        </w:numPr>
      </w:pPr>
      <w:r>
        <w:t xml:space="preserve">Do you believe in God the Father Almighty, Maker of heaven and earth; and in Jesus Christ His only Son our Lord; and in the Holy Spirit, the Lord and Giver of life?</w:t>
      </w:r>
    </w:p>
    <w:p>
      <w:pPr>
        <w:pStyle w:val="Compact"/>
        <w:numPr>
          <w:ilvl w:val="1"/>
          <w:numId w:val="1155"/>
        </w:numPr>
      </w:pPr>
      <w:r>
        <w:t xml:space="preserve">Do you acknowledge yourself to be a sinner in the sight of God, justly deserving His wrath, and without hope apart from His sovereign mercy?</w:t>
      </w:r>
    </w:p>
    <w:p>
      <w:pPr>
        <w:pStyle w:val="Compact"/>
        <w:numPr>
          <w:ilvl w:val="1"/>
          <w:numId w:val="1155"/>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5"/>
        </w:numPr>
      </w:pPr>
      <w:r>
        <w:t xml:space="preserve">Do you believe in the Lord Jesus Christ as the Son of God, and Savior of sinners, and do you receive and rest upon Him alone for salvation as He is offered in the Gospel?</w:t>
      </w:r>
    </w:p>
    <w:p>
      <w:pPr>
        <w:pStyle w:val="Compact"/>
        <w:numPr>
          <w:ilvl w:val="1"/>
          <w:numId w:val="1155"/>
        </w:numPr>
      </w:pPr>
      <w:r>
        <w:t xml:space="preserve">Do you now resolve and promise, in humble reliance upon the grace of the Holy Spirit, that you will endeavor to live as a faithful follower of Christ?</w:t>
      </w:r>
    </w:p>
    <w:p>
      <w:pPr>
        <w:pStyle w:val="Compact"/>
        <w:numPr>
          <w:ilvl w:val="1"/>
          <w:numId w:val="1155"/>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4"/>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4"/>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6"/>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6"/>
        </w:numPr>
      </w:pPr>
      <w:r>
        <w:t xml:space="preserve">The minister shall then require the person to profess publicly his Christian faith by giving assent to these questions:</w:t>
      </w:r>
    </w:p>
    <w:p>
      <w:pPr>
        <w:pStyle w:val="Compact"/>
        <w:numPr>
          <w:ilvl w:val="1"/>
          <w:numId w:val="1157"/>
        </w:numPr>
      </w:pPr>
      <w:r>
        <w:t xml:space="preserve">Do you believe in God the Father Almighty, Maker of heaven and earth; and in Jesus Christ His only Son our Lord; and in the Holy Spirit, the Lord and Giver of life?</w:t>
      </w:r>
    </w:p>
    <w:p>
      <w:pPr>
        <w:pStyle w:val="Compact"/>
        <w:numPr>
          <w:ilvl w:val="1"/>
          <w:numId w:val="1157"/>
        </w:numPr>
      </w:pPr>
      <w:r>
        <w:t xml:space="preserve">Do you acknowledge yourself to be a sinner in the sight of God, justly deserving His wrath, and without hope apart from His sovereign mercy?</w:t>
      </w:r>
    </w:p>
    <w:p>
      <w:pPr>
        <w:pStyle w:val="Compact"/>
        <w:numPr>
          <w:ilvl w:val="1"/>
          <w:numId w:val="1157"/>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7"/>
        </w:numPr>
      </w:pPr>
      <w:r>
        <w:t xml:space="preserve">Do you believe in the Lord Jesus Christ as the Son of God, and Savior of sinners, and do you receive and rest upon Him alone for salvation as He is offered in the Gospel?</w:t>
      </w:r>
    </w:p>
    <w:p>
      <w:pPr>
        <w:pStyle w:val="Compact"/>
        <w:numPr>
          <w:ilvl w:val="1"/>
          <w:numId w:val="1157"/>
        </w:numPr>
      </w:pPr>
      <w:r>
        <w:t xml:space="preserve">Do you now resolve and promise, in humble reliance upon the grace of the Holy Spirit, that you will endeavor to live as a faithful follower of Christ?</w:t>
      </w:r>
    </w:p>
    <w:p>
      <w:pPr>
        <w:pStyle w:val="Compact"/>
        <w:numPr>
          <w:ilvl w:val="1"/>
          <w:numId w:val="1157"/>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pStyle w:val="FirstParagraph"/>
      </w:pPr>
      <w:bookmarkStart w:id="259" w:name="anchor-65-3"/>
      <w:bookmarkEnd w:id="259"/>
    </w:p>
    <w:p>
      <w:pPr>
        <w:numPr>
          <w:ilvl w:val="0"/>
          <w:numId w:val="1158"/>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60" w:name="anchor-65-4"/>
      <w:bookmarkEnd w:id="260"/>
    </w:p>
    <w:p>
      <w:pPr>
        <w:numPr>
          <w:ilvl w:val="0"/>
          <w:numId w:val="1159"/>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r>
        <w:t xml:space="preserve">66. Other Occasions of Public Worship</w:t>
      </w:r>
    </w:p>
    <w:p>
      <w:pPr>
        <w:pStyle w:val="FirstParagraph"/>
      </w:pPr>
      <w:bookmarkStart w:id="262" w:name="anchor-66"/>
      <w:bookmarkEnd w:id="262"/>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r>
        <w:t xml:space="preserve">67. Prayer Meetings</w:t>
      </w:r>
    </w:p>
    <w:p>
      <w:pPr>
        <w:pStyle w:val="FirstParagraph"/>
      </w:pPr>
      <w:bookmarkStart w:id="264" w:name="anchor-67"/>
      <w:bookmarkEnd w:id="264"/>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r>
        <w:t xml:space="preserve">68. Prayer and Fasting</w:t>
      </w:r>
    </w:p>
    <w:p>
      <w:pPr>
        <w:numPr>
          <w:ilvl w:val="0"/>
          <w:numId w:val="1160"/>
        </w:numPr>
      </w:pPr>
      <w:bookmarkStart w:id="266" w:name="anchor-68"/>
      <w:bookmarkEnd w:id="266"/>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60"/>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60"/>
        </w:numPr>
      </w:pPr>
      <w:r>
        <w:t xml:space="preserve">Public notice is to be given before the time of prayer and fasting comes, to enable persons to order their temporal affairs so that they can participate.</w:t>
      </w:r>
    </w:p>
    <w:p>
      <w:pPr>
        <w:numPr>
          <w:ilvl w:val="0"/>
          <w:numId w:val="1160"/>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61"/>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61"/>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61"/>
        </w:numPr>
      </w:pPr>
      <w:r>
        <w:t xml:space="preserve">Public notice is to be given before the day of thanksgiving comes, to enable persons to order their temporal affairs so that they can participate.</w:t>
      </w:r>
    </w:p>
    <w:p>
      <w:pPr>
        <w:numPr>
          <w:ilvl w:val="0"/>
          <w:numId w:val="1161"/>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62"/>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62"/>
        </w:numPr>
      </w:pPr>
      <w:r>
        <w:t xml:space="preserve">Such a gathering is no substitute for the public worship of the local church on the Lord’s Day.</w:t>
      </w:r>
    </w:p>
    <w:p>
      <w:pPr>
        <w:numPr>
          <w:ilvl w:val="0"/>
          <w:numId w:val="1162"/>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3"/>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4"/>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4"/>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5"/>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6"/>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7"/>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7"/>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7"/>
        </w:numPr>
      </w:pPr>
      <w:r>
        <w:t xml:space="preserve">Parents should neither compel their children to marry contrary to their will, nor deny their consent without just and significant reasons.</w:t>
      </w:r>
    </w:p>
    <w:p>
      <w:pPr>
        <w:numPr>
          <w:ilvl w:val="0"/>
          <w:numId w:val="1167"/>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8"/>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r>
        <w:t xml:space="preserve">72. Other Policies Related to Biblical Sexuality</w:t>
      </w:r>
    </w:p>
    <w:p>
      <w:pPr>
        <w:pStyle w:val="FirstParagraph"/>
      </w:pPr>
      <w:bookmarkStart w:id="285" w:name="anchor-72"/>
      <w:bookmarkEnd w:id="285"/>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9"/>
        </w:numPr>
      </w:pPr>
      <w:r>
        <w:t xml:space="preserve">Participation in any program or activity that is limited to men and/or boys (e.g., a men’s Bible study or a men’s retreat) shall be exclusively limited to males.</w:t>
      </w:r>
    </w:p>
    <w:p>
      <w:pPr>
        <w:numPr>
          <w:ilvl w:val="0"/>
          <w:numId w:val="1169"/>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9"/>
        </w:numPr>
      </w:pPr>
      <w:r>
        <w:t xml:space="preserve">Access to facilities that are designated for use by men (e.g., a men’s restroom) shall be exclusively limited to males.</w:t>
      </w:r>
    </w:p>
    <w:p>
      <w:pPr>
        <w:numPr>
          <w:ilvl w:val="0"/>
          <w:numId w:val="1169"/>
        </w:numPr>
      </w:pPr>
      <w:r>
        <w:t xml:space="preserve">Access to facilities that are designated for use by women (e.g., a women’s restroom or nursing/cry room, etc.) shall be exclusively limited to females.</w:t>
      </w:r>
    </w:p>
    <w:p>
      <w:pPr>
        <w:numPr>
          <w:ilvl w:val="0"/>
          <w:numId w:val="1169"/>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70"/>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71"/>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71"/>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72"/>
        </w:numPr>
      </w:pPr>
      <w:bookmarkStart w:id="294" w:name="anchor-74"/>
      <w:bookmarkEnd w:id="294"/>
      <w:r>
        <w:t xml:space="preserve">In addition to public worship, it is the duty of each person in private, and of every family in private, to worship God.</w:t>
      </w:r>
    </w:p>
    <w:p>
      <w:pPr>
        <w:numPr>
          <w:ilvl w:val="0"/>
          <w:numId w:val="1172"/>
        </w:numPr>
      </w:pPr>
      <w:r>
        <w:t xml:space="preserve">Private worship is commanded by our Lord. In this duty everyone, should spend some time in prayer, reading the Scriptures, holy meditation, and serious self-examination.</w:t>
      </w:r>
    </w:p>
    <w:p>
      <w:pPr>
        <w:numPr>
          <w:ilvl w:val="0"/>
          <w:numId w:val="1172"/>
        </w:numPr>
      </w:pPr>
      <w:r>
        <w:t xml:space="preserve">Family worship, which should be observed by every family, should consist in prayer, reading the Scriptures, and singing praises, even if briefly.</w:t>
      </w:r>
    </w:p>
    <w:p>
      <w:pPr>
        <w:numPr>
          <w:ilvl w:val="0"/>
          <w:numId w:val="1172"/>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72"/>
        </w:numPr>
      </w:pPr>
      <w:r>
        <w:t xml:space="preserve">Parents should set an example of piety and consistent living before the family. The Lord’s Day should be sanctified and left free for worship, rest, and works of mercy.</w:t>
      </w:r>
    </w:p>
    <w:p>
      <w:pPr>
        <w:numPr>
          <w:ilvl w:val="0"/>
          <w:numId w:val="1172"/>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r>
        <w:t xml:space="preserve">75. Suggested Form for the Solemnization of Marriage</w:t>
      </w:r>
    </w:p>
    <w:p>
      <w:pPr>
        <w:pStyle w:val="FirstParagraph"/>
      </w:pPr>
      <w:bookmarkStart w:id="296" w:name="anchor-75"/>
      <w:bookmarkEnd w:id="296"/>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r>
        <w:t xml:space="preserve">76. Suggested Form for a Funeral</w:t>
      </w:r>
    </w:p>
    <w:p>
      <w:pPr>
        <w:pStyle w:val="FirstParagraph"/>
      </w:pPr>
      <w:bookmarkStart w:id="299" w:name="anchor-76"/>
      <w:bookmarkEnd w:id="299"/>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r>
        <w:t xml:space="preserve">77. Suggested Form for a Child’s Funeral</w:t>
      </w:r>
    </w:p>
    <w:p>
      <w:pPr>
        <w:pStyle w:val="FirstParagraph"/>
      </w:pPr>
      <w:bookmarkStart w:id="307" w:name="anchor-77"/>
      <w:bookmarkEnd w:id="307"/>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r>
        <w:t xml:space="preserve">78. Suggested Form for a Graveside Committal Service</w:t>
      </w:r>
    </w:p>
    <w:p>
      <w:pPr>
        <w:pStyle w:val="FirstParagraph"/>
      </w:pPr>
      <w:bookmarkStart w:id="315" w:name="anchor-78"/>
      <w:bookmarkEnd w:id="315"/>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r>
        <w:t xml:space="preserve">79. Suggested Form for Infant Dedication</w:t>
      </w:r>
    </w:p>
    <w:p>
      <w:pPr>
        <w:pStyle w:val="FirstParagraph"/>
      </w:pPr>
      <w:bookmarkStart w:id="317" w:name="anchor-79"/>
      <w:bookmarkEnd w:id="317"/>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r>
        <w:t xml:space="preserve">80. The Creeds</w:t>
      </w:r>
    </w:p>
    <w:p>
      <w:pPr>
        <w:pStyle w:val="FirstParagraph"/>
      </w:pPr>
      <w:bookmarkStart w:id="321" w:name="anchor-80"/>
      <w:bookmarkEnd w:id="321"/>
    </w:p>
    <w:bookmarkStart w:id="329" w:name="the-apostles-creed"/>
    <w:p>
      <w:pPr>
        <w:pStyle w:val="Heading3"/>
      </w:pPr>
      <w:r>
        <w:t xml:space="preserve">1.</w:t>
      </w:r>
      <w:r>
        <w:t xml:space="preserve"> </w:t>
      </w:r>
      <w:r>
        <w:rPr>
          <w:b/>
          <w:bCs/>
        </w:rPr>
        <w:t xml:space="preserve">The Apostles’ Creed</w:t>
      </w:r>
    </w:p>
    <w:p>
      <w:pPr>
        <w:pStyle w:val="FirstParagraph"/>
      </w:pPr>
      <w:bookmarkStart w:id="322" w:name="the-apostles-creed"/>
      <w:bookmarkEnd w:id="322"/>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r>
        <w:t xml:space="preserve">2.</w:t>
      </w:r>
      <w:r>
        <w:t xml:space="preserve"> </w:t>
      </w:r>
      <w:r>
        <w:rPr>
          <w:b/>
          <w:bCs/>
        </w:rPr>
        <w:t xml:space="preserve">The Nicene Creed</w:t>
      </w:r>
    </w:p>
    <w:p>
      <w:pPr>
        <w:pStyle w:val="FirstParagraph"/>
      </w:pPr>
      <w:bookmarkStart w:id="330" w:name="the-nicene-creed"/>
      <w:bookmarkEnd w:id="330"/>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r>
        <w:t xml:space="preserve">3.</w:t>
      </w:r>
      <w:r>
        <w:t xml:space="preserve"> </w:t>
      </w:r>
      <w:r>
        <w:rPr>
          <w:b/>
          <w:bCs/>
        </w:rPr>
        <w:t xml:space="preserve">The Athanasian Creed</w:t>
      </w:r>
    </w:p>
    <w:p>
      <w:pPr>
        <w:pStyle w:val="FirstParagraph"/>
      </w:pPr>
      <w:bookmarkStart w:id="334" w:name="the-athanasian-creed"/>
      <w:bookmarkEnd w:id="334"/>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r>
        <w:t xml:space="preserve">4.</w:t>
      </w:r>
      <w:r>
        <w:t xml:space="preserve"> </w:t>
      </w:r>
      <w:r>
        <w:rPr>
          <w:b/>
          <w:bCs/>
        </w:rPr>
        <w:t xml:space="preserve">The Chalcedonian Creed</w:t>
      </w:r>
    </w:p>
    <w:p>
      <w:pPr>
        <w:pStyle w:val="FirstParagraph"/>
      </w:pPr>
      <w:bookmarkStart w:id="337" w:name="the-chalcedonian-creed"/>
      <w:bookmarkEnd w:id="337"/>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3"/>
        </w:numPr>
      </w:pPr>
      <w:r>
        <w:rPr>
          <w:b/>
          <w:bCs/>
        </w:rPr>
        <w:t xml:space="preserve">Current version:</w:t>
      </w:r>
    </w:p>
    <w:p>
      <w:pPr>
        <w:pStyle w:val="Compact"/>
        <w:numPr>
          <w:ilvl w:val="0"/>
          <w:numId w:val="1173"/>
        </w:numPr>
      </w:pPr>
      <w:r>
        <w:t xml:space="preserve">Amendment to BCO 26.1 regarding the notice required before congregational meetings. Ratified at the February 6, 2025 meeting of Presbytery.</w:t>
      </w:r>
    </w:p>
    <w:p>
      <w:pPr>
        <w:pStyle w:val="Compact"/>
        <w:numPr>
          <w:ilvl w:val="0"/>
          <w:numId w:val="1173"/>
        </w:numPr>
      </w:pPr>
      <w:r>
        <w:t xml:space="preserve">Amendment to BCO 15.10 regarding special called meetings. Ratified at the June 6, 2024 meeting of Presbytery.</w:t>
      </w:r>
    </w:p>
    <w:p>
      <w:pPr>
        <w:pStyle w:val="Compact"/>
        <w:numPr>
          <w:ilvl w:val="0"/>
          <w:numId w:val="1173"/>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3"/>
        </w:numPr>
      </w:pPr>
      <w:r>
        <w:t xml:space="preserve">Amendments to BCO 61.4 (regarding fencing the Lord’s table) and BCO 61.1 (regarding paedocommunion) ratified at the June 2023 meeting of Presbytery.</w:t>
      </w:r>
    </w:p>
    <w:p>
      <w:pPr>
        <w:pStyle w:val="Compact"/>
        <w:numPr>
          <w:ilvl w:val="0"/>
          <w:numId w:val="1173"/>
        </w:numPr>
      </w:pPr>
      <w:r>
        <w:t xml:space="preserve">Amendments to BCO 14, 24 and 64, ratified at the October 2022 meeting of Presbytery.</w:t>
      </w:r>
    </w:p>
    <w:p>
      <w:pPr>
        <w:pStyle w:val="Compact"/>
        <w:numPr>
          <w:ilvl w:val="0"/>
          <w:numId w:val="1173"/>
        </w:numPr>
      </w:pPr>
      <w:r>
        <w:t xml:space="preserve">Migrated from Pressbooks to Bookdown hosted on Github pages.</w:t>
      </w:r>
    </w:p>
    <w:p>
      <w:pPr>
        <w:pStyle w:val="Compact"/>
        <w:numPr>
          <w:ilvl w:val="0"/>
          <w:numId w:val="1173"/>
        </w:numPr>
      </w:pPr>
      <w:hyperlink r:id="rId358">
        <w:r>
          <w:rPr>
            <w:rStyle w:val="Hyperlink"/>
          </w:rPr>
          <w:t xml:space="preserve">Hot Fix December 10, 2021</w:t>
        </w:r>
      </w:hyperlink>
    </w:p>
    <w:p>
      <w:pPr>
        <w:pStyle w:val="Compact"/>
        <w:numPr>
          <w:ilvl w:val="1"/>
          <w:numId w:val="1174"/>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3"/>
        </w:numPr>
      </w:pPr>
      <w:hyperlink r:id="rId359">
        <w:r>
          <w:rPr>
            <w:rStyle w:val="Hyperlink"/>
          </w:rPr>
          <w:t xml:space="preserve">Amended October 8, 2021</w:t>
        </w:r>
      </w:hyperlink>
    </w:p>
    <w:p>
      <w:pPr>
        <w:pStyle w:val="Compact"/>
        <w:numPr>
          <w:ilvl w:val="0"/>
          <w:numId w:val="1173"/>
        </w:numPr>
      </w:pPr>
      <w:hyperlink r:id="rId360">
        <w:r>
          <w:rPr>
            <w:rStyle w:val="Hyperlink"/>
          </w:rPr>
          <w:t xml:space="preserve">Amended June 3, 2021</w:t>
        </w:r>
      </w:hyperlink>
    </w:p>
    <w:p>
      <w:pPr>
        <w:pStyle w:val="Compact"/>
        <w:numPr>
          <w:ilvl w:val="0"/>
          <w:numId w:val="1173"/>
        </w:numPr>
      </w:pPr>
      <w:hyperlink r:id="rId361">
        <w:r>
          <w:rPr>
            <w:rStyle w:val="Hyperlink"/>
          </w:rPr>
          <w:t xml:space="preserve">Amended on October 31, 2019</w:t>
        </w:r>
      </w:hyperlink>
    </w:p>
    <w:p>
      <w:pPr>
        <w:pStyle w:val="Compact"/>
        <w:numPr>
          <w:ilvl w:val="0"/>
          <w:numId w:val="1173"/>
        </w:numPr>
      </w:pPr>
      <w:hyperlink r:id="rId362">
        <w:r>
          <w:rPr>
            <w:rStyle w:val="Hyperlink"/>
          </w:rPr>
          <w:t xml:space="preserve">Amended on June 6, 2019</w:t>
        </w:r>
      </w:hyperlink>
    </w:p>
    <w:p>
      <w:pPr>
        <w:pStyle w:val="Compact"/>
        <w:numPr>
          <w:ilvl w:val="0"/>
          <w:numId w:val="1173"/>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2026-02-11T19:44:22Z</dcterms:created>
  <dcterms:modified xsi:type="dcterms:W3CDTF">2026-02-11T19:44:22Z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