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3"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2" w:name="c.-constitution-defined"/>
    <w:p>
      <w:pPr>
        <w:pStyle w:val="Heading2"/>
      </w:pPr>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7">
        <w:r>
          <w:rPr>
            <w:rStyle w:val="Hyperlink"/>
          </w:rPr>
          <w:t xml:space="preserve">Westminster Confession of Faith</w:t>
        </w:r>
      </w:hyperlink>
      <w:r>
        <w:t xml:space="preserve">,</w:t>
      </w:r>
      <w:r>
        <w:rPr>
          <w:rStyle w:val="FootnoteReference"/>
        </w:rPr>
        <w:footnoteReference w:id="28"/>
      </w:r>
      <w:r>
        <w:t xml:space="preserve"> </w:t>
      </w:r>
      <w:r>
        <w:t xml:space="preserve">together with the</w:t>
      </w:r>
      <w:r>
        <w:t xml:space="preserve"> </w:t>
      </w:r>
      <w:hyperlink r:id="rId29">
        <w:r>
          <w:rPr>
            <w:rStyle w:val="Hyperlink"/>
          </w:rPr>
          <w:t xml:space="preserve">Larger</w:t>
        </w:r>
      </w:hyperlink>
      <w:r>
        <w:t xml:space="preserve"> </w:t>
      </w:r>
      <w:r>
        <w:t xml:space="preserve">and</w:t>
      </w:r>
      <w:r>
        <w:t xml:space="preserve"> </w:t>
      </w:r>
      <w:hyperlink r:id="rId30">
        <w:r>
          <w:rPr>
            <w:rStyle w:val="Hyperlink"/>
          </w:rPr>
          <w:t xml:space="preserve">Shorter</w:t>
        </w:r>
      </w:hyperlink>
      <w:r>
        <w:t xml:space="preserve"> </w:t>
      </w:r>
      <w:r>
        <w:t xml:space="preserve">Catechisms; the</w:t>
      </w:r>
      <w:r>
        <w:t xml:space="preserve"> </w:t>
      </w:r>
      <w:hyperlink r:id="rId31">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2"/>
    <w:bookmarkEnd w:id="33"/>
    <w:bookmarkStart w:id="132" w:name="form-of-government"/>
    <w:p>
      <w:pPr>
        <w:pStyle w:val="Heading1"/>
      </w:pPr>
      <w:r>
        <w:t xml:space="preserve">Form of Government</w:t>
      </w:r>
    </w:p>
    <w:bookmarkStart w:id="37" w:name="the-doctrine-of-church-government"/>
    <w:p>
      <w:pPr>
        <w:pStyle w:val="Heading2"/>
      </w:pPr>
      <w:bookmarkStart w:id="34" w:name="anchor-part-main-body-2"/>
      <w:bookmarkEnd w:id="34"/>
      <w:r>
        <w:t xml:space="preserve">1. The Doctrine of Church Government</w:t>
      </w:r>
    </w:p>
    <w:p>
      <w:pPr>
        <w:numPr>
          <w:ilvl w:val="0"/>
          <w:numId w:val="1003"/>
        </w:numPr>
      </w:pPr>
      <w:bookmarkStart w:id="35" w:name="anchor-1"/>
      <w:bookmarkEnd w:id="35"/>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6" w:name="anchor-1-3"/>
      <w:bookmarkEnd w:id="36"/>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7"/>
    <w:bookmarkStart w:id="39" w:name="the-king-and-head-of-the-church"/>
    <w:p>
      <w:pPr>
        <w:pStyle w:val="Heading2"/>
      </w:pPr>
      <w:r>
        <w:t xml:space="preserve">2. The King and Head of the Church</w:t>
      </w:r>
    </w:p>
    <w:p>
      <w:pPr>
        <w:numPr>
          <w:ilvl w:val="0"/>
          <w:numId w:val="1004"/>
        </w:numPr>
      </w:pPr>
      <w:bookmarkStart w:id="38" w:name="anchor-2"/>
      <w:bookmarkEnd w:id="38"/>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39"/>
    <w:bookmarkStart w:id="42" w:name="the-visible-church-defined"/>
    <w:p>
      <w:pPr>
        <w:pStyle w:val="Heading2"/>
      </w:pPr>
      <w:r>
        <w:t xml:space="preserve">3. The Visible Church Defined</w:t>
      </w:r>
    </w:p>
    <w:p>
      <w:pPr>
        <w:numPr>
          <w:ilvl w:val="0"/>
          <w:numId w:val="1005"/>
        </w:numPr>
      </w:pPr>
      <w:bookmarkStart w:id="40" w:name="anchor-3"/>
      <w:bookmarkEnd w:id="40"/>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1" w:name="anchor-3-2"/>
      <w:bookmarkEnd w:id="41"/>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2"/>
    <w:bookmarkStart w:id="45" w:name="the-nature-and-extent-of-church-power"/>
    <w:p>
      <w:pPr>
        <w:pStyle w:val="Heading2"/>
      </w:pPr>
      <w:r>
        <w:t xml:space="preserve">4. The Nature and Extent of Church Power</w:t>
      </w:r>
    </w:p>
    <w:p>
      <w:pPr>
        <w:numPr>
          <w:ilvl w:val="0"/>
          <w:numId w:val="1006"/>
        </w:numPr>
      </w:pPr>
      <w:bookmarkStart w:id="43" w:name="anchor-4"/>
      <w:bookmarkEnd w:id="43"/>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4"/>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5"/>
    <w:bookmarkStart w:id="47" w:name="the-particular-church"/>
    <w:p>
      <w:pPr>
        <w:pStyle w:val="Heading2"/>
      </w:pPr>
      <w:r>
        <w:t xml:space="preserve">5. The Particular Church</w:t>
      </w:r>
    </w:p>
    <w:p>
      <w:pPr>
        <w:numPr>
          <w:ilvl w:val="0"/>
          <w:numId w:val="1007"/>
        </w:numPr>
      </w:pPr>
      <w:bookmarkStart w:id="46" w:name="anchor-5-1"/>
      <w:bookmarkEnd w:id="46"/>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7"/>
    <w:bookmarkStart w:id="51" w:name="the-organization-of-a-particular-church"/>
    <w:p>
      <w:pPr>
        <w:pStyle w:val="Heading2"/>
      </w:pPr>
      <w:bookmarkStart w:id="48" w:name="anchor-6"/>
      <w:bookmarkEnd w:id="48"/>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49" w:name="anchor-6-1-c"/>
      <w:bookmarkEnd w:id="49"/>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0" w:name="anchor-6-1-d"/>
      <w:bookmarkEnd w:id="50"/>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1"/>
    <w:bookmarkStart w:id="53" w:name="church-members"/>
    <w:p>
      <w:pPr>
        <w:pStyle w:val="Heading2"/>
      </w:pPr>
      <w:bookmarkStart w:id="52" w:name="anchor-7"/>
      <w:bookmarkEnd w:id="52"/>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3"/>
    <w:bookmarkStart w:id="55" w:name="church-officersgeneral-classification"/>
    <w:p>
      <w:pPr>
        <w:pStyle w:val="Heading2"/>
      </w:pPr>
      <w:bookmarkStart w:id="54" w:name="anchor-8"/>
      <w:bookmarkEnd w:id="54"/>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5"/>
    <w:bookmarkStart w:id="58" w:name="the-minister-of-the-word"/>
    <w:p>
      <w:pPr>
        <w:pStyle w:val="Heading2"/>
      </w:pPr>
      <w:r>
        <w:t xml:space="preserve">9. The Minister of the Word</w:t>
      </w:r>
    </w:p>
    <w:p>
      <w:pPr>
        <w:numPr>
          <w:ilvl w:val="0"/>
          <w:numId w:val="1020"/>
        </w:numPr>
      </w:pPr>
      <w:bookmarkStart w:id="56" w:name="anchor-9"/>
      <w:bookmarkEnd w:id="56"/>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7" w:name="anchor-9-6"/>
      <w:bookmarkEnd w:id="57"/>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8"/>
    <w:bookmarkStart w:id="60" w:name="the-ruling-elder"/>
    <w:p>
      <w:pPr>
        <w:pStyle w:val="Heading2"/>
      </w:pPr>
      <w:r>
        <w:t xml:space="preserve">10. The Ruling Elder</w:t>
      </w:r>
    </w:p>
    <w:p>
      <w:pPr>
        <w:numPr>
          <w:ilvl w:val="0"/>
          <w:numId w:val="1021"/>
        </w:numPr>
      </w:pPr>
      <w:bookmarkStart w:id="59" w:name="anchor-10"/>
      <w:bookmarkEnd w:id="59"/>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0"/>
    <w:bookmarkStart w:id="62" w:name="the-deacon"/>
    <w:p>
      <w:pPr>
        <w:pStyle w:val="Heading2"/>
      </w:pPr>
      <w:r>
        <w:t xml:space="preserve">11. The Deacon</w:t>
      </w:r>
    </w:p>
    <w:p>
      <w:pPr>
        <w:numPr>
          <w:ilvl w:val="0"/>
          <w:numId w:val="1022"/>
        </w:numPr>
      </w:pPr>
      <w:bookmarkStart w:id="61" w:name="anchor-11"/>
      <w:bookmarkEnd w:id="61"/>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2"/>
    <w:bookmarkStart w:id="64" w:name="church-courtsin-general"/>
    <w:p>
      <w:pPr>
        <w:pStyle w:val="Heading2"/>
      </w:pPr>
      <w:r>
        <w:t xml:space="preserve">12. Church Courts—In General</w:t>
      </w:r>
    </w:p>
    <w:p>
      <w:pPr>
        <w:numPr>
          <w:ilvl w:val="0"/>
          <w:numId w:val="1023"/>
        </w:numPr>
      </w:pPr>
      <w:bookmarkStart w:id="63" w:name="anchor-12"/>
      <w:bookmarkEnd w:id="63"/>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4"/>
    <w:bookmarkStart w:id="66" w:name="jurisdiction-of-church-courts"/>
    <w:p>
      <w:pPr>
        <w:pStyle w:val="Heading2"/>
      </w:pPr>
      <w:r>
        <w:t xml:space="preserve">13. Jurisdiction of Church Courts</w:t>
      </w:r>
    </w:p>
    <w:p>
      <w:pPr>
        <w:numPr>
          <w:ilvl w:val="0"/>
          <w:numId w:val="1024"/>
        </w:numPr>
      </w:pPr>
      <w:bookmarkStart w:id="65" w:name="anchor-13"/>
      <w:bookmarkEnd w:id="65"/>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6"/>
    <w:bookmarkStart w:id="70" w:name="the-church-session"/>
    <w:p>
      <w:pPr>
        <w:pStyle w:val="Heading2"/>
      </w:pPr>
      <w:r>
        <w:t xml:space="preserve">14. The Church Session</w:t>
      </w:r>
    </w:p>
    <w:p>
      <w:pPr>
        <w:numPr>
          <w:ilvl w:val="0"/>
          <w:numId w:val="1025"/>
        </w:numPr>
      </w:pPr>
      <w:bookmarkStart w:id="67" w:name="anchor-14"/>
      <w:bookmarkEnd w:id="67"/>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8" w:name="anchor-14-4"/>
      <w:bookmarkEnd w:id="68"/>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69" w:name="anchor-14-5"/>
      <w:bookmarkEnd w:id="69"/>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0"/>
    <w:bookmarkStart w:id="77" w:name="the-presbytery"/>
    <w:p>
      <w:pPr>
        <w:pStyle w:val="Heading2"/>
      </w:pPr>
      <w:bookmarkStart w:id="71" w:name="anchor-15"/>
      <w:bookmarkEnd w:id="71"/>
      <w:r>
        <w:t xml:space="preserve">15. The Presbytery</w:t>
      </w:r>
    </w:p>
    <w:p>
      <w:pPr>
        <w:numPr>
          <w:ilvl w:val="0"/>
          <w:numId w:val="1026"/>
        </w:numPr>
      </w:pPr>
      <w:bookmarkStart w:id="72" w:name="anchor-15-1"/>
      <w:bookmarkEnd w:id="72"/>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3" w:name="anchor-15-2"/>
      <w:bookmarkEnd w:id="73"/>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4" w:name="anchor-15-7"/>
      <w:bookmarkEnd w:id="74"/>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5" w:name="anchor-15-8"/>
      <w:bookmarkEnd w:id="75"/>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6" w:name="anchor-15-9"/>
      <w:bookmarkEnd w:id="76"/>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7"/>
    <w:bookmarkStart w:id="79" w:name="provisions-concerning-baptism"/>
    <w:p>
      <w:pPr>
        <w:pStyle w:val="Heading2"/>
      </w:pPr>
      <w:bookmarkStart w:id="78" w:name="anchor-16"/>
      <w:bookmarkEnd w:id="78"/>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79"/>
    <w:bookmarkStart w:id="81" w:name="ecclesiastical-commissions"/>
    <w:p>
      <w:pPr>
        <w:pStyle w:val="Heading2"/>
      </w:pPr>
      <w:r>
        <w:t xml:space="preserve">17. Ecclesiastical Commissions</w:t>
      </w:r>
    </w:p>
    <w:p>
      <w:pPr>
        <w:numPr>
          <w:ilvl w:val="0"/>
          <w:numId w:val="1032"/>
        </w:numPr>
      </w:pPr>
      <w:bookmarkStart w:id="80" w:name="anchor-17-1"/>
      <w:bookmarkEnd w:id="80"/>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1"/>
    <w:bookmarkStart w:id="83" w:name="church-ordersthe-doctrine-of-vocation"/>
    <w:p>
      <w:pPr>
        <w:pStyle w:val="Heading2"/>
      </w:pPr>
      <w:r>
        <w:t xml:space="preserve">18. Church Orders—The Doctrine of Vocation</w:t>
      </w:r>
    </w:p>
    <w:p>
      <w:pPr>
        <w:numPr>
          <w:ilvl w:val="0"/>
          <w:numId w:val="1033"/>
        </w:numPr>
      </w:pPr>
      <w:bookmarkStart w:id="82" w:name="anchor-18"/>
      <w:bookmarkEnd w:id="82"/>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3"/>
    <w:bookmarkStart w:id="85" w:name="the-doctrine-of-ordination"/>
    <w:p>
      <w:pPr>
        <w:pStyle w:val="Heading2"/>
      </w:pPr>
      <w:r>
        <w:t xml:space="preserve">19. The Doctrine of Ordination</w:t>
      </w:r>
    </w:p>
    <w:p>
      <w:pPr>
        <w:numPr>
          <w:ilvl w:val="0"/>
          <w:numId w:val="1034"/>
        </w:numPr>
      </w:pPr>
      <w:bookmarkStart w:id="84" w:name="anchor-19"/>
      <w:bookmarkEnd w:id="84"/>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5"/>
    <w:bookmarkStart w:id="88" w:name="candidates-for-the-gospel-ministry"/>
    <w:p>
      <w:pPr>
        <w:pStyle w:val="Heading2"/>
      </w:pPr>
      <w:r>
        <w:t xml:space="preserve">20. Candidates for the Gospel Ministry</w:t>
      </w:r>
    </w:p>
    <w:p>
      <w:pPr>
        <w:numPr>
          <w:ilvl w:val="0"/>
          <w:numId w:val="1035"/>
        </w:numPr>
      </w:pPr>
      <w:bookmarkStart w:id="86" w:name="anchor-20"/>
      <w:bookmarkEnd w:id="86"/>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7" w:name="anchor-20-2"/>
      <w:bookmarkEnd w:id="87"/>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88"/>
    <w:bookmarkStart w:id="92" w:name="Xc16786448ba2822a3f5bda559efa4a480045ec4"/>
    <w:p>
      <w:pPr>
        <w:pStyle w:val="Heading2"/>
      </w:pPr>
      <w:r>
        <w:t xml:space="preserve">21. The Licensure of Candidates for the Gospel Ministry</w:t>
      </w:r>
    </w:p>
    <w:p>
      <w:pPr>
        <w:numPr>
          <w:ilvl w:val="0"/>
          <w:numId w:val="1037"/>
        </w:numPr>
      </w:pPr>
      <w:bookmarkStart w:id="89" w:name="anchor-21"/>
      <w:bookmarkEnd w:id="89"/>
      <w:bookmarkStart w:id="90" w:name="anchor-21-1"/>
      <w:bookmarkEnd w:id="90"/>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1" w:name="anchor-21-2"/>
      <w:bookmarkEnd w:id="91"/>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2"/>
    <w:bookmarkStart w:id="96" w:name="the-election-of-pastors"/>
    <w:p>
      <w:pPr>
        <w:pStyle w:val="Heading2"/>
      </w:pPr>
      <w:bookmarkStart w:id="93" w:name="anchor-22"/>
      <w:bookmarkEnd w:id="93"/>
      <w:r>
        <w:t xml:space="preserve">22. The Election of Pastors</w:t>
      </w:r>
    </w:p>
    <w:p>
      <w:pPr>
        <w:numPr>
          <w:ilvl w:val="0"/>
          <w:numId w:val="1041"/>
        </w:numPr>
      </w:pPr>
      <w:bookmarkStart w:id="94" w:name="anchor-22-1"/>
      <w:bookmarkEnd w:id="94"/>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5" w:name="anchor-22-6"/>
      <w:bookmarkEnd w:id="95"/>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6"/>
    <w:bookmarkStart w:id="109" w:name="X70c76f40dc92afb0fec3b05285ed533799e2baf"/>
    <w:p>
      <w:pPr>
        <w:pStyle w:val="Heading2"/>
      </w:pPr>
      <w:r>
        <w:t xml:space="preserve">23. The Ordination and Installation of Ministers</w:t>
      </w:r>
    </w:p>
    <w:p>
      <w:pPr>
        <w:numPr>
          <w:ilvl w:val="0"/>
          <w:numId w:val="1042"/>
        </w:numPr>
      </w:pPr>
      <w:bookmarkStart w:id="97" w:name="anchor-23"/>
      <w:bookmarkEnd w:id="97"/>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98" w:name="anchor-23-4"/>
      <w:bookmarkEnd w:id="98"/>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99" w:name="anchor-23-4-e"/>
      <w:bookmarkEnd w:id="99"/>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0" w:name="anchor-23-4-f"/>
      <w:bookmarkEnd w:id="100"/>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1" w:name="anchor-23-6-c"/>
      <w:bookmarkEnd w:id="101"/>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2"/>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3"/>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4"/>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5" w:name="anchor-23-10"/>
      <w:bookmarkEnd w:id="105"/>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6"/>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7"/>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08"/>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09"/>
    <w:bookmarkStart w:id="114" w:name="the-pastoral-relations"/>
    <w:p>
      <w:pPr>
        <w:pStyle w:val="Heading2"/>
      </w:pPr>
      <w:r>
        <w:t xml:space="preserve">24. The Pastoral Relations</w:t>
      </w:r>
    </w:p>
    <w:p>
      <w:pPr>
        <w:numPr>
          <w:ilvl w:val="0"/>
          <w:numId w:val="1055"/>
        </w:numPr>
      </w:pPr>
      <w:bookmarkStart w:id="110" w:name="anchor-24"/>
      <w:bookmarkEnd w:id="110"/>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1" w:name="anchor-24-3"/>
      <w:bookmarkEnd w:id="111"/>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2" w:name="anchor-24-5"/>
      <w:bookmarkEnd w:id="112"/>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3" w:name="anchor-24-6"/>
      <w:bookmarkEnd w:id="113"/>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4"/>
    <w:bookmarkStart w:id="116" w:name="the-dissolution-of-the-pastoral-relation"/>
    <w:p>
      <w:pPr>
        <w:pStyle w:val="Heading2"/>
      </w:pPr>
      <w:bookmarkStart w:id="115" w:name="anchor-25"/>
      <w:bookmarkEnd w:id="115"/>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6"/>
    <w:bookmarkStart w:id="122" w:name="Xae036b604af6fd3ca15992043ac15b459fc2842"/>
    <w:p>
      <w:pPr>
        <w:pStyle w:val="Heading2"/>
      </w:pPr>
      <w:bookmarkStart w:id="117" w:name="anchor-26"/>
      <w:bookmarkEnd w:id="117"/>
      <w:r>
        <w:t xml:space="preserve">26. Election, Ordination, and Installation of Ruling Elders and Deacons</w:t>
      </w:r>
    </w:p>
    <w:bookmarkStart w:id="118"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18"/>
    <w:bookmarkStart w:id="121" w:name="ordination-and-installation"/>
    <w:p>
      <w:pPr>
        <w:pStyle w:val="Heading3"/>
      </w:pPr>
      <w:r>
        <w:t xml:space="preserve">Ordination and Installation</w:t>
      </w:r>
    </w:p>
    <w:p>
      <w:pPr>
        <w:numPr>
          <w:ilvl w:val="0"/>
          <w:numId w:val="1059"/>
        </w:numPr>
      </w:pPr>
      <w:bookmarkStart w:id="119" w:name="anchor-26-4"/>
      <w:bookmarkEnd w:id="119"/>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0" w:name="anchor-26-5"/>
      <w:bookmarkEnd w:id="120"/>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1"/>
    <w:bookmarkEnd w:id="122"/>
    <w:bookmarkStart w:id="124" w:name="congregational-meetings"/>
    <w:p>
      <w:pPr>
        <w:pStyle w:val="Heading2"/>
      </w:pPr>
      <w:r>
        <w:t xml:space="preserve">27. Congregational Meetings</w:t>
      </w:r>
    </w:p>
    <w:p>
      <w:pPr>
        <w:numPr>
          <w:ilvl w:val="0"/>
          <w:numId w:val="1061"/>
        </w:numPr>
      </w:pPr>
      <w:bookmarkStart w:id="123" w:name="anchor-27"/>
      <w:bookmarkEnd w:id="123"/>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4"/>
    <w:bookmarkStart w:id="131" w:name="amending-the-constitution-of-the-church"/>
    <w:p>
      <w:pPr>
        <w:pStyle w:val="Heading2"/>
      </w:pPr>
      <w:r>
        <w:t xml:space="preserve">28. Amending the Constitution of the Church</w:t>
      </w:r>
    </w:p>
    <w:p>
      <w:pPr>
        <w:pStyle w:val="Compact"/>
        <w:numPr>
          <w:ilvl w:val="0"/>
          <w:numId w:val="1062"/>
        </w:numPr>
      </w:pPr>
      <w:bookmarkStart w:id="125" w:name="anchor-28"/>
      <w:bookmarkEnd w:id="125"/>
      <w:bookmarkStart w:id="126" w:name="anchor-28-1"/>
      <w:bookmarkEnd w:id="126"/>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7"/>
      </w:r>
      <w:r>
        <w:t xml:space="preserve"> </w:t>
      </w:r>
      <w:r>
        <w:t xml:space="preserve">together with the Larger</w:t>
      </w:r>
      <w:r>
        <w:rPr>
          <w:rStyle w:val="FootnoteReference"/>
        </w:rPr>
        <w:footnoteReference w:id="128"/>
      </w:r>
      <w:r>
        <w:t xml:space="preserve"> </w:t>
      </w:r>
      <w:r>
        <w:t xml:space="preserve">and Shorter Catechisms;</w:t>
      </w:r>
      <w:r>
        <w:rPr>
          <w:rStyle w:val="FootnoteReference"/>
        </w:rPr>
        <w:footnoteReference w:id="129"/>
      </w:r>
      <w:r>
        <w:t xml:space="preserve"> </w:t>
      </w:r>
      <w:r>
        <w:t xml:space="preserve">the Doctrinal Declarations of the Presbytery;</w:t>
      </w:r>
      <w:r>
        <w:rPr>
          <w:rStyle w:val="FootnoteReference"/>
        </w:rPr>
        <w:footnoteReference w:id="130"/>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1"/>
    <w:bookmarkEnd w:id="132"/>
    <w:bookmarkStart w:id="198" w:name="the-rules-of-discipline"/>
    <w:p>
      <w:pPr>
        <w:pStyle w:val="Heading1"/>
      </w:pPr>
      <w:r>
        <w:t xml:space="preserve">The Rules of Discipline</w:t>
      </w:r>
    </w:p>
    <w:bookmarkStart w:id="137" w:name="disciplineits-nature-subjects-and-ends"/>
    <w:p>
      <w:pPr>
        <w:pStyle w:val="Heading2"/>
      </w:pPr>
      <w:r>
        <w:t xml:space="preserve">29. Discipline—Its Nature, Subjects, and Ends</w:t>
      </w:r>
    </w:p>
    <w:p>
      <w:pPr>
        <w:numPr>
          <w:ilvl w:val="0"/>
          <w:numId w:val="1070"/>
        </w:numPr>
      </w:pPr>
      <w:bookmarkStart w:id="133" w:name="anchor-29-1"/>
      <w:bookmarkEnd w:id="133"/>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4" w:name="anchor-29-1-a"/>
      <w:bookmarkEnd w:id="134"/>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5"/>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6" w:name="anchor-29-4"/>
      <w:bookmarkEnd w:id="136"/>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7"/>
    <w:bookmarkStart w:id="141" w:name="discipline-of-non-communing-members"/>
    <w:p>
      <w:pPr>
        <w:pStyle w:val="Heading2"/>
      </w:pPr>
      <w:r>
        <w:t xml:space="preserve">30. Discipline of Non-communing Members</w:t>
      </w:r>
    </w:p>
    <w:p>
      <w:pPr>
        <w:numPr>
          <w:ilvl w:val="0"/>
          <w:numId w:val="1073"/>
        </w:numPr>
      </w:pPr>
      <w:bookmarkStart w:id="138" w:name="anchor-30"/>
      <w:bookmarkEnd w:id="138"/>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39"/>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0"/>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1"/>
    <w:bookmarkStart w:id="144" w:name="offenses"/>
    <w:p>
      <w:pPr>
        <w:pStyle w:val="Heading2"/>
      </w:pPr>
      <w:r>
        <w:t xml:space="preserve">31. Offenses</w:t>
      </w:r>
    </w:p>
    <w:p>
      <w:pPr>
        <w:numPr>
          <w:ilvl w:val="0"/>
          <w:numId w:val="1076"/>
        </w:numPr>
      </w:pPr>
      <w:bookmarkStart w:id="142" w:name="anchor-31"/>
      <w:bookmarkEnd w:id="142"/>
      <w:bookmarkStart w:id="143" w:name="anchor-31-1"/>
      <w:bookmarkEnd w:id="143"/>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4"/>
    <w:bookmarkStart w:id="146" w:name="church-censures"/>
    <w:p>
      <w:pPr>
        <w:pStyle w:val="Heading2"/>
      </w:pPr>
      <w:r>
        <w:t xml:space="preserve">32. Church Censures</w:t>
      </w:r>
    </w:p>
    <w:p>
      <w:pPr>
        <w:numPr>
          <w:ilvl w:val="0"/>
          <w:numId w:val="1077"/>
        </w:numPr>
      </w:pPr>
      <w:bookmarkStart w:id="145" w:name="anchor-32"/>
      <w:bookmarkEnd w:id="145"/>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6"/>
    <w:bookmarkStart w:id="150" w:name="the-parties-in-cases-of-process"/>
    <w:p>
      <w:pPr>
        <w:pStyle w:val="Heading2"/>
      </w:pPr>
      <w:r>
        <w:t xml:space="preserve">33. The Parties in Cases of Process</w:t>
      </w:r>
    </w:p>
    <w:p>
      <w:pPr>
        <w:numPr>
          <w:ilvl w:val="0"/>
          <w:numId w:val="1078"/>
        </w:numPr>
      </w:pPr>
      <w:bookmarkStart w:id="147" w:name="anchor-33"/>
      <w:bookmarkEnd w:id="147"/>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48" w:name="anchor-33-2"/>
      <w:bookmarkEnd w:id="148"/>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49"/>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0"/>
    <w:bookmarkStart w:id="155" w:name="Xa05ecd3af34679d1ef483f4a60ab86a634c4ce5"/>
    <w:p>
      <w:pPr>
        <w:pStyle w:val="Heading2"/>
      </w:pPr>
      <w:r>
        <w:t xml:space="preserve">34. General Provisions Applicable to All Cases of Process</w:t>
      </w:r>
    </w:p>
    <w:p>
      <w:pPr>
        <w:pStyle w:val="Compact"/>
        <w:numPr>
          <w:ilvl w:val="0"/>
          <w:numId w:val="1080"/>
        </w:numPr>
      </w:pPr>
      <w:bookmarkStart w:id="151" w:name="anchor-34"/>
      <w:bookmarkEnd w:id="151"/>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2"/>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3" w:name="anchor-34-8"/>
      <w:bookmarkEnd w:id="153"/>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4"/>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5"/>
    <w:bookmarkStart w:id="159" w:name="Xfbdb5038cdb66620e0b0a7a526e2ab3f00aef5f"/>
    <w:p>
      <w:pPr>
        <w:pStyle w:val="Heading2"/>
      </w:pPr>
      <w:r>
        <w:t xml:space="preserve">35. Special Rules Pertaining to Process before Sessions</w:t>
      </w:r>
    </w:p>
    <w:p>
      <w:pPr>
        <w:numPr>
          <w:ilvl w:val="0"/>
          <w:numId w:val="1083"/>
        </w:numPr>
      </w:pPr>
      <w:bookmarkStart w:id="156" w:name="anchor-35"/>
      <w:bookmarkEnd w:id="156"/>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7" w:name="anchor-35-2"/>
      <w:bookmarkEnd w:id="157"/>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58" w:name="anchor-35-3"/>
      <w:bookmarkEnd w:id="158"/>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59"/>
    <w:bookmarkStart w:id="164" w:name="Xfbadf15979d5e77021499dffc3645acc0f3f00e"/>
    <w:p>
      <w:pPr>
        <w:pStyle w:val="Heading2"/>
      </w:pPr>
      <w:r>
        <w:t xml:space="preserve">36. Special Rules Pertaining to Process against a Minister</w:t>
      </w:r>
    </w:p>
    <w:p>
      <w:pPr>
        <w:numPr>
          <w:ilvl w:val="0"/>
          <w:numId w:val="1084"/>
        </w:numPr>
      </w:pPr>
      <w:bookmarkStart w:id="160" w:name="anchor-36"/>
      <w:bookmarkEnd w:id="160"/>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1" w:name="anchor-36-4"/>
      <w:bookmarkEnd w:id="161"/>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2" w:name="anchor-36-8"/>
      <w:bookmarkEnd w:id="162"/>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3" w:name="anchor-36-10"/>
      <w:bookmarkEnd w:id="163"/>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4"/>
    <w:bookmarkStart w:id="167" w:name="evidence"/>
    <w:p>
      <w:pPr>
        <w:pStyle w:val="Heading2"/>
      </w:pPr>
      <w:r>
        <w:t xml:space="preserve">37. Evidence</w:t>
      </w:r>
    </w:p>
    <w:p>
      <w:pPr>
        <w:numPr>
          <w:ilvl w:val="0"/>
          <w:numId w:val="1085"/>
        </w:numPr>
      </w:pPr>
      <w:bookmarkStart w:id="165" w:name="anchor-37"/>
      <w:bookmarkEnd w:id="165"/>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6" w:name="anchor-37-14"/>
      <w:bookmarkEnd w:id="166"/>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7"/>
    <w:bookmarkStart w:id="170" w:name="the-infliction-of-church-censures"/>
    <w:p>
      <w:pPr>
        <w:pStyle w:val="Heading2"/>
      </w:pPr>
      <w:r>
        <w:t xml:space="preserve">38. The Infliction of Church Censures</w:t>
      </w:r>
    </w:p>
    <w:p>
      <w:pPr>
        <w:numPr>
          <w:ilvl w:val="0"/>
          <w:numId w:val="1086"/>
        </w:numPr>
      </w:pPr>
      <w:bookmarkStart w:id="168" w:name="anchor-38"/>
      <w:bookmarkEnd w:id="168"/>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69"/>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0"/>
    <w:bookmarkStart w:id="172" w:name="the-removal-of-censure"/>
    <w:p>
      <w:pPr>
        <w:pStyle w:val="Heading2"/>
      </w:pPr>
      <w:bookmarkStart w:id="171" w:name="anchor-39"/>
      <w:bookmarkEnd w:id="171"/>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2"/>
    <w:bookmarkStart w:id="175" w:name="cases-without-process"/>
    <w:p>
      <w:pPr>
        <w:pStyle w:val="Heading2"/>
      </w:pPr>
      <w:r>
        <w:t xml:space="preserve">40. Cases without Process</w:t>
      </w:r>
    </w:p>
    <w:p>
      <w:pPr>
        <w:numPr>
          <w:ilvl w:val="0"/>
          <w:numId w:val="1090"/>
        </w:numPr>
      </w:pPr>
      <w:bookmarkStart w:id="173" w:name="anchor-40"/>
      <w:bookmarkEnd w:id="173"/>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4" w:name="anchor-40-4"/>
      <w:bookmarkEnd w:id="174"/>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5"/>
    <w:bookmarkStart w:id="181" w:name="X3cad1f6321d7755286002e3f77e3f770284f7c0"/>
    <w:p>
      <w:pPr>
        <w:pStyle w:val="Heading2"/>
      </w:pPr>
      <w:bookmarkStart w:id="176" w:name="anchor-41"/>
      <w:bookmarkEnd w:id="176"/>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7"/>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79"/>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1"/>
    <w:bookmarkStart w:id="183" w:name="general-review-and-control"/>
    <w:p>
      <w:pPr>
        <w:pStyle w:val="Heading2"/>
      </w:pPr>
      <w:r>
        <w:t xml:space="preserve">42. General Review and Control</w:t>
      </w:r>
    </w:p>
    <w:p>
      <w:pPr>
        <w:numPr>
          <w:ilvl w:val="0"/>
          <w:numId w:val="1094"/>
        </w:numPr>
      </w:pPr>
      <w:bookmarkStart w:id="182" w:name="anchor-42"/>
      <w:bookmarkEnd w:id="182"/>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3"/>
    <w:bookmarkStart w:id="186" w:name="references"/>
    <w:p>
      <w:pPr>
        <w:pStyle w:val="Heading2"/>
      </w:pPr>
      <w:r>
        <w:t xml:space="preserve">43. References</w:t>
      </w:r>
    </w:p>
    <w:p>
      <w:pPr>
        <w:numPr>
          <w:ilvl w:val="0"/>
          <w:numId w:val="1096"/>
        </w:numPr>
      </w:pPr>
      <w:bookmarkStart w:id="184" w:name="anchor-43"/>
      <w:bookmarkEnd w:id="184"/>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5" w:name="anchor-43-3"/>
      <w:bookmarkEnd w:id="185"/>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6"/>
    <w:bookmarkStart w:id="188" w:name="appeals"/>
    <w:p>
      <w:pPr>
        <w:pStyle w:val="Heading2"/>
      </w:pPr>
      <w:r>
        <w:t xml:space="preserve">44. Appeals</w:t>
      </w:r>
    </w:p>
    <w:p>
      <w:pPr>
        <w:numPr>
          <w:ilvl w:val="0"/>
          <w:numId w:val="1097"/>
        </w:numPr>
      </w:pPr>
      <w:bookmarkStart w:id="187" w:name="anchor-44"/>
      <w:bookmarkEnd w:id="187"/>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88"/>
    <w:bookmarkStart w:id="190" w:name="complaints"/>
    <w:p>
      <w:pPr>
        <w:pStyle w:val="Heading2"/>
      </w:pPr>
      <w:r>
        <w:t xml:space="preserve">45. Complaints</w:t>
      </w:r>
    </w:p>
    <w:p>
      <w:pPr>
        <w:numPr>
          <w:ilvl w:val="0"/>
          <w:numId w:val="1098"/>
        </w:numPr>
      </w:pPr>
      <w:bookmarkStart w:id="189" w:name="anchor-45"/>
      <w:bookmarkEnd w:id="189"/>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0"/>
    <w:bookmarkStart w:id="192" w:name="voting-in-appeals-and-complaints"/>
    <w:p>
      <w:pPr>
        <w:pStyle w:val="Heading2"/>
      </w:pPr>
      <w:r>
        <w:t xml:space="preserve">46. Voting in Appeals and Complaints</w:t>
      </w:r>
    </w:p>
    <w:p>
      <w:pPr>
        <w:numPr>
          <w:ilvl w:val="0"/>
          <w:numId w:val="1099"/>
        </w:numPr>
      </w:pPr>
      <w:bookmarkStart w:id="191" w:name="anchor-46"/>
      <w:bookmarkEnd w:id="191"/>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2"/>
    <w:bookmarkStart w:id="194" w:name="dissents-protests-and-objections"/>
    <w:p>
      <w:pPr>
        <w:pStyle w:val="Heading2"/>
      </w:pPr>
      <w:r>
        <w:t xml:space="preserve">47. Dissents, Protests, and Objections</w:t>
      </w:r>
    </w:p>
    <w:p>
      <w:pPr>
        <w:numPr>
          <w:ilvl w:val="0"/>
          <w:numId w:val="1100"/>
        </w:numPr>
      </w:pPr>
      <w:bookmarkStart w:id="193" w:name="anchor-47"/>
      <w:bookmarkEnd w:id="193"/>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4"/>
    <w:bookmarkStart w:id="197" w:name="jurisdiction"/>
    <w:p>
      <w:pPr>
        <w:pStyle w:val="Heading2"/>
      </w:pPr>
      <w:r>
        <w:t xml:space="preserve">48. Jurisdiction</w:t>
      </w:r>
    </w:p>
    <w:p>
      <w:pPr>
        <w:numPr>
          <w:ilvl w:val="0"/>
          <w:numId w:val="1101"/>
        </w:numPr>
      </w:pPr>
      <w:bookmarkStart w:id="195" w:name="anchor-48"/>
      <w:bookmarkEnd w:id="195"/>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6" w:name="anchor-48-7"/>
      <w:bookmarkEnd w:id="196"/>
      <w:r>
        <w:t xml:space="preserve">When a Presbytery shall divest a Minister of his office without censure, or depose him without excommunication, it shall assign him to membership in some particular church, subject to the approval of the Session of that church.</w:t>
      </w:r>
    </w:p>
    <w:bookmarkEnd w:id="197"/>
    <w:bookmarkEnd w:id="198"/>
    <w:bookmarkStart w:id="342" w:name="directory-for-the-worship-of-god"/>
    <w:p>
      <w:pPr>
        <w:pStyle w:val="Heading1"/>
      </w:pPr>
      <w:r>
        <w:t xml:space="preserve">Directory for the Worship of God</w:t>
      </w:r>
    </w:p>
    <w:bookmarkStart w:id="200" w:name="preface-to-the-directory"/>
    <w:p>
      <w:pPr>
        <w:pStyle w:val="Heading2"/>
      </w:pPr>
      <w:r>
        <w:t xml:space="preserve">Preface to the Directory</w:t>
      </w:r>
    </w:p>
    <w:p>
      <w:pPr>
        <w:pStyle w:val="FirstParagraph"/>
      </w:pPr>
      <w:bookmarkStart w:id="199" w:name="anchor-dfw-preface"/>
      <w:bookmarkEnd w:id="199"/>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0"/>
    <w:bookmarkStart w:id="202" w:name="gods-institution-of-public-worship"/>
    <w:p>
      <w:pPr>
        <w:pStyle w:val="Heading2"/>
      </w:pPr>
      <w:r>
        <w:t xml:space="preserve">49. God’s Institution of Public Worship</w:t>
      </w:r>
    </w:p>
    <w:p>
      <w:pPr>
        <w:pStyle w:val="FirstParagraph"/>
      </w:pPr>
      <w:bookmarkStart w:id="201" w:name="anchor-49"/>
      <w:bookmarkEnd w:id="201"/>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2"/>
    <w:bookmarkStart w:id="206" w:name="the-nature-of-public-worship"/>
    <w:p>
      <w:pPr>
        <w:pStyle w:val="Heading2"/>
      </w:pPr>
      <w:r>
        <w:t xml:space="preserve">50. The Nature of Public Worship</w:t>
      </w:r>
    </w:p>
    <w:p>
      <w:pPr>
        <w:pStyle w:val="FirstParagraph"/>
      </w:pPr>
      <w:bookmarkStart w:id="203" w:name="anchor-50"/>
      <w:bookmarkEnd w:id="203"/>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4"/>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5"/>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6"/>
    <w:bookmarkStart w:id="209" w:name="the-parts-of-public-worship"/>
    <w:p>
      <w:pPr>
        <w:pStyle w:val="Heading2"/>
      </w:pPr>
      <w:r>
        <w:t xml:space="preserve">51. The Parts of Public Worship</w:t>
      </w:r>
    </w:p>
    <w:p>
      <w:pPr>
        <w:pStyle w:val="FirstParagraph"/>
      </w:pPr>
      <w:bookmarkStart w:id="207" w:name="anchor-51"/>
      <w:bookmarkEnd w:id="207"/>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08"/>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09"/>
    <w:bookmarkStart w:id="212" w:name="X9d4e6ea83c5082640830f76d8473afee64835ca"/>
    <w:p>
      <w:pPr>
        <w:pStyle w:val="Heading2"/>
      </w:pPr>
      <w:r>
        <w:t xml:space="preserve">52. The Oversight and Conduct of Public Worship</w:t>
      </w:r>
    </w:p>
    <w:p>
      <w:pPr>
        <w:pStyle w:val="FirstParagraph"/>
      </w:pPr>
      <w:bookmarkStart w:id="210" w:name="anchor-52"/>
      <w:bookmarkEnd w:id="210"/>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1"/>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2"/>
    <w:bookmarkStart w:id="219" w:name="X3d5c6b82b54008bb923390382cd7c33f3a7df96"/>
    <w:p>
      <w:pPr>
        <w:pStyle w:val="Heading2"/>
      </w:pPr>
      <w:r>
        <w:t xml:space="preserve">53. Elements of Ordinary Public Worship—From God to the People</w:t>
      </w:r>
    </w:p>
    <w:p>
      <w:pPr>
        <w:pStyle w:val="FirstParagraph"/>
      </w:pPr>
      <w:bookmarkStart w:id="213" w:name="anchor-53"/>
      <w:bookmarkEnd w:id="213"/>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4"/>
      </w:r>
      <w:r>
        <w:t xml:space="preserve"> </w:t>
      </w:r>
      <w:r>
        <w:t xml:space="preserve">and ministers are</w:t>
      </w:r>
      <w:r>
        <w:t xml:space="preserve"> </w:t>
      </w:r>
      <w:r>
        <w:t xml:space="preserve">“stewards of the mysteries of God”</w:t>
      </w:r>
      <w:r>
        <w:rPr>
          <w:rStyle w:val="FootnoteReference"/>
        </w:rPr>
        <w:footnoteReference w:id="215"/>
      </w:r>
      <w:r>
        <w:t xml:space="preserve"> </w:t>
      </w:r>
      <w:r>
        <w:t xml:space="preserve">in Christ’s church, no other is permitted to take this honor to himself.</w:t>
      </w:r>
      <w:r>
        <w:rPr>
          <w:rStyle w:val="FootnoteReference"/>
        </w:rPr>
        <w:footnoteReference w:id="216"/>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7"/>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18"/>
      </w:r>
      <w:r>
        <w:t xml:space="preserve"> </w:t>
      </w:r>
      <w:r>
        <w:t xml:space="preserve">are distinctly appropriate. If, however, the minister deems another benediction taken from Scripture more fitting for a particular occasion, he may use it.</w:t>
      </w:r>
    </w:p>
    <w:bookmarkEnd w:id="219"/>
    <w:bookmarkStart w:id="222" w:name="Xf9daac615e4242cfcb64c0808d00186a7b94d66"/>
    <w:p>
      <w:pPr>
        <w:pStyle w:val="Heading2"/>
      </w:pPr>
      <w:r>
        <w:t xml:space="preserve">54. Elements of Ordinary Public Worship—From the People to God</w:t>
      </w:r>
    </w:p>
    <w:p>
      <w:pPr>
        <w:pStyle w:val="FirstParagraph"/>
      </w:pPr>
      <w:bookmarkStart w:id="220" w:name="anchor-54"/>
      <w:bookmarkEnd w:id="220"/>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1"/>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2"/>
    <w:bookmarkStart w:id="224" w:name="Xf8230d65e2747cefdee3ce08563d8da9a462cd7"/>
    <w:p>
      <w:pPr>
        <w:pStyle w:val="Heading2"/>
      </w:pPr>
      <w:r>
        <w:t xml:space="preserve">55. The Administration of the Sacraments—General Provisions</w:t>
      </w:r>
    </w:p>
    <w:p>
      <w:pPr>
        <w:numPr>
          <w:ilvl w:val="0"/>
          <w:numId w:val="1136"/>
        </w:numPr>
      </w:pPr>
      <w:bookmarkStart w:id="223" w:name="anchor-55"/>
      <w:bookmarkEnd w:id="223"/>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4"/>
    <w:bookmarkStart w:id="233" w:name="the-baptism-of-infants"/>
    <w:p>
      <w:pPr>
        <w:pStyle w:val="Heading2"/>
      </w:pPr>
      <w:r>
        <w:t xml:space="preserve">56. The Baptism of Infants</w:t>
      </w:r>
    </w:p>
    <w:p>
      <w:pPr>
        <w:pStyle w:val="FirstParagraph"/>
      </w:pPr>
      <w:bookmarkStart w:id="225" w:name="anchor-56"/>
      <w:bookmarkEnd w:id="225"/>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6"/>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7"/>
      </w:r>
      <w:r>
        <w:t xml:space="preserve"> </w:t>
      </w:r>
      <w:r>
        <w:t xml:space="preserve">He promises, “Believe in the Lord Jesus Christ, and you will be saved, you and your household.”</w:t>
      </w:r>
      <w:r>
        <w:rPr>
          <w:rStyle w:val="FootnoteReference"/>
        </w:rPr>
        <w:footnoteReference w:id="228"/>
      </w:r>
      <w:r>
        <w:t xml:space="preserve"> </w:t>
      </w:r>
      <w:r>
        <w:t xml:space="preserve">He affirms that if even one parent is a believer, the children are “holy.”</w:t>
      </w:r>
      <w:r>
        <w:rPr>
          <w:rStyle w:val="FootnoteReference"/>
        </w:rPr>
        <w:footnoteReference w:id="229"/>
      </w:r>
      <w:r>
        <w:t xml:space="preserve"> </w:t>
      </w:r>
      <w:r>
        <w:t xml:space="preserve">Moreover, our Savior admitted little children into His presence, embracing and blessing them, and saying, “for the kingdom of God belongs to such as these.”</w:t>
      </w:r>
      <w:r>
        <w:rPr>
          <w:rStyle w:val="FootnoteReference"/>
        </w:rPr>
        <w:footnoteReference w:id="230"/>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1"/>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2"/>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3"/>
    <w:bookmarkStart w:id="235" w:name="a-note-on-infant-dedication"/>
    <w:p>
      <w:pPr>
        <w:pStyle w:val="Heading2"/>
      </w:pPr>
      <w:r>
        <w:t xml:space="preserve">57. A Note on Infant Dedication</w:t>
      </w:r>
    </w:p>
    <w:p>
      <w:pPr>
        <w:pStyle w:val="FirstParagraph"/>
      </w:pPr>
      <w:bookmarkStart w:id="234" w:name="anchor-57"/>
      <w:bookmarkEnd w:id="234"/>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5"/>
    <w:bookmarkStart w:id="237" w:name="the-baptism-of-those-professing-faith"/>
    <w:p>
      <w:pPr>
        <w:pStyle w:val="Heading2"/>
      </w:pPr>
      <w:r>
        <w:t xml:space="preserve">58. The Baptism of Those Professing Faith</w:t>
      </w:r>
    </w:p>
    <w:p>
      <w:pPr>
        <w:pStyle w:val="FirstParagraph"/>
      </w:pPr>
      <w:bookmarkStart w:id="236" w:name="anchor-58"/>
      <w:bookmarkEnd w:id="236"/>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7"/>
    <w:bookmarkStart w:id="244" w:name="the-lords-supper"/>
    <w:p>
      <w:pPr>
        <w:pStyle w:val="Heading2"/>
      </w:pPr>
      <w:r>
        <w:t xml:space="preserve">59. The Lord’s Supper</w:t>
      </w:r>
    </w:p>
    <w:p>
      <w:pPr>
        <w:pStyle w:val="FirstParagraph"/>
      </w:pPr>
      <w:bookmarkStart w:id="238" w:name="anchor-59"/>
      <w:bookmarkEnd w:id="238"/>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39"/>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0"/>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1"/>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2"/>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3"/>
      </w:r>
    </w:p>
    <w:p>
      <w:pPr>
        <w:pStyle w:val="FirstParagraph"/>
      </w:pPr>
      <w:r>
        <w:rPr>
          <w:i/>
          <w:iCs/>
        </w:rPr>
        <w:t xml:space="preserve">The above exhortations and explanations are in accord with the historic Reformed liturgies.</w:t>
      </w:r>
    </w:p>
    <w:bookmarkEnd w:id="244"/>
    <w:bookmarkStart w:id="248" w:name="X4bf295be6dc8c150971c151ab63667c63fdd970"/>
    <w:p>
      <w:pPr>
        <w:pStyle w:val="Heading2"/>
      </w:pPr>
      <w:r>
        <w:t xml:space="preserve">60. Public Reception of Church Members—General Provisions</w:t>
      </w:r>
    </w:p>
    <w:p>
      <w:pPr>
        <w:numPr>
          <w:ilvl w:val="0"/>
          <w:numId w:val="1147"/>
        </w:numPr>
      </w:pPr>
      <w:bookmarkStart w:id="245" w:name="anchor-60"/>
      <w:bookmarkEnd w:id="245"/>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6" w:name="anchor-60-3"/>
      <w:bookmarkEnd w:id="246"/>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7"/>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48"/>
    <w:bookmarkStart w:id="251" w:name="Xb1d1419746cfc47d0252b6772fff5a1cfab15e4"/>
    <w:p>
      <w:pPr>
        <w:pStyle w:val="Heading2"/>
      </w:pPr>
      <w:r>
        <w:t xml:space="preserve">61. Reception into Full Communion of Non-communing Members by Profession of Faith</w:t>
      </w:r>
    </w:p>
    <w:p>
      <w:pPr>
        <w:pStyle w:val="FirstParagraph"/>
      </w:pPr>
      <w:bookmarkStart w:id="249" w:name="anchor-61"/>
      <w:bookmarkEnd w:id="249"/>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0" w:name="anchor-61-2-5"/>
      <w:bookmarkEnd w:id="250"/>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1"/>
    <w:bookmarkStart w:id="253" w:name="Xdcddc2f0c4ed4a31d44f70081be6e0b206f6ad4"/>
    <w:p>
      <w:pPr>
        <w:pStyle w:val="Heading2"/>
      </w:pPr>
      <w:r>
        <w:t xml:space="preserve">62. Reception by Letter of Transfer from Another Church within Evangel Presbytery</w:t>
      </w:r>
    </w:p>
    <w:p>
      <w:pPr>
        <w:pStyle w:val="FirstParagraph"/>
      </w:pPr>
      <w:bookmarkStart w:id="252" w:name="anchor-62"/>
      <w:bookmarkEnd w:id="252"/>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3"/>
    <w:bookmarkStart w:id="256" w:name="Xd29bfee5feff8d35db0013d4b2bb87ea3e6c2a9"/>
    <w:p>
      <w:pPr>
        <w:pStyle w:val="Heading2"/>
      </w:pPr>
      <w:r>
        <w:t xml:space="preserve">63. Reception by Letter of Transfer from Another Church of Like Faith and Practice</w:t>
      </w:r>
    </w:p>
    <w:p>
      <w:pPr>
        <w:pStyle w:val="FirstParagraph"/>
      </w:pPr>
      <w:bookmarkStart w:id="254" w:name="anchor-63"/>
      <w:bookmarkEnd w:id="254"/>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pStyle w:val="FirstParagraph"/>
      </w:pPr>
      <w:bookmarkStart w:id="255" w:name="anchor-63-4"/>
      <w:bookmarkEnd w:id="255"/>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6"/>
    <w:bookmarkStart w:id="258" w:name="reception-by-reaffirmation-of-faith"/>
    <w:p>
      <w:pPr>
        <w:pStyle w:val="Heading2"/>
      </w:pPr>
      <w:r>
        <w:t xml:space="preserve">64. Reception by Reaffirmation of Faith</w:t>
      </w:r>
    </w:p>
    <w:p>
      <w:pPr>
        <w:pStyle w:val="FirstParagraph"/>
      </w:pPr>
      <w:bookmarkStart w:id="257" w:name="anchor-64"/>
      <w:bookmarkEnd w:id="257"/>
    </w:p>
    <w:p>
      <w:pPr>
        <w:numPr>
          <w:ilvl w:val="0"/>
          <w:numId w:val="1154"/>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4"/>
        </w:numPr>
      </w:pPr>
      <w:r>
        <w:t xml:space="preserve">The minister shall then require the person to profess publicly his Christian faith by giving assent to these questions:</w:t>
      </w:r>
    </w:p>
    <w:p>
      <w:pPr>
        <w:pStyle w:val="Compact"/>
        <w:numPr>
          <w:ilvl w:val="1"/>
          <w:numId w:val="1155"/>
        </w:numPr>
      </w:pPr>
      <w:r>
        <w:t xml:space="preserve">Do you believe in God the Father Almighty, Maker of heaven and earth; and in Jesus Christ His only Son our Lord; and in the Holy Spirit, the Lord and Giver of life?</w:t>
      </w:r>
    </w:p>
    <w:p>
      <w:pPr>
        <w:pStyle w:val="Compact"/>
        <w:numPr>
          <w:ilvl w:val="1"/>
          <w:numId w:val="1155"/>
        </w:numPr>
      </w:pPr>
      <w:r>
        <w:t xml:space="preserve">Do you acknowledge yourself to be a sinner in the sight of God, justly deserving His wrath, and without hope apart from His sovereign mercy?</w:t>
      </w:r>
    </w:p>
    <w:p>
      <w:pPr>
        <w:pStyle w:val="Compact"/>
        <w:numPr>
          <w:ilvl w:val="1"/>
          <w:numId w:val="1155"/>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5"/>
        </w:numPr>
      </w:pPr>
      <w:r>
        <w:t xml:space="preserve">Do you believe in the Lord Jesus Christ as the Son of God, and Savior of sinners, and do you receive and rest upon Him alone for salvation as He is offered in the Gospel?</w:t>
      </w:r>
    </w:p>
    <w:p>
      <w:pPr>
        <w:pStyle w:val="Compact"/>
        <w:numPr>
          <w:ilvl w:val="1"/>
          <w:numId w:val="1155"/>
        </w:numPr>
      </w:pPr>
      <w:r>
        <w:t xml:space="preserve">Do you now resolve and promise, in humble reliance upon the grace of the Holy Spirit, that you will endeavor to live as a faithful follower of Christ?</w:t>
      </w:r>
    </w:p>
    <w:p>
      <w:pPr>
        <w:pStyle w:val="Compact"/>
        <w:numPr>
          <w:ilvl w:val="1"/>
          <w:numId w:val="1155"/>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4"/>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4"/>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1" w:name="X707c6559175926ef2b42e4e2fbd8a0ebc54a29f"/>
    <w:p>
      <w:pPr>
        <w:pStyle w:val="Heading2"/>
      </w:pPr>
      <w:r>
        <w:t xml:space="preserve">65. Reception of New Members by Public Profession of Faith</w:t>
      </w:r>
    </w:p>
    <w:p>
      <w:pPr>
        <w:numPr>
          <w:ilvl w:val="0"/>
          <w:numId w:val="1156"/>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6"/>
        </w:numPr>
      </w:pPr>
      <w:r>
        <w:t xml:space="preserve">The minister shall then require the person to profess publicly his Christian faith by giving assent to these questions:</w:t>
      </w:r>
    </w:p>
    <w:p>
      <w:pPr>
        <w:pStyle w:val="Compact"/>
        <w:numPr>
          <w:ilvl w:val="1"/>
          <w:numId w:val="1157"/>
        </w:numPr>
      </w:pPr>
      <w:r>
        <w:t xml:space="preserve">Do you believe in God the Father Almighty, Maker of heaven and earth; and in Jesus Christ His only Son our Lord; and in the Holy Spirit, the Lord and Giver of life?</w:t>
      </w:r>
    </w:p>
    <w:p>
      <w:pPr>
        <w:pStyle w:val="Compact"/>
        <w:numPr>
          <w:ilvl w:val="1"/>
          <w:numId w:val="1157"/>
        </w:numPr>
      </w:pPr>
      <w:r>
        <w:t xml:space="preserve">Do you acknowledge yourself to be a sinner in the sight of God, justly deserving His wrath, and without hope apart from His sovereign mercy?</w:t>
      </w:r>
    </w:p>
    <w:p>
      <w:pPr>
        <w:pStyle w:val="Compact"/>
        <w:numPr>
          <w:ilvl w:val="1"/>
          <w:numId w:val="1157"/>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7"/>
        </w:numPr>
      </w:pPr>
      <w:r>
        <w:t xml:space="preserve">Do you believe in the Lord Jesus Christ as the Son of God, and Savior of sinners, and do you receive and rest upon Him alone for salvation as He is offered in the Gospel?</w:t>
      </w:r>
    </w:p>
    <w:p>
      <w:pPr>
        <w:pStyle w:val="Compact"/>
        <w:numPr>
          <w:ilvl w:val="1"/>
          <w:numId w:val="1157"/>
        </w:numPr>
      </w:pPr>
      <w:r>
        <w:t xml:space="preserve">Do you now resolve and promise, in humble reliance upon the grace of the Holy Spirit, that you will endeavor to live as a faithful follower of Christ?</w:t>
      </w:r>
    </w:p>
    <w:p>
      <w:pPr>
        <w:pStyle w:val="Compact"/>
        <w:numPr>
          <w:ilvl w:val="1"/>
          <w:numId w:val="1157"/>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pStyle w:val="FirstParagraph"/>
      </w:pPr>
      <w:bookmarkStart w:id="259" w:name="anchor-65-3"/>
      <w:bookmarkEnd w:id="259"/>
    </w:p>
    <w:p>
      <w:pPr>
        <w:numPr>
          <w:ilvl w:val="0"/>
          <w:numId w:val="1158"/>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pStyle w:val="FirstParagraph"/>
      </w:pPr>
      <w:bookmarkStart w:id="260" w:name="anchor-65-4"/>
      <w:bookmarkEnd w:id="260"/>
    </w:p>
    <w:p>
      <w:pPr>
        <w:numPr>
          <w:ilvl w:val="0"/>
          <w:numId w:val="1159"/>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1"/>
    <w:bookmarkStart w:id="263" w:name="other-occasions-of-public-worship"/>
    <w:p>
      <w:pPr>
        <w:pStyle w:val="Heading2"/>
      </w:pPr>
      <w:r>
        <w:t xml:space="preserve">66. Other Occasions of Public Worship</w:t>
      </w:r>
    </w:p>
    <w:p>
      <w:pPr>
        <w:pStyle w:val="FirstParagraph"/>
      </w:pPr>
      <w:bookmarkStart w:id="262" w:name="anchor-66"/>
      <w:bookmarkEnd w:id="262"/>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3"/>
    <w:bookmarkStart w:id="265" w:name="prayer-meetings"/>
    <w:p>
      <w:pPr>
        <w:pStyle w:val="Heading2"/>
      </w:pPr>
      <w:r>
        <w:t xml:space="preserve">67. Prayer Meetings</w:t>
      </w:r>
    </w:p>
    <w:p>
      <w:pPr>
        <w:pStyle w:val="FirstParagraph"/>
      </w:pPr>
      <w:bookmarkStart w:id="264" w:name="anchor-67"/>
      <w:bookmarkEnd w:id="264"/>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5"/>
    <w:bookmarkStart w:id="267" w:name="prayer-and-fasting"/>
    <w:p>
      <w:pPr>
        <w:pStyle w:val="Heading2"/>
      </w:pPr>
      <w:r>
        <w:t xml:space="preserve">68. Prayer and Fasting</w:t>
      </w:r>
    </w:p>
    <w:p>
      <w:pPr>
        <w:numPr>
          <w:ilvl w:val="0"/>
          <w:numId w:val="1160"/>
        </w:numPr>
      </w:pPr>
      <w:bookmarkStart w:id="266" w:name="anchor-68"/>
      <w:bookmarkEnd w:id="266"/>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60"/>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60"/>
        </w:numPr>
      </w:pPr>
      <w:r>
        <w:t xml:space="preserve">Public notice is to be given before the time of prayer and fasting comes, to enable persons to order their temporal affairs so that they can participate.</w:t>
      </w:r>
    </w:p>
    <w:p>
      <w:pPr>
        <w:numPr>
          <w:ilvl w:val="0"/>
          <w:numId w:val="1160"/>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7"/>
    <w:bookmarkStart w:id="269" w:name="thanksgiving"/>
    <w:p>
      <w:pPr>
        <w:pStyle w:val="Heading2"/>
      </w:pPr>
      <w:r>
        <w:t xml:space="preserve">69. Thanksgiving</w:t>
      </w:r>
    </w:p>
    <w:p>
      <w:pPr>
        <w:numPr>
          <w:ilvl w:val="0"/>
          <w:numId w:val="1161"/>
        </w:numPr>
      </w:pPr>
      <w:bookmarkStart w:id="268" w:name="anchor-69"/>
      <w:bookmarkEnd w:id="268"/>
      <w:r>
        <w:t xml:space="preserve"> </w:t>
      </w:r>
      <w:r>
        <w:t xml:space="preserve">When God’s blessings on the church, community, or nation are particularly evident, it is fitting that the people of God engage in special times of thanksgiving.</w:t>
      </w:r>
    </w:p>
    <w:p>
      <w:pPr>
        <w:numPr>
          <w:ilvl w:val="0"/>
          <w:numId w:val="1161"/>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61"/>
        </w:numPr>
      </w:pPr>
      <w:r>
        <w:t xml:space="preserve">Public notice is to be given before the day of thanksgiving comes, to enable persons to order their temporal affairs so that they can participate.</w:t>
      </w:r>
    </w:p>
    <w:p>
      <w:pPr>
        <w:numPr>
          <w:ilvl w:val="0"/>
          <w:numId w:val="1161"/>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69"/>
    <w:bookmarkStart w:id="271" w:name="home-fellowship-groups"/>
    <w:p>
      <w:pPr>
        <w:pStyle w:val="Heading2"/>
      </w:pPr>
      <w:r>
        <w:t xml:space="preserve">70. Home Fellowship Groups</w:t>
      </w:r>
    </w:p>
    <w:p>
      <w:pPr>
        <w:numPr>
          <w:ilvl w:val="0"/>
          <w:numId w:val="1162"/>
        </w:numPr>
      </w:pPr>
      <w:bookmarkStart w:id="270" w:name="anchor-70"/>
      <w:bookmarkEnd w:id="270"/>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62"/>
        </w:numPr>
      </w:pPr>
      <w:r>
        <w:t xml:space="preserve">Such a gathering is no substitute for the public worship of the local church on the Lord’s Day.</w:t>
      </w:r>
    </w:p>
    <w:p>
      <w:pPr>
        <w:numPr>
          <w:ilvl w:val="0"/>
          <w:numId w:val="1162"/>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1"/>
    <w:bookmarkStart w:id="284" w:name="the-solemnization-of-marriage"/>
    <w:p>
      <w:pPr>
        <w:pStyle w:val="Heading2"/>
      </w:pPr>
      <w:r>
        <w:t xml:space="preserve">71. The Solemnization of Marriage</w:t>
      </w:r>
    </w:p>
    <w:p>
      <w:pPr>
        <w:pStyle w:val="Compact"/>
        <w:numPr>
          <w:ilvl w:val="0"/>
          <w:numId w:val="1163"/>
        </w:numPr>
      </w:pPr>
      <w:bookmarkStart w:id="272" w:name="anchor-71"/>
      <w:bookmarkEnd w:id="272"/>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3"/>
      </w:r>
    </w:p>
    <w:p>
      <w:pPr>
        <w:numPr>
          <w:ilvl w:val="0"/>
          <w:numId w:val="1164"/>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4"/>
        </w:numPr>
      </w:pPr>
      <w:bookmarkStart w:id="274" w:name="anchor-71-3"/>
      <w:bookmarkEnd w:id="274"/>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5"/>
      </w:r>
    </w:p>
    <w:p>
      <w:pPr>
        <w:pStyle w:val="Compact"/>
        <w:numPr>
          <w:ilvl w:val="0"/>
          <w:numId w:val="1165"/>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6"/>
      </w:r>
    </w:p>
    <w:p>
      <w:pPr>
        <w:pStyle w:val="Compact"/>
        <w:numPr>
          <w:ilvl w:val="0"/>
          <w:numId w:val="1166"/>
        </w:numPr>
      </w:pPr>
      <w:r>
        <w:t xml:space="preserve">Marriage is to be a lifelong, monogamous union between one man and one woman,</w:t>
      </w:r>
      <w:r>
        <w:rPr>
          <w:rStyle w:val="FootnoteReference"/>
        </w:rPr>
        <w:footnoteReference w:id="279"/>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7"/>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7"/>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7"/>
        </w:numPr>
      </w:pPr>
      <w:r>
        <w:t xml:space="preserve">Parents should neither compel their children to marry contrary to their will, nor deny their consent without just and significant reasons.</w:t>
      </w:r>
    </w:p>
    <w:p>
      <w:pPr>
        <w:numPr>
          <w:ilvl w:val="0"/>
          <w:numId w:val="1167"/>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1"/>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8"/>
        </w:numPr>
      </w:pPr>
      <w:r>
        <w:t xml:space="preserve">God forbids divorce except in two circumstances: (1) when one spouse abandons the other, and (2) when a spouse engages in sexual immorality.</w:t>
      </w:r>
      <w:r>
        <w:rPr>
          <w:rStyle w:val="FootnoteReference"/>
        </w:rPr>
        <w:footnoteReference w:id="282"/>
      </w:r>
    </w:p>
    <w:bookmarkEnd w:id="284"/>
    <w:bookmarkStart w:id="291" w:name="X418bffa15e06d4069dd9d3137bae3273dbf9013"/>
    <w:p>
      <w:pPr>
        <w:pStyle w:val="Heading2"/>
      </w:pPr>
      <w:r>
        <w:t xml:space="preserve">72. Other Policies Related to Biblical Sexuality</w:t>
      </w:r>
    </w:p>
    <w:p>
      <w:pPr>
        <w:pStyle w:val="FirstParagraph"/>
      </w:pPr>
      <w:bookmarkStart w:id="285" w:name="anchor-72"/>
      <w:bookmarkEnd w:id="285"/>
      <w:r>
        <w:t xml:space="preserve">In accordance with the beliefs laid out in the</w:t>
      </w:r>
      <w:r>
        <w:t xml:space="preserve"> </w:t>
      </w:r>
      <w:hyperlink r:id="rId286">
        <w:r>
          <w:rPr>
            <w:rStyle w:val="Hyperlink"/>
          </w:rPr>
          <w:t xml:space="preserve">Declaration of Doctrine on Sexuality (DDS)</w:t>
        </w:r>
      </w:hyperlink>
      <w:r>
        <w:t xml:space="preserve">, namely, that God created each person as either male or female (</w:t>
      </w:r>
      <w:hyperlink r:id="rId287">
        <w:r>
          <w:rPr>
            <w:rStyle w:val="Hyperlink"/>
          </w:rPr>
          <w:t xml:space="preserve">DDS 5–6</w:t>
        </w:r>
      </w:hyperlink>
      <w:r>
        <w:t xml:space="preserve">); that each person has a subsequent responsibility to live in accordance with the genetic sex given to him by God (</w:t>
      </w:r>
      <w:hyperlink r:id="rId288">
        <w:r>
          <w:rPr>
            <w:rStyle w:val="Hyperlink"/>
          </w:rPr>
          <w:t xml:space="preserve">DDS 6–7</w:t>
        </w:r>
      </w:hyperlink>
      <w:r>
        <w:t xml:space="preserve">); and that any attempt of a man to play the woman or a woman to play the man violates God’s decree (</w:t>
      </w:r>
      <w:hyperlink r:id="rId289">
        <w:r>
          <w:rPr>
            <w:rStyle w:val="Hyperlink"/>
          </w:rPr>
          <w:t xml:space="preserve">DDS 8</w:t>
        </w:r>
      </w:hyperlink>
      <w:r>
        <w:t xml:space="preserve">); Evangel Presbytery has adopted the following policies relating to sexuality:</w:t>
      </w:r>
    </w:p>
    <w:p>
      <w:pPr>
        <w:numPr>
          <w:ilvl w:val="0"/>
          <w:numId w:val="1169"/>
        </w:numPr>
      </w:pPr>
      <w:r>
        <w:t xml:space="preserve">Participation in any program or activity that is limited to men and/or boys (e.g., a men’s Bible study or a men’s retreat) shall be exclusively limited to males.</w:t>
      </w:r>
    </w:p>
    <w:p>
      <w:pPr>
        <w:numPr>
          <w:ilvl w:val="0"/>
          <w:numId w:val="1169"/>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9"/>
        </w:numPr>
      </w:pPr>
      <w:r>
        <w:t xml:space="preserve">Access to facilities that are designated for use by men (e.g., a men’s restroom) shall be exclusively limited to males.</w:t>
      </w:r>
    </w:p>
    <w:p>
      <w:pPr>
        <w:numPr>
          <w:ilvl w:val="0"/>
          <w:numId w:val="1169"/>
        </w:numPr>
      </w:pPr>
      <w:r>
        <w:t xml:space="preserve">Access to facilities that are designated for use by women (e.g., a women’s restroom or nursing/cry room, etc.) shall be exclusively limited to females.</w:t>
      </w:r>
    </w:p>
    <w:p>
      <w:pPr>
        <w:numPr>
          <w:ilvl w:val="0"/>
          <w:numId w:val="1169"/>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0"/>
      </w:r>
    </w:p>
    <w:p>
      <w:pPr>
        <w:pStyle w:val="Compact"/>
        <w:numPr>
          <w:ilvl w:val="0"/>
          <w:numId w:val="1170"/>
        </w:numPr>
      </w:pPr>
      <w:r>
        <w:t xml:space="preserve">Wise and compassionate pastoral discretion is necessary to apply the rules set forth in this chapter. In certain instances the higher law of love may preclude swift and rigid enforcement of rules.</w:t>
      </w:r>
    </w:p>
    <w:bookmarkEnd w:id="291"/>
    <w:bookmarkStart w:id="293" w:name="the-visitation-of-the-sick"/>
    <w:p>
      <w:pPr>
        <w:pStyle w:val="Heading2"/>
      </w:pPr>
      <w:r>
        <w:t xml:space="preserve">73. The Visitation of the Sick</w:t>
      </w:r>
    </w:p>
    <w:p>
      <w:pPr>
        <w:numPr>
          <w:ilvl w:val="0"/>
          <w:numId w:val="1171"/>
        </w:numPr>
      </w:pPr>
      <w:bookmarkStart w:id="292" w:name="anchor-73"/>
      <w:bookmarkEnd w:id="292"/>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71"/>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3"/>
    <w:bookmarkStart w:id="295" w:name="worship-in-the-home"/>
    <w:p>
      <w:pPr>
        <w:pStyle w:val="Heading2"/>
      </w:pPr>
      <w:r>
        <w:t xml:space="preserve">74. Worship in the Home</w:t>
      </w:r>
    </w:p>
    <w:p>
      <w:pPr>
        <w:numPr>
          <w:ilvl w:val="0"/>
          <w:numId w:val="1172"/>
        </w:numPr>
      </w:pPr>
      <w:bookmarkStart w:id="294" w:name="anchor-74"/>
      <w:bookmarkEnd w:id="294"/>
      <w:r>
        <w:t xml:space="preserve">In addition to public worship, it is the duty of each person in private, and of every family in private, to worship God.</w:t>
      </w:r>
    </w:p>
    <w:p>
      <w:pPr>
        <w:numPr>
          <w:ilvl w:val="0"/>
          <w:numId w:val="1172"/>
        </w:numPr>
      </w:pPr>
      <w:r>
        <w:t xml:space="preserve">Private worship is commanded by our Lord. In this duty everyone, should spend some time in prayer, reading the Scriptures, holy meditation, and serious self-examination.</w:t>
      </w:r>
    </w:p>
    <w:p>
      <w:pPr>
        <w:numPr>
          <w:ilvl w:val="0"/>
          <w:numId w:val="1172"/>
        </w:numPr>
      </w:pPr>
      <w:r>
        <w:t xml:space="preserve">Family worship, which should be observed by every family, should consist in prayer, reading the Scriptures, and singing praises, even if briefly.</w:t>
      </w:r>
    </w:p>
    <w:p>
      <w:pPr>
        <w:numPr>
          <w:ilvl w:val="0"/>
          <w:numId w:val="1172"/>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72"/>
        </w:numPr>
      </w:pPr>
      <w:r>
        <w:t xml:space="preserve">Parents should set an example of piety and consistent living before the family. The Lord’s Day should be sanctified and left free for worship, rest, and works of mercy.</w:t>
      </w:r>
    </w:p>
    <w:p>
      <w:pPr>
        <w:numPr>
          <w:ilvl w:val="0"/>
          <w:numId w:val="1172"/>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5"/>
    <w:bookmarkStart w:id="298" w:name="Xa33a3fb8d78fdecadb2d0ff5da4243df5e7f5d2"/>
    <w:p>
      <w:pPr>
        <w:pStyle w:val="Heading2"/>
      </w:pPr>
      <w:r>
        <w:t xml:space="preserve">75. Suggested Form for the Solemnization of Marriage</w:t>
      </w:r>
    </w:p>
    <w:p>
      <w:pPr>
        <w:pStyle w:val="FirstParagraph"/>
      </w:pPr>
      <w:bookmarkStart w:id="296" w:name="anchor-75"/>
      <w:bookmarkEnd w:id="296"/>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7"/>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298"/>
    <w:bookmarkStart w:id="306" w:name="suggested-form-for-a-funeral"/>
    <w:p>
      <w:pPr>
        <w:pStyle w:val="Heading2"/>
      </w:pPr>
      <w:r>
        <w:t xml:space="preserve">76. Suggested Form for a Funeral</w:t>
      </w:r>
    </w:p>
    <w:p>
      <w:pPr>
        <w:pStyle w:val="FirstParagraph"/>
      </w:pPr>
      <w:bookmarkStart w:id="299" w:name="anchor-76"/>
      <w:bookmarkEnd w:id="299"/>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1"/>
      </w:r>
    </w:p>
    <w:p>
      <w:pPr>
        <w:pStyle w:val="BlockText"/>
      </w:pPr>
      <w:r>
        <w:t xml:space="preserve">“For we are sojourners before You, and tenants, as all our fathers were; our days on the earth are like a shadow, and there is no hope.”</w:t>
      </w:r>
      <w:r>
        <w:rPr>
          <w:rStyle w:val="FootnoteReference"/>
        </w:rPr>
        <w:footnoteReference w:id="302"/>
      </w:r>
    </w:p>
    <w:p>
      <w:pPr>
        <w:pStyle w:val="BlockText"/>
      </w:pPr>
      <w:r>
        <w:t xml:space="preserve">“For we have brought nothing into the world, so we cannot take anything out of it either.”</w:t>
      </w:r>
      <w:r>
        <w:rPr>
          <w:rStyle w:val="FootnoteReference"/>
        </w:rPr>
        <w:footnoteReference w:id="303"/>
      </w:r>
    </w:p>
    <w:p>
      <w:pPr>
        <w:pStyle w:val="BlockText"/>
      </w:pPr>
      <w:r>
        <w:t xml:space="preserve">“</w:t>
      </w:r>
      <w:r>
        <w:t xml:space="preserve">‘The LORD gave and the LORD has taken away. Blessed be the name of the LORD.’</w:t>
      </w:r>
      <w:r>
        <w:t xml:space="preserve">”</w:t>
      </w:r>
      <w:r>
        <w:rPr>
          <w:rStyle w:val="FootnoteReference"/>
        </w:rPr>
        <w:footnoteReference w:id="304"/>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5"/>
      </w:r>
      <w:r>
        <w:t xml:space="preserve"> </w:t>
      </w:r>
      <w:r>
        <w:t xml:space="preserve">Amen.</w:t>
      </w:r>
    </w:p>
    <w:bookmarkEnd w:id="306"/>
    <w:bookmarkStart w:id="314" w:name="suggested-form-for-a-childs-funeral"/>
    <w:p>
      <w:pPr>
        <w:pStyle w:val="Heading2"/>
      </w:pPr>
      <w:r>
        <w:t xml:space="preserve">77. Suggested Form for a Child’s Funeral</w:t>
      </w:r>
    </w:p>
    <w:p>
      <w:pPr>
        <w:pStyle w:val="FirstParagraph"/>
      </w:pPr>
      <w:bookmarkStart w:id="307" w:name="anchor-77"/>
      <w:bookmarkEnd w:id="307"/>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08"/>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9"/>
      </w:r>
    </w:p>
    <w:p>
      <w:pPr>
        <w:pStyle w:val="BlockText"/>
      </w:pPr>
      <w:r>
        <w:t xml:space="preserve">“</w:t>
      </w:r>
      <w:r>
        <w:t xml:space="preserve">‘The LORD gave and the LORD has taken away. Blessed be the name of the LORD.’</w:t>
      </w:r>
      <w:r>
        <w:t xml:space="preserve">”</w:t>
      </w:r>
      <w:r>
        <w:rPr>
          <w:rStyle w:val="FootnoteReference"/>
        </w:rPr>
        <w:footnoteReference w:id="310"/>
      </w:r>
    </w:p>
    <w:p>
      <w:pPr>
        <w:pStyle w:val="BlockText"/>
      </w:pPr>
      <w:r>
        <w:t xml:space="preserve">“</w:t>
      </w:r>
      <w:r>
        <w:t xml:space="preserve">‘Come to Me, all who are weary and heavy-laden, and I will give you rest.’</w:t>
      </w:r>
      <w:r>
        <w:t xml:space="preserve">”</w:t>
      </w:r>
      <w:r>
        <w:rPr>
          <w:rStyle w:val="FootnoteReference"/>
        </w:rPr>
        <w:footnoteReference w:id="311"/>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2"/>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3"/>
      </w:r>
      <w:r>
        <w:t xml:space="preserve"> </w:t>
      </w:r>
      <w:r>
        <w:t xml:space="preserve">Amen.</w:t>
      </w:r>
    </w:p>
    <w:bookmarkEnd w:id="314"/>
    <w:bookmarkStart w:id="316" w:name="Xda5bd949aa424424fe1e3504a515b7f4dd8cf12"/>
    <w:p>
      <w:pPr>
        <w:pStyle w:val="Heading2"/>
      </w:pPr>
      <w:r>
        <w:t xml:space="preserve">78. Suggested Form for a Graveside Committal Service</w:t>
      </w:r>
    </w:p>
    <w:p>
      <w:pPr>
        <w:pStyle w:val="FirstParagraph"/>
      </w:pPr>
      <w:bookmarkStart w:id="315" w:name="anchor-78"/>
      <w:bookmarkEnd w:id="315"/>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6"/>
    <w:bookmarkStart w:id="320" w:name="suggested-form-for-infant-dedication"/>
    <w:p>
      <w:pPr>
        <w:pStyle w:val="Heading2"/>
      </w:pPr>
      <w:r>
        <w:t xml:space="preserve">79. Suggested Form for Infant Dedication</w:t>
      </w:r>
    </w:p>
    <w:p>
      <w:pPr>
        <w:pStyle w:val="FirstParagraph"/>
      </w:pPr>
      <w:bookmarkStart w:id="317" w:name="anchor-79"/>
      <w:bookmarkEnd w:id="317"/>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18"/>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19"/>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0"/>
    <w:bookmarkStart w:id="341" w:name="the-creeds"/>
    <w:p>
      <w:pPr>
        <w:pStyle w:val="Heading2"/>
      </w:pPr>
      <w:r>
        <w:t xml:space="preserve">80. The Creeds</w:t>
      </w:r>
    </w:p>
    <w:p>
      <w:pPr>
        <w:pStyle w:val="FirstParagraph"/>
      </w:pPr>
      <w:bookmarkStart w:id="321" w:name="anchor-80"/>
      <w:bookmarkEnd w:id="321"/>
    </w:p>
    <w:bookmarkStart w:id="329" w:name="the-apostles-creed"/>
    <w:p>
      <w:pPr>
        <w:pStyle w:val="Heading3"/>
      </w:pPr>
      <w:r>
        <w:t xml:space="preserve">1.</w:t>
      </w:r>
      <w:r>
        <w:t xml:space="preserve"> </w:t>
      </w:r>
      <w:r>
        <w:rPr>
          <w:b/>
          <w:bCs/>
        </w:rPr>
        <w:t xml:space="preserve">The Apostles’ Creed</w:t>
      </w:r>
    </w:p>
    <w:p>
      <w:pPr>
        <w:pStyle w:val="FirstParagraph"/>
      </w:pPr>
      <w:bookmarkStart w:id="322" w:name="the-apostles-creed"/>
      <w:bookmarkEnd w:id="322"/>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3"/>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4"/>
      </w:r>
      <w:r>
        <w:t xml:space="preserve"> </w:t>
      </w:r>
      <w:r>
        <w:t xml:space="preserve">on the right hand of God the Father Almighty;</w:t>
      </w:r>
      <w:r>
        <w:br/>
      </w:r>
      <w:r>
        <w:t xml:space="preserve">from thence</w:t>
      </w:r>
      <w:r>
        <w:rPr>
          <w:rStyle w:val="FootnoteReference"/>
        </w:rPr>
        <w:footnoteReference w:id="325"/>
      </w:r>
      <w:r>
        <w:t xml:space="preserve"> </w:t>
      </w:r>
      <w:r>
        <w:t xml:space="preserve">He shall come to judge the quick</w:t>
      </w:r>
      <w:r>
        <w:rPr>
          <w:rStyle w:val="FootnoteReference"/>
        </w:rPr>
        <w:footnoteReference w:id="326"/>
      </w:r>
      <w:r>
        <w:t xml:space="preserve"> </w:t>
      </w:r>
      <w:r>
        <w:t xml:space="preserve">and the dead.</w:t>
      </w:r>
    </w:p>
    <w:p>
      <w:pPr>
        <w:pStyle w:val="BlockText"/>
      </w:pPr>
      <w:r>
        <w:t xml:space="preserve">I believe in the Holy Ghost,</w:t>
      </w:r>
      <w:r>
        <w:rPr>
          <w:rStyle w:val="FootnoteReference"/>
        </w:rPr>
        <w:footnoteReference w:id="327"/>
      </w:r>
      <w:r>
        <w:br/>
      </w:r>
      <w:r>
        <w:t xml:space="preserve">the holy catholic</w:t>
      </w:r>
      <w:r>
        <w:rPr>
          <w:rStyle w:val="FootnoteReference"/>
        </w:rPr>
        <w:footnoteReference w:id="328"/>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29"/>
    <w:bookmarkStart w:id="333" w:name="the-nicene-creed"/>
    <w:p>
      <w:pPr>
        <w:pStyle w:val="Heading3"/>
      </w:pPr>
      <w:r>
        <w:t xml:space="preserve">2.</w:t>
      </w:r>
      <w:r>
        <w:t xml:space="preserve"> </w:t>
      </w:r>
      <w:r>
        <w:rPr>
          <w:b/>
          <w:bCs/>
        </w:rPr>
        <w:t xml:space="preserve">The Nicene Creed</w:t>
      </w:r>
    </w:p>
    <w:p>
      <w:pPr>
        <w:pStyle w:val="FirstParagraph"/>
      </w:pPr>
      <w:bookmarkStart w:id="330" w:name="the-nicene-creed"/>
      <w:bookmarkEnd w:id="330"/>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1"/>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2"/>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3"/>
    <w:bookmarkStart w:id="336" w:name="the-athanasian-creed"/>
    <w:p>
      <w:pPr>
        <w:pStyle w:val="Heading3"/>
      </w:pPr>
      <w:r>
        <w:t xml:space="preserve">3.</w:t>
      </w:r>
      <w:r>
        <w:t xml:space="preserve"> </w:t>
      </w:r>
      <w:r>
        <w:rPr>
          <w:b/>
          <w:bCs/>
        </w:rPr>
        <w:t xml:space="preserve">The Athanasian Creed</w:t>
      </w:r>
    </w:p>
    <w:p>
      <w:pPr>
        <w:pStyle w:val="FirstParagraph"/>
      </w:pPr>
      <w:bookmarkStart w:id="334" w:name="the-athanasian-creed"/>
      <w:bookmarkEnd w:id="334"/>
    </w:p>
    <w:p>
      <w:pPr>
        <w:pStyle w:val="BlockText"/>
      </w:pPr>
      <w:r>
        <w:t xml:space="preserve">[1] Whoever desires to be saved should above all hold to the catholic</w:t>
      </w:r>
      <w:r>
        <w:rPr>
          <w:rStyle w:val="FootnoteReference"/>
        </w:rPr>
        <w:footnoteReference w:id="335"/>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6"/>
    <w:bookmarkStart w:id="340" w:name="the-chalcedonian-creed"/>
    <w:p>
      <w:pPr>
        <w:pStyle w:val="Heading3"/>
      </w:pPr>
      <w:r>
        <w:t xml:space="preserve">4.</w:t>
      </w:r>
      <w:r>
        <w:t xml:space="preserve"> </w:t>
      </w:r>
      <w:r>
        <w:rPr>
          <w:b/>
          <w:bCs/>
        </w:rPr>
        <w:t xml:space="preserve">The Chalcedonian Creed</w:t>
      </w:r>
    </w:p>
    <w:p>
      <w:pPr>
        <w:pStyle w:val="FirstParagraph"/>
      </w:pPr>
      <w:bookmarkStart w:id="337" w:name="the-chalcedonian-creed"/>
      <w:bookmarkEnd w:id="337"/>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38"/>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39"/>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0"/>
    <w:bookmarkEnd w:id="341"/>
    <w:bookmarkEnd w:id="342"/>
    <w:bookmarkStart w:id="346" w:name="appendix-1-presbytery-forms"/>
    <w:p>
      <w:pPr>
        <w:pStyle w:val="Heading1"/>
      </w:pPr>
      <w:r>
        <w:t xml:space="preserve">Appendix 1: Presbytery Forms</w:t>
      </w:r>
    </w:p>
    <w:bookmarkStart w:id="345" w:name="form-of-ministerial-obligation"/>
    <w:p>
      <w:pPr>
        <w:pStyle w:val="Heading2"/>
      </w:pPr>
      <w:r>
        <w:t xml:space="preserve">Form of Ministerial Obligation</w:t>
      </w:r>
    </w:p>
    <w:p>
      <w:pPr>
        <w:pStyle w:val="FirstParagraph"/>
      </w:pPr>
      <w:bookmarkStart w:id="343" w:name="Xae9248a0fa53a206ebf12316a29ec44f369ab40"/>
      <w:bookmarkEnd w:id="343"/>
      <w:r>
        <w:t xml:space="preserve"> </w:t>
      </w:r>
      <w:bookmarkStart w:id="344" w:name="anchor-form-of-ministerial-obligation"/>
      <w:bookmarkEnd w:id="344"/>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5"/>
    <w:bookmarkEnd w:id="346"/>
    <w:bookmarkStart w:id="356" w:name="Xc6fc7b9496f09729869b8ab05e2b4c77d8815c9"/>
    <w:p>
      <w:pPr>
        <w:pStyle w:val="Heading1"/>
      </w:pPr>
      <w:r>
        <w:t xml:space="preserve">Appendix 2: Original Texts of Liturgical Forms</w:t>
      </w:r>
    </w:p>
    <w:bookmarkStart w:id="349" w:name="Xd71852eec4774270f400fcb621a9b94ea521c98"/>
    <w:p>
      <w:pPr>
        <w:pStyle w:val="Heading2"/>
      </w:pPr>
      <w:r>
        <w:t xml:space="preserve">1. Calvin’s Service of the Lord’s Supper (1542, 1566)</w:t>
      </w:r>
    </w:p>
    <w:p>
      <w:pPr>
        <w:pStyle w:val="FirstParagraph"/>
      </w:pPr>
      <w:bookmarkStart w:id="347" w:name="anchor-appendix2-1"/>
      <w:bookmarkEnd w:id="347"/>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48"/>
      </w:r>
    </w:p>
    <w:bookmarkEnd w:id="349"/>
    <w:bookmarkStart w:id="352" w:name="Xdf2a2805bd4b0a4713c0db933aa6cccc73bcf38"/>
    <w:p>
      <w:pPr>
        <w:pStyle w:val="Heading2"/>
      </w:pPr>
      <w:r>
        <w:t xml:space="preserve">2. The Form of Solemnization of Matrimony (1549 Book of Common Prayer)</w:t>
      </w:r>
    </w:p>
    <w:p>
      <w:pPr>
        <w:pStyle w:val="FirstParagraph"/>
      </w:pPr>
      <w:bookmarkStart w:id="350" w:name="anchor-appendix2-2"/>
      <w:bookmarkEnd w:id="350"/>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1"/>
      </w:r>
    </w:p>
    <w:bookmarkEnd w:id="352"/>
    <w:bookmarkStart w:id="355" w:name="X486e77db7284ecb45ef32f2dcdf393f8005c634"/>
    <w:p>
      <w:pPr>
        <w:pStyle w:val="Heading2"/>
      </w:pPr>
      <w:r>
        <w:t xml:space="preserve">3. The Order for the Burial of the Dead (1549 Book of Common Prayer)</w:t>
      </w:r>
    </w:p>
    <w:p>
      <w:pPr>
        <w:pStyle w:val="FirstParagraph"/>
      </w:pPr>
      <w:bookmarkStart w:id="353" w:name="anchor-appendix2-3"/>
      <w:bookmarkEnd w:id="353"/>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4"/>
      </w:r>
    </w:p>
    <w:bookmarkEnd w:id="355"/>
    <w:bookmarkEnd w:id="356"/>
    <w:bookmarkStart w:id="364"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7">
        <w:r>
          <w:rPr>
            <w:rStyle w:val="Hyperlink"/>
            <w:i/>
            <w:iCs/>
          </w:rPr>
          <w:t xml:space="preserve">click here</w:t>
        </w:r>
      </w:hyperlink>
      <w:r>
        <w:rPr>
          <w:i/>
          <w:iCs/>
        </w:rPr>
        <w:t xml:space="preserve">.</w:t>
      </w:r>
    </w:p>
    <w:p>
      <w:pPr>
        <w:pStyle w:val="Compact"/>
        <w:numPr>
          <w:ilvl w:val="0"/>
          <w:numId w:val="1173"/>
        </w:numPr>
      </w:pPr>
      <w:r>
        <w:rPr>
          <w:b/>
          <w:bCs/>
        </w:rPr>
        <w:t xml:space="preserve">Current version:</w:t>
      </w:r>
    </w:p>
    <w:p>
      <w:pPr>
        <w:pStyle w:val="Compact"/>
        <w:numPr>
          <w:ilvl w:val="0"/>
          <w:numId w:val="1173"/>
        </w:numPr>
      </w:pPr>
      <w:r>
        <w:t xml:space="preserve">Amendment to BCO 26.1 regarding the notice required before congregational meetings. Ratified at the February 6, 2025 meeting of Presbytery.</w:t>
      </w:r>
    </w:p>
    <w:p>
      <w:pPr>
        <w:pStyle w:val="Compact"/>
        <w:numPr>
          <w:ilvl w:val="0"/>
          <w:numId w:val="1173"/>
        </w:numPr>
      </w:pPr>
      <w:r>
        <w:t xml:space="preserve">Amendment to BCO 15.10 regarding special called meetings. Ratified at the June 6, 2024 meeting of Presbytery.</w:t>
      </w:r>
    </w:p>
    <w:p>
      <w:pPr>
        <w:pStyle w:val="Compact"/>
        <w:numPr>
          <w:ilvl w:val="0"/>
          <w:numId w:val="1173"/>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3"/>
        </w:numPr>
      </w:pPr>
      <w:r>
        <w:t xml:space="preserve">Amendments to BCO 61.4 (regarding fencing the Lord’s table) and BCO 61.1 (regarding paedocommunion) ratified at the June 2023 meeting of Presbytery.</w:t>
      </w:r>
    </w:p>
    <w:p>
      <w:pPr>
        <w:pStyle w:val="Compact"/>
        <w:numPr>
          <w:ilvl w:val="0"/>
          <w:numId w:val="1173"/>
        </w:numPr>
      </w:pPr>
      <w:r>
        <w:t xml:space="preserve">Amendments to BCO 14, 24 and 64, ratified at the October 2022 meeting of Presbytery.</w:t>
      </w:r>
    </w:p>
    <w:p>
      <w:pPr>
        <w:pStyle w:val="Compact"/>
        <w:numPr>
          <w:ilvl w:val="0"/>
          <w:numId w:val="1173"/>
        </w:numPr>
      </w:pPr>
      <w:r>
        <w:t xml:space="preserve">Migrated from Pressbooks to Bookdown hosted on Github pages.</w:t>
      </w:r>
    </w:p>
    <w:p>
      <w:pPr>
        <w:pStyle w:val="Compact"/>
        <w:numPr>
          <w:ilvl w:val="0"/>
          <w:numId w:val="1173"/>
        </w:numPr>
      </w:pPr>
      <w:hyperlink r:id="rId358">
        <w:r>
          <w:rPr>
            <w:rStyle w:val="Hyperlink"/>
          </w:rPr>
          <w:t xml:space="preserve">Hot Fix December 10, 2021</w:t>
        </w:r>
      </w:hyperlink>
    </w:p>
    <w:p>
      <w:pPr>
        <w:pStyle w:val="Compact"/>
        <w:numPr>
          <w:ilvl w:val="1"/>
          <w:numId w:val="1174"/>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3"/>
        </w:numPr>
      </w:pPr>
      <w:hyperlink r:id="rId359">
        <w:r>
          <w:rPr>
            <w:rStyle w:val="Hyperlink"/>
          </w:rPr>
          <w:t xml:space="preserve">Amended October 8, 2021</w:t>
        </w:r>
      </w:hyperlink>
    </w:p>
    <w:p>
      <w:pPr>
        <w:pStyle w:val="Compact"/>
        <w:numPr>
          <w:ilvl w:val="0"/>
          <w:numId w:val="1173"/>
        </w:numPr>
      </w:pPr>
      <w:hyperlink r:id="rId360">
        <w:r>
          <w:rPr>
            <w:rStyle w:val="Hyperlink"/>
          </w:rPr>
          <w:t xml:space="preserve">Amended June 3, 2021</w:t>
        </w:r>
      </w:hyperlink>
    </w:p>
    <w:p>
      <w:pPr>
        <w:pStyle w:val="Compact"/>
        <w:numPr>
          <w:ilvl w:val="0"/>
          <w:numId w:val="1173"/>
        </w:numPr>
      </w:pPr>
      <w:hyperlink r:id="rId361">
        <w:r>
          <w:rPr>
            <w:rStyle w:val="Hyperlink"/>
          </w:rPr>
          <w:t xml:space="preserve">Amended on October 31, 2019</w:t>
        </w:r>
      </w:hyperlink>
    </w:p>
    <w:p>
      <w:pPr>
        <w:pStyle w:val="Compact"/>
        <w:numPr>
          <w:ilvl w:val="0"/>
          <w:numId w:val="1173"/>
        </w:numPr>
      </w:pPr>
      <w:hyperlink r:id="rId362">
        <w:r>
          <w:rPr>
            <w:rStyle w:val="Hyperlink"/>
          </w:rPr>
          <w:t xml:space="preserve">Amended on June 6, 2019</w:t>
        </w:r>
      </w:hyperlink>
    </w:p>
    <w:p>
      <w:pPr>
        <w:pStyle w:val="Compact"/>
        <w:numPr>
          <w:ilvl w:val="0"/>
          <w:numId w:val="1173"/>
        </w:numPr>
      </w:pPr>
      <w:hyperlink r:id="rId363">
        <w:r>
          <w:rPr>
            <w:rStyle w:val="Hyperlink"/>
          </w:rPr>
          <w:t xml:space="preserve">Original Version released February 28, 2019</w:t>
        </w:r>
      </w:hyperlink>
    </w:p>
    <w:bookmarkEnd w:id="3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8">
    <w:p>
      <w:pPr>
        <w:pStyle w:val="FootnoteText"/>
      </w:pPr>
      <w:r>
        <w:rPr>
          <w:rStyle w:val="FootnoteReference"/>
        </w:rPr>
        <w:footnoteRef/>
      </w:r>
      <w:r>
        <w:t xml:space="preserve"> </w:t>
      </w:r>
      <w:r>
        <w:t xml:space="preserve">American revisions as adopted by the Orthodox Presbyterian Church in 1936.</w:t>
      </w:r>
    </w:p>
  </w:footnote>
  <w:footnote w:id="44">
    <w:p>
      <w:pPr>
        <w:pStyle w:val="FootnoteText"/>
      </w:pPr>
      <w:r>
        <w:rPr>
          <w:rStyle w:val="FootnoteReference"/>
        </w:rPr>
        <w:footnoteRef/>
      </w:r>
      <w:r>
        <w:t xml:space="preserve"> </w:t>
      </w:r>
      <w:r>
        <w:t xml:space="preserve">Matthew 22:21.</w:t>
      </w:r>
    </w:p>
  </w:footnote>
  <w:footnote w:id="102">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3">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4">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6">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7">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08">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7">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28">
    <w:p>
      <w:pPr>
        <w:pStyle w:val="FootnoteText"/>
      </w:pPr>
      <w:r>
        <w:rPr>
          <w:rStyle w:val="FootnoteReference"/>
        </w:rPr>
        <w:footnoteRef/>
      </w:r>
      <w:r>
        <w:t xml:space="preserve"> </w:t>
      </w:r>
      <w:r>
        <w:t xml:space="preserve">https://evangelpresbytery.com/westminster-larger-catechism.</w:t>
      </w:r>
    </w:p>
  </w:footnote>
  <w:footnote w:id="129">
    <w:p>
      <w:pPr>
        <w:pStyle w:val="FootnoteText"/>
      </w:pPr>
      <w:r>
        <w:rPr>
          <w:rStyle w:val="FootnoteReference"/>
        </w:rPr>
        <w:footnoteRef/>
      </w:r>
      <w:r>
        <w:t xml:space="preserve"> </w:t>
      </w:r>
      <w:r>
        <w:t xml:space="preserve">https://evangelpresbytery.com/westminster-shorter-catechism.</w:t>
      </w:r>
    </w:p>
  </w:footnote>
  <w:footnote w:id="130">
    <w:p>
      <w:pPr>
        <w:pStyle w:val="FootnoteText"/>
      </w:pPr>
      <w:r>
        <w:rPr>
          <w:rStyle w:val="FootnoteReference"/>
        </w:rPr>
        <w:footnoteRef/>
      </w:r>
      <w:r>
        <w:t xml:space="preserve"> </w:t>
      </w:r>
      <w:r>
        <w:t xml:space="preserve">https://ddp.evangelpresbytery.com.</w:t>
      </w:r>
    </w:p>
  </w:footnote>
  <w:footnote w:id="135">
    <w:p>
      <w:pPr>
        <w:pStyle w:val="FootnoteText"/>
      </w:pPr>
      <w:r>
        <w:rPr>
          <w:rStyle w:val="FootnoteReference"/>
        </w:rPr>
        <w:footnoteRef/>
      </w:r>
      <w:r>
        <w:t xml:space="preserve"> </w:t>
      </w:r>
      <w:r>
        <w:t xml:space="preserve">1 Timothy 4:7.</w:t>
      </w:r>
    </w:p>
  </w:footnote>
  <w:footnote w:id="139">
    <w:p>
      <w:pPr>
        <w:pStyle w:val="FootnoteText"/>
      </w:pPr>
      <w:r>
        <w:rPr>
          <w:rStyle w:val="FootnoteReference"/>
        </w:rPr>
        <w:footnoteRef/>
      </w:r>
      <w:r>
        <w:t xml:space="preserve"> </w:t>
      </w:r>
      <w:r>
        <w:t xml:space="preserve">Isaiah 7:15-16.</w:t>
      </w:r>
    </w:p>
  </w:footnote>
  <w:footnote w:id="140">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49">
    <w:p>
      <w:pPr>
        <w:pStyle w:val="FootnoteText"/>
      </w:pPr>
      <w:r>
        <w:rPr>
          <w:rStyle w:val="FootnoteReference"/>
        </w:rPr>
        <w:footnoteRef/>
      </w:r>
      <w:r>
        <w:t xml:space="preserve"> </w:t>
      </w:r>
      <w:r>
        <w:t xml:space="preserve">Matthew 18:15-16.</w:t>
      </w:r>
    </w:p>
  </w:footnote>
  <w:footnote w:id="152">
    <w:p>
      <w:pPr>
        <w:pStyle w:val="FootnoteText"/>
      </w:pPr>
      <w:r>
        <w:rPr>
          <w:rStyle w:val="FootnoteReference"/>
        </w:rPr>
        <w:footnoteRef/>
      </w:r>
      <w:r>
        <w:t xml:space="preserve"> </w:t>
      </w:r>
      <w:r>
        <w:t xml:space="preserve">Galatians 6:1.</w:t>
      </w:r>
    </w:p>
  </w:footnote>
  <w:footnote w:id="154">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69">
    <w:p>
      <w:pPr>
        <w:pStyle w:val="FootnoteText"/>
      </w:pPr>
      <w:r>
        <w:rPr>
          <w:rStyle w:val="FootnoteReference"/>
        </w:rPr>
        <w:footnoteRef/>
      </w:r>
      <w:r>
        <w:t xml:space="preserve"> </w:t>
      </w:r>
      <w:r>
        <w:t xml:space="preserve">1 Corinthians 5:9-13; Matthew 18:17.</w:t>
      </w:r>
    </w:p>
  </w:footnote>
  <w:footnote w:id="177">
    <w:p>
      <w:pPr>
        <w:pStyle w:val="FootnoteText"/>
      </w:pPr>
      <w:r>
        <w:rPr>
          <w:rStyle w:val="FootnoteReference"/>
        </w:rPr>
        <w:footnoteRef/>
      </w:r>
      <w:r>
        <w:t xml:space="preserve"> </w:t>
      </w:r>
      <w:hyperlink r:id="rId178">
        <w:r>
          <w:rPr>
            <w:rStyle w:val="Hyperlink"/>
          </w:rPr>
          <w:t xml:space="preserve">WCF 1.10</w:t>
        </w:r>
      </w:hyperlink>
      <w:r>
        <w:t xml:space="preserve">.</w:t>
      </w:r>
    </w:p>
  </w:footnote>
  <w:footnote w:id="179">
    <w:p>
      <w:pPr>
        <w:pStyle w:val="FootnoteText"/>
      </w:pPr>
      <w:r>
        <w:rPr>
          <w:rStyle w:val="FootnoteReference"/>
        </w:rPr>
        <w:footnoteRef/>
      </w:r>
      <w:r>
        <w:t xml:space="preserve"> </w:t>
      </w:r>
      <w:hyperlink r:id="rId180">
        <w:r>
          <w:rPr>
            <w:rStyle w:val="Hyperlink"/>
          </w:rPr>
          <w:t xml:space="preserve">WCF 31.3</w:t>
        </w:r>
      </w:hyperlink>
      <w:r>
        <w:t xml:space="preserve">.</w:t>
      </w:r>
    </w:p>
  </w:footnote>
  <w:footnote w:id="204">
    <w:p>
      <w:pPr>
        <w:pStyle w:val="FootnoteText"/>
      </w:pPr>
      <w:r>
        <w:rPr>
          <w:rStyle w:val="FootnoteReference"/>
        </w:rPr>
        <w:footnoteRef/>
      </w:r>
      <w:r>
        <w:t xml:space="preserve"> </w:t>
      </w:r>
      <w:r>
        <w:t xml:space="preserve">I.e., universal or worldwide.</w:t>
      </w:r>
    </w:p>
  </w:footnote>
  <w:footnote w:id="205">
    <w:p>
      <w:pPr>
        <w:pStyle w:val="FootnoteText"/>
      </w:pPr>
      <w:r>
        <w:rPr>
          <w:rStyle w:val="FootnoteReference"/>
        </w:rPr>
        <w:footnoteRef/>
      </w:r>
      <w:r>
        <w:t xml:space="preserve"> </w:t>
      </w:r>
      <w:r>
        <w:t xml:space="preserve">1 Corinthians 14:24-25.</w:t>
      </w:r>
    </w:p>
  </w:footnote>
  <w:footnote w:id="208">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1">
    <w:p>
      <w:pPr>
        <w:pStyle w:val="FootnoteText"/>
      </w:pPr>
      <w:r>
        <w:rPr>
          <w:rStyle w:val="FootnoteReference"/>
        </w:rPr>
        <w:footnoteRef/>
      </w:r>
      <w:r>
        <w:t xml:space="preserve"> </w:t>
      </w:r>
      <w:r>
        <w:t xml:space="preserve">1 Corinthians 14:34.</w:t>
      </w:r>
    </w:p>
  </w:footnote>
  <w:footnote w:id="214">
    <w:p>
      <w:pPr>
        <w:pStyle w:val="FootnoteText"/>
      </w:pPr>
      <w:r>
        <w:rPr>
          <w:rStyle w:val="FootnoteReference"/>
        </w:rPr>
        <w:footnoteRef/>
      </w:r>
      <w:r>
        <w:t xml:space="preserve"> </w:t>
      </w:r>
      <w:r>
        <w:t xml:space="preserve">Matthew 28:16-20; 1 Corinthians 11:23.</w:t>
      </w:r>
    </w:p>
  </w:footnote>
  <w:footnote w:id="215">
    <w:p>
      <w:pPr>
        <w:pStyle w:val="FootnoteText"/>
      </w:pPr>
      <w:r>
        <w:rPr>
          <w:rStyle w:val="FootnoteReference"/>
        </w:rPr>
        <w:footnoteRef/>
      </w:r>
      <w:r>
        <w:t xml:space="preserve"> </w:t>
      </w:r>
      <w:r>
        <w:t xml:space="preserve">1 Corinthians 4:1.</w:t>
      </w:r>
    </w:p>
  </w:footnote>
  <w:footnote w:id="216">
    <w:p>
      <w:pPr>
        <w:pStyle w:val="FootnoteText"/>
      </w:pPr>
      <w:r>
        <w:rPr>
          <w:rStyle w:val="FootnoteReference"/>
        </w:rPr>
        <w:footnoteRef/>
      </w:r>
      <w:r>
        <w:t xml:space="preserve"> </w:t>
      </w:r>
      <w:r>
        <w:t xml:space="preserve">Hebrews 5:4.</w:t>
      </w:r>
    </w:p>
  </w:footnote>
  <w:footnote w:id="217">
    <w:p>
      <w:pPr>
        <w:pStyle w:val="FootnoteText"/>
      </w:pPr>
      <w:r>
        <w:rPr>
          <w:rStyle w:val="FootnoteReference"/>
        </w:rPr>
        <w:footnoteRef/>
      </w:r>
      <w:r>
        <w:t xml:space="preserve"> </w:t>
      </w:r>
      <w:r>
        <w:t xml:space="preserve">Numbers 6:24-26.</w:t>
      </w:r>
    </w:p>
  </w:footnote>
  <w:footnote w:id="218">
    <w:p>
      <w:pPr>
        <w:pStyle w:val="FootnoteText"/>
      </w:pPr>
      <w:r>
        <w:rPr>
          <w:rStyle w:val="FootnoteReference"/>
        </w:rPr>
        <w:footnoteRef/>
      </w:r>
      <w:r>
        <w:t xml:space="preserve"> </w:t>
      </w:r>
      <w:r>
        <w:t xml:space="preserve">2 Corinthians 13:14.</w:t>
      </w:r>
    </w:p>
  </w:footnote>
  <w:footnote w:id="221">
    <w:p>
      <w:pPr>
        <w:pStyle w:val="FootnoteText"/>
      </w:pPr>
      <w:r>
        <w:rPr>
          <w:rStyle w:val="FootnoteReference"/>
        </w:rPr>
        <w:footnoteRef/>
      </w:r>
      <w:r>
        <w:t xml:space="preserve"> </w:t>
      </w:r>
      <w:r>
        <w:t xml:space="preserve">Luke 11:2; John 14:13-14.</w:t>
      </w:r>
    </w:p>
  </w:footnote>
  <w:footnote w:id="226">
    <w:p>
      <w:pPr>
        <w:pStyle w:val="FootnoteText"/>
      </w:pPr>
      <w:r>
        <w:rPr>
          <w:rStyle w:val="FootnoteReference"/>
        </w:rPr>
        <w:footnoteRef/>
      </w:r>
      <w:r>
        <w:t xml:space="preserve"> </w:t>
      </w:r>
      <w:r>
        <w:t xml:space="preserve">Genesis 17:7.</w:t>
      </w:r>
    </w:p>
  </w:footnote>
  <w:footnote w:id="227">
    <w:p>
      <w:pPr>
        <w:pStyle w:val="FootnoteText"/>
      </w:pPr>
      <w:r>
        <w:rPr>
          <w:rStyle w:val="FootnoteReference"/>
        </w:rPr>
        <w:footnoteRef/>
      </w:r>
      <w:r>
        <w:t xml:space="preserve"> </w:t>
      </w:r>
      <w:r>
        <w:t xml:space="preserve">Acts 2:39.</w:t>
      </w:r>
    </w:p>
  </w:footnote>
  <w:footnote w:id="228">
    <w:p>
      <w:pPr>
        <w:pStyle w:val="FootnoteText"/>
      </w:pPr>
      <w:r>
        <w:rPr>
          <w:rStyle w:val="FootnoteReference"/>
        </w:rPr>
        <w:footnoteRef/>
      </w:r>
      <w:r>
        <w:t xml:space="preserve"> </w:t>
      </w:r>
      <w:r>
        <w:t xml:space="preserve">Acts 16:31.</w:t>
      </w:r>
    </w:p>
  </w:footnote>
  <w:footnote w:id="229">
    <w:p>
      <w:pPr>
        <w:pStyle w:val="FootnoteText"/>
      </w:pPr>
      <w:r>
        <w:rPr>
          <w:rStyle w:val="FootnoteReference"/>
        </w:rPr>
        <w:footnoteRef/>
      </w:r>
      <w:r>
        <w:t xml:space="preserve"> </w:t>
      </w:r>
      <w:r>
        <w:t xml:space="preserve">1 Corinthians 7:14.</w:t>
      </w:r>
    </w:p>
  </w:footnote>
  <w:footnote w:id="230">
    <w:p>
      <w:pPr>
        <w:pStyle w:val="FootnoteText"/>
      </w:pPr>
      <w:r>
        <w:rPr>
          <w:rStyle w:val="FootnoteReference"/>
        </w:rPr>
        <w:footnoteRef/>
      </w:r>
      <w:r>
        <w:t xml:space="preserve"> </w:t>
      </w:r>
      <w:r>
        <w:t xml:space="preserve">Mark 10:14.</w:t>
      </w:r>
    </w:p>
  </w:footnote>
  <w:footnote w:id="231">
    <w:p>
      <w:pPr>
        <w:pStyle w:val="FootnoteText"/>
      </w:pPr>
      <w:r>
        <w:rPr>
          <w:rStyle w:val="FootnoteReference"/>
        </w:rPr>
        <w:footnoteRef/>
      </w:r>
      <w:r>
        <w:t xml:space="preserve"> </w:t>
      </w:r>
      <w:r>
        <w:t xml:space="preserve">Colossians 2:11–12.</w:t>
      </w:r>
    </w:p>
  </w:footnote>
  <w:footnote w:id="232">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39">
    <w:p>
      <w:pPr>
        <w:pStyle w:val="FootnoteText"/>
      </w:pPr>
      <w:r>
        <w:rPr>
          <w:rStyle w:val="FootnoteReference"/>
        </w:rPr>
        <w:footnoteRef/>
      </w:r>
      <w:r>
        <w:t xml:space="preserve"> </w:t>
      </w:r>
      <w:r>
        <w:t xml:space="preserve">1 Corinthians 10:17.</w:t>
      </w:r>
    </w:p>
  </w:footnote>
  <w:footnote w:id="240">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1">
    <w:p>
      <w:pPr>
        <w:pStyle w:val="FootnoteText"/>
      </w:pPr>
      <w:r>
        <w:rPr>
          <w:rStyle w:val="FootnoteReference"/>
        </w:rPr>
        <w:footnoteRef/>
      </w:r>
      <w:r>
        <w:t xml:space="preserve"> </w:t>
      </w:r>
      <w:r>
        <w:t xml:space="preserve">Ibid., 327–28.</w:t>
      </w:r>
    </w:p>
  </w:footnote>
  <w:footnote w:id="242">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3">
    <w:p>
      <w:pPr>
        <w:pStyle w:val="FootnoteText"/>
      </w:pPr>
      <w:r>
        <w:rPr>
          <w:rStyle w:val="FootnoteReference"/>
        </w:rPr>
        <w:footnoteRef/>
      </w:r>
      <w:r>
        <w:t xml:space="preserve"> </w:t>
      </w:r>
      <w:r>
        <w:t xml:space="preserve">Hebrews 13:20-21.</w:t>
      </w:r>
    </w:p>
  </w:footnote>
  <w:footnote w:id="247">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3">
    <w:p>
      <w:pPr>
        <w:pStyle w:val="FootnoteText"/>
      </w:pPr>
      <w:r>
        <w:rPr>
          <w:rStyle w:val="FootnoteReference"/>
        </w:rPr>
        <w:footnoteRef/>
      </w:r>
      <w:r>
        <w:t xml:space="preserve"> </w:t>
      </w:r>
      <w:r>
        <w:t xml:space="preserve">Acts 5:29.</w:t>
      </w:r>
    </w:p>
  </w:footnote>
  <w:footnote w:id="275">
    <w:p>
      <w:pPr>
        <w:pStyle w:val="FootnoteText"/>
      </w:pPr>
      <w:r>
        <w:rPr>
          <w:rStyle w:val="FootnoteReference"/>
        </w:rPr>
        <w:footnoteRef/>
      </w:r>
      <w:r>
        <w:t xml:space="preserve"> </w:t>
      </w:r>
      <w:r>
        <w:t xml:space="preserve">Westminster Confession of Faith, 24.2.</w:t>
      </w:r>
    </w:p>
  </w:footnote>
  <w:footnote w:id="276">
    <w:p>
      <w:pPr>
        <w:pStyle w:val="FootnoteText"/>
      </w:pPr>
      <w:r>
        <w:rPr>
          <w:rStyle w:val="FootnoteReference"/>
        </w:rPr>
        <w:footnoteRef/>
      </w:r>
      <w:r>
        <w:t xml:space="preserve"> </w:t>
      </w:r>
      <w:r>
        <w:t xml:space="preserve">See Declaration of Doctrine on Sexuality,</w:t>
      </w:r>
      <w:r>
        <w:t xml:space="preserve"> </w:t>
      </w:r>
      <w:hyperlink r:id="rId277">
        <w:r>
          <w:rPr>
            <w:rStyle w:val="Hyperlink"/>
          </w:rPr>
          <w:t xml:space="preserve">§§1–4</w:t>
        </w:r>
      </w:hyperlink>
      <w:r>
        <w:t xml:space="preserve">,</w:t>
      </w:r>
      <w:r>
        <w:t xml:space="preserve"> </w:t>
      </w:r>
      <w:hyperlink r:id="rId278">
        <w:r>
          <w:rPr>
            <w:rStyle w:val="Hyperlink"/>
          </w:rPr>
          <w:t xml:space="preserve">10–11</w:t>
        </w:r>
      </w:hyperlink>
      <w:r>
        <w:t xml:space="preserve">.</w:t>
      </w:r>
    </w:p>
  </w:footnote>
  <w:footnote w:id="279">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0">
        <w:r>
          <w:rPr>
            <w:rStyle w:val="Hyperlink"/>
          </w:rPr>
          <w:t xml:space="preserve">section 7</w:t>
        </w:r>
      </w:hyperlink>
      <w:r>
        <w:t xml:space="preserve">.</w:t>
      </w:r>
    </w:p>
  </w:footnote>
  <w:footnote w:id="281">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2">
    <w:p>
      <w:pPr>
        <w:pStyle w:val="FootnoteText"/>
      </w:pPr>
      <w:r>
        <w:rPr>
          <w:rStyle w:val="FootnoteReference"/>
        </w:rPr>
        <w:footnoteRef/>
      </w:r>
      <w:r>
        <w:t xml:space="preserve"> </w:t>
      </w:r>
      <w:r>
        <w:t xml:space="preserve">See Declaration of Doctrine on Sexuality,</w:t>
      </w:r>
      <w:r>
        <w:t xml:space="preserve"> </w:t>
      </w:r>
      <w:hyperlink r:id="rId283">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0">
    <w:p>
      <w:pPr>
        <w:pStyle w:val="FootnoteText"/>
      </w:pPr>
      <w:r>
        <w:rPr>
          <w:rStyle w:val="FootnoteReference"/>
        </w:rPr>
        <w:footnoteRef/>
      </w:r>
      <w:r>
        <w:t xml:space="preserve"> </w:t>
      </w:r>
      <w:r>
        <w:t xml:space="preserve">See Doctrinal Declaration on Sexuality,</w:t>
      </w:r>
      <w:r>
        <w:t xml:space="preserve"> </w:t>
      </w:r>
      <w:hyperlink r:id="rId289">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7">
    <w:p>
      <w:pPr>
        <w:pStyle w:val="FootnoteText"/>
      </w:pPr>
      <w:r>
        <w:rPr>
          <w:rStyle w:val="FootnoteReference"/>
        </w:rPr>
        <w:footnoteRef/>
      </w:r>
      <w:r>
        <w:t xml:space="preserve"> </w:t>
      </w:r>
      <w:r>
        <w:t xml:space="preserve">Matthew 19:6.</w:t>
      </w:r>
    </w:p>
  </w:footnote>
  <w:footnote w:id="300">
    <w:p>
      <w:pPr>
        <w:pStyle w:val="FootnoteText"/>
      </w:pPr>
      <w:r>
        <w:rPr>
          <w:rStyle w:val="FootnoteReference"/>
        </w:rPr>
        <w:footnoteRef/>
      </w:r>
      <w:r>
        <w:t xml:space="preserve"> </w:t>
      </w:r>
      <w:r>
        <w:t xml:space="preserve">John 11:25-26.</w:t>
      </w:r>
    </w:p>
  </w:footnote>
  <w:footnote w:id="301">
    <w:p>
      <w:pPr>
        <w:pStyle w:val="FootnoteText"/>
      </w:pPr>
      <w:r>
        <w:rPr>
          <w:rStyle w:val="FootnoteReference"/>
        </w:rPr>
        <w:footnoteRef/>
      </w:r>
      <w:r>
        <w:t xml:space="preserve"> </w:t>
      </w:r>
      <w:r>
        <w:t xml:space="preserve">Job 14:1-2.</w:t>
      </w:r>
    </w:p>
  </w:footnote>
  <w:footnote w:id="302">
    <w:p>
      <w:pPr>
        <w:pStyle w:val="FootnoteText"/>
      </w:pPr>
      <w:r>
        <w:rPr>
          <w:rStyle w:val="FootnoteReference"/>
        </w:rPr>
        <w:footnoteRef/>
      </w:r>
      <w:r>
        <w:t xml:space="preserve"> </w:t>
      </w:r>
      <w:r>
        <w:t xml:space="preserve">1 Chronicles 29:15.</w:t>
      </w:r>
    </w:p>
  </w:footnote>
  <w:footnote w:id="303">
    <w:p>
      <w:pPr>
        <w:pStyle w:val="FootnoteText"/>
      </w:pPr>
      <w:r>
        <w:rPr>
          <w:rStyle w:val="FootnoteReference"/>
        </w:rPr>
        <w:footnoteRef/>
      </w:r>
      <w:r>
        <w:t xml:space="preserve"> </w:t>
      </w:r>
      <w:r>
        <w:t xml:space="preserve">1 Timothy 6:7.</w:t>
      </w:r>
    </w:p>
  </w:footnote>
  <w:footnote w:id="304">
    <w:p>
      <w:pPr>
        <w:pStyle w:val="FootnoteText"/>
      </w:pPr>
      <w:r>
        <w:rPr>
          <w:rStyle w:val="FootnoteReference"/>
        </w:rPr>
        <w:footnoteRef/>
      </w:r>
      <w:r>
        <w:t xml:space="preserve"> </w:t>
      </w:r>
      <w:r>
        <w:t xml:space="preserve">Job 1:21b.</w:t>
      </w:r>
    </w:p>
  </w:footnote>
  <w:footnote w:id="305">
    <w:p>
      <w:pPr>
        <w:pStyle w:val="FootnoteText"/>
      </w:pPr>
      <w:r>
        <w:rPr>
          <w:rStyle w:val="FootnoteReference"/>
        </w:rPr>
        <w:footnoteRef/>
      </w:r>
      <w:r>
        <w:t xml:space="preserve"> </w:t>
      </w:r>
      <w:r>
        <w:t xml:space="preserve">2 Corinthians 13:14.</w:t>
      </w:r>
    </w:p>
  </w:footnote>
  <w:footnote w:id="308">
    <w:p>
      <w:pPr>
        <w:pStyle w:val="FootnoteText"/>
      </w:pPr>
      <w:r>
        <w:rPr>
          <w:rStyle w:val="FootnoteReference"/>
        </w:rPr>
        <w:footnoteRef/>
      </w:r>
      <w:r>
        <w:t xml:space="preserve"> </w:t>
      </w:r>
      <w:r>
        <w:t xml:space="preserve">Psalm 20:1-2.</w:t>
      </w:r>
    </w:p>
  </w:footnote>
  <w:footnote w:id="309">
    <w:p>
      <w:pPr>
        <w:pStyle w:val="FootnoteText"/>
      </w:pPr>
      <w:r>
        <w:rPr>
          <w:rStyle w:val="FootnoteReference"/>
        </w:rPr>
        <w:footnoteRef/>
      </w:r>
      <w:r>
        <w:t xml:space="preserve"> </w:t>
      </w:r>
      <w:r>
        <w:t xml:space="preserve">Job 14:1-2.</w:t>
      </w:r>
    </w:p>
  </w:footnote>
  <w:footnote w:id="310">
    <w:p>
      <w:pPr>
        <w:pStyle w:val="FootnoteText"/>
      </w:pPr>
      <w:r>
        <w:rPr>
          <w:rStyle w:val="FootnoteReference"/>
        </w:rPr>
        <w:footnoteRef/>
      </w:r>
      <w:r>
        <w:t xml:space="preserve"> </w:t>
      </w:r>
      <w:r>
        <w:t xml:space="preserve">Job 1:21b.</w:t>
      </w:r>
    </w:p>
  </w:footnote>
  <w:footnote w:id="311">
    <w:p>
      <w:pPr>
        <w:pStyle w:val="FootnoteText"/>
      </w:pPr>
      <w:r>
        <w:rPr>
          <w:rStyle w:val="FootnoteReference"/>
        </w:rPr>
        <w:footnoteRef/>
      </w:r>
      <w:r>
        <w:t xml:space="preserve"> </w:t>
      </w:r>
      <w:r>
        <w:t xml:space="preserve">Matthew 11:28.</w:t>
      </w:r>
    </w:p>
  </w:footnote>
  <w:footnote w:id="312">
    <w:p>
      <w:pPr>
        <w:pStyle w:val="FootnoteText"/>
      </w:pPr>
      <w:r>
        <w:rPr>
          <w:rStyle w:val="FootnoteReference"/>
        </w:rPr>
        <w:footnoteRef/>
      </w:r>
      <w:r>
        <w:t xml:space="preserve"> </w:t>
      </w:r>
      <w:r>
        <w:t xml:space="preserve">Matthew 19:14.</w:t>
      </w:r>
    </w:p>
  </w:footnote>
  <w:footnote w:id="313">
    <w:p>
      <w:pPr>
        <w:pStyle w:val="FootnoteText"/>
      </w:pPr>
      <w:r>
        <w:rPr>
          <w:rStyle w:val="FootnoteReference"/>
        </w:rPr>
        <w:footnoteRef/>
      </w:r>
      <w:r>
        <w:t xml:space="preserve"> </w:t>
      </w:r>
      <w:r>
        <w:t xml:space="preserve">2 Corinthians 13:14.</w:t>
      </w:r>
    </w:p>
  </w:footnote>
  <w:footnote w:id="318">
    <w:p>
      <w:pPr>
        <w:pStyle w:val="FootnoteText"/>
      </w:pPr>
      <w:r>
        <w:rPr>
          <w:rStyle w:val="FootnoteReference"/>
        </w:rPr>
        <w:footnoteRef/>
      </w:r>
      <w:r>
        <w:t xml:space="preserve"> </w:t>
      </w:r>
      <w:r>
        <w:t xml:space="preserve">Psalm 127:3-5.</w:t>
      </w:r>
    </w:p>
  </w:footnote>
  <w:footnote w:id="319">
    <w:p>
      <w:pPr>
        <w:pStyle w:val="FootnoteText"/>
      </w:pPr>
      <w:r>
        <w:rPr>
          <w:rStyle w:val="FootnoteReference"/>
        </w:rPr>
        <w:footnoteRef/>
      </w:r>
      <w:r>
        <w:t xml:space="preserve"> </w:t>
      </w:r>
      <w:r>
        <w:t xml:space="preserve">Acts 2:39.</w:t>
      </w:r>
    </w:p>
  </w:footnote>
  <w:footnote w:id="323">
    <w:p>
      <w:pPr>
        <w:pStyle w:val="FootnoteText"/>
      </w:pPr>
      <w:r>
        <w:rPr>
          <w:rStyle w:val="FootnoteReference"/>
        </w:rPr>
        <w:footnoteRef/>
      </w:r>
      <w:r>
        <w:t xml:space="preserve"> </w:t>
      </w:r>
      <w:r>
        <w:t xml:space="preserve">Or,</w:t>
      </w:r>
      <w:r>
        <w:t xml:space="preserve"> </w:t>
      </w:r>
      <w:r>
        <w:t xml:space="preserve">“Holy Spirit.”</w:t>
      </w:r>
    </w:p>
  </w:footnote>
  <w:footnote w:id="324">
    <w:p>
      <w:pPr>
        <w:pStyle w:val="FootnoteText"/>
      </w:pPr>
      <w:r>
        <w:rPr>
          <w:rStyle w:val="FootnoteReference"/>
        </w:rPr>
        <w:footnoteRef/>
      </w:r>
      <w:r>
        <w:t xml:space="preserve"> </w:t>
      </w:r>
      <w:r>
        <w:t xml:space="preserve">Or,</w:t>
      </w:r>
      <w:r>
        <w:t xml:space="preserve"> </w:t>
      </w:r>
      <w:r>
        <w:t xml:space="preserve">“sits.”</w:t>
      </w:r>
    </w:p>
  </w:footnote>
  <w:footnote w:id="325">
    <w:p>
      <w:pPr>
        <w:pStyle w:val="FootnoteText"/>
      </w:pPr>
      <w:r>
        <w:rPr>
          <w:rStyle w:val="FootnoteReference"/>
        </w:rPr>
        <w:footnoteRef/>
      </w:r>
      <w:r>
        <w:t xml:space="preserve"> </w:t>
      </w:r>
      <w:r>
        <w:t xml:space="preserve">Or,</w:t>
      </w:r>
      <w:r>
        <w:t xml:space="preserve"> </w:t>
      </w:r>
      <w:r>
        <w:t xml:space="preserve">“there.”</w:t>
      </w:r>
    </w:p>
  </w:footnote>
  <w:footnote w:id="326">
    <w:p>
      <w:pPr>
        <w:pStyle w:val="FootnoteText"/>
      </w:pPr>
      <w:r>
        <w:rPr>
          <w:rStyle w:val="FootnoteReference"/>
        </w:rPr>
        <w:footnoteRef/>
      </w:r>
      <w:r>
        <w:t xml:space="preserve"> </w:t>
      </w:r>
      <w:r>
        <w:t xml:space="preserve">Or,</w:t>
      </w:r>
      <w:r>
        <w:t xml:space="preserve"> </w:t>
      </w:r>
      <w:r>
        <w:t xml:space="preserve">“living.”</w:t>
      </w:r>
    </w:p>
  </w:footnote>
  <w:footnote w:id="327">
    <w:p>
      <w:pPr>
        <w:pStyle w:val="FootnoteText"/>
      </w:pPr>
      <w:r>
        <w:rPr>
          <w:rStyle w:val="FootnoteReference"/>
        </w:rPr>
        <w:footnoteRef/>
      </w:r>
      <w:r>
        <w:t xml:space="preserve"> </w:t>
      </w:r>
      <w:r>
        <w:t xml:space="preserve">Or,</w:t>
      </w:r>
      <w:r>
        <w:t xml:space="preserve"> </w:t>
      </w:r>
      <w:r>
        <w:t xml:space="preserve">“Holy Spirit.”</w:t>
      </w:r>
    </w:p>
  </w:footnote>
  <w:footnote w:id="328">
    <w:p>
      <w:pPr>
        <w:pStyle w:val="FootnoteText"/>
      </w:pPr>
      <w:r>
        <w:rPr>
          <w:rStyle w:val="FootnoteReference"/>
        </w:rPr>
        <w:footnoteRef/>
      </w:r>
      <w:r>
        <w:t xml:space="preserve"> </w:t>
      </w:r>
      <w:r>
        <w:t xml:space="preserve">Or,</w:t>
      </w:r>
      <w:r>
        <w:t xml:space="preserve"> </w:t>
      </w:r>
      <w:r>
        <w:t xml:space="preserve">“universal.”</w:t>
      </w:r>
    </w:p>
  </w:footnote>
  <w:footnote w:id="331">
    <w:p>
      <w:pPr>
        <w:pStyle w:val="FootnoteText"/>
      </w:pPr>
      <w:r>
        <w:rPr>
          <w:rStyle w:val="FootnoteReference"/>
        </w:rPr>
        <w:footnoteRef/>
      </w:r>
      <w:r>
        <w:t xml:space="preserve"> </w:t>
      </w:r>
      <w:r>
        <w:t xml:space="preserve">Or,</w:t>
      </w:r>
      <w:r>
        <w:t xml:space="preserve"> </w:t>
      </w:r>
      <w:r>
        <w:t xml:space="preserve">“living.”</w:t>
      </w:r>
    </w:p>
  </w:footnote>
  <w:footnote w:id="332">
    <w:p>
      <w:pPr>
        <w:pStyle w:val="FootnoteText"/>
      </w:pPr>
      <w:r>
        <w:rPr>
          <w:rStyle w:val="FootnoteReference"/>
        </w:rPr>
        <w:footnoteRef/>
      </w:r>
      <w:r>
        <w:t xml:space="preserve"> </w:t>
      </w:r>
      <w:r>
        <w:t xml:space="preserve">Or,</w:t>
      </w:r>
      <w:r>
        <w:t xml:space="preserve"> </w:t>
      </w:r>
      <w:r>
        <w:t xml:space="preserve">“universal.”</w:t>
      </w:r>
    </w:p>
  </w:footnote>
  <w:footnote w:id="335">
    <w:p>
      <w:pPr>
        <w:pStyle w:val="FootnoteText"/>
      </w:pPr>
      <w:r>
        <w:rPr>
          <w:rStyle w:val="FootnoteReference"/>
        </w:rPr>
        <w:footnoteRef/>
      </w:r>
      <w:r>
        <w:t xml:space="preserve"> </w:t>
      </w:r>
      <w:r>
        <w:t xml:space="preserve">Or,</w:t>
      </w:r>
      <w:r>
        <w:t xml:space="preserve"> </w:t>
      </w:r>
      <w:r>
        <w:t xml:space="preserve">“universal.”</w:t>
      </w:r>
    </w:p>
  </w:footnote>
  <w:footnote w:id="338">
    <w:p>
      <w:pPr>
        <w:pStyle w:val="FootnoteText"/>
      </w:pPr>
      <w:r>
        <w:rPr>
          <w:rStyle w:val="FootnoteReference"/>
        </w:rPr>
        <w:footnoteRef/>
      </w:r>
      <w:r>
        <w:t xml:space="preserve"> </w:t>
      </w:r>
      <w:r>
        <w:t xml:space="preserve">Or,</w:t>
      </w:r>
      <w:r>
        <w:t xml:space="preserve"> </w:t>
      </w:r>
      <w:r>
        <w:t xml:space="preserve">“rational.”</w:t>
      </w:r>
    </w:p>
  </w:footnote>
  <w:footnote w:id="339">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48">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1">
    <w:p>
      <w:pPr>
        <w:pStyle w:val="FootnoteText"/>
      </w:pPr>
      <w:r>
        <w:rPr>
          <w:rStyle w:val="FootnoteReference"/>
        </w:rPr>
        <w:footnoteRef/>
      </w:r>
      <w:r>
        <w:t xml:space="preserve"> </w:t>
      </w:r>
      <w:r>
        <w:t xml:space="preserve">Original text from the 1549 Book of Common Prayer, with modernized spelling.</w:t>
      </w:r>
    </w:p>
  </w:footnote>
  <w:footnote w:id="354">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ddp.evangelpresbytery.com" TargetMode="External" /><Relationship Type="http://schemas.openxmlformats.org/officeDocument/2006/relationships/hyperlink" Id="rId286" Target="https://ddp.evangelpresbytery.com/01-Declaration-of-Doctrine-on-Sexuality.html" TargetMode="External" /><Relationship Type="http://schemas.openxmlformats.org/officeDocument/2006/relationships/hyperlink" Id="rId277" Target="https://ddp.evangelpresbytery.com/01-Declaration-of-Doctrine-on-Sexuality.html#dds-01" TargetMode="External" /><Relationship Type="http://schemas.openxmlformats.org/officeDocument/2006/relationships/hyperlink" Id="rId287" Target="https://ddp.evangelpresbytery.com/01-Declaration-of-Doctrine-on-Sexuality.html#dds-05" TargetMode="External" /><Relationship Type="http://schemas.openxmlformats.org/officeDocument/2006/relationships/hyperlink" Id="rId288" Target="https://ddp.evangelpresbytery.com/01-Declaration-of-Doctrine-on-Sexuality.html#dds-06" TargetMode="External" /><Relationship Type="http://schemas.openxmlformats.org/officeDocument/2006/relationships/hyperlink" Id="rId280" Target="https://ddp.evangelpresbytery.com/01-Declaration-of-Doctrine-on-Sexuality.html#dds-07" TargetMode="External" /><Relationship Type="http://schemas.openxmlformats.org/officeDocument/2006/relationships/hyperlink" Id="rId289" Target="https://ddp.evangelpresbytery.com/01-Declaration-of-Doctrine-on-Sexuality.html#dds-08" TargetMode="External" /><Relationship Type="http://schemas.openxmlformats.org/officeDocument/2006/relationships/hyperlink" Id="rId278" Target="https://ddp.evangelpresbytery.com/01-Declaration-of-Doctrine-on-Sexuality.html#dds-10" TargetMode="External" /><Relationship Type="http://schemas.openxmlformats.org/officeDocument/2006/relationships/hyperlink" Id="rId283" Target="https://ddp.evangelpresbytery.com/01-Declaration-of-Doctrine-on-Sexuality.html#dds-13" TargetMode="External" /><Relationship Type="http://schemas.openxmlformats.org/officeDocument/2006/relationships/hyperlink" Id="rId27" Target="https://evangelpresbytery.com/westminster-confession-of-faith" TargetMode="External" /><Relationship Type="http://schemas.openxmlformats.org/officeDocument/2006/relationships/hyperlink" Id="rId178" Target="https://evangelpresbytery.com/westminster-confession-of-faith/#1.10" TargetMode="External" /><Relationship Type="http://schemas.openxmlformats.org/officeDocument/2006/relationships/hyperlink" Id="rId180" Target="https://evangelpresbytery.com/westminster-confession-of-faith/#31.3" TargetMode="External" /><Relationship Type="http://schemas.openxmlformats.org/officeDocument/2006/relationships/hyperlink" Id="rId29" Target="https://evangelpresbytery.com/westminster-larger-catechism" TargetMode="External" /><Relationship Type="http://schemas.openxmlformats.org/officeDocument/2006/relationships/hyperlink" Id="rId30" Target="https://evangelpresbytery.com/westminster-shorter-catechism" TargetMode="External" /><Relationship Type="http://schemas.openxmlformats.org/officeDocument/2006/relationships/hyperlink" Id="rId357" Target="https://github.com/Evangel-Presbytery/evangel-bco" TargetMode="External" /><Relationship Type="http://schemas.openxmlformats.org/officeDocument/2006/relationships/hyperlink" Id="rId359" Target="https://www.dropbox.com/sh/67fg23e5sksui6j/AAB6LRjZ2dld47gYz1G0jo-Fa?dl=0" TargetMode="External" /><Relationship Type="http://schemas.openxmlformats.org/officeDocument/2006/relationships/hyperlink" Id="rId362" Target="https://www.dropbox.com/sh/6e1mcd2n8vojvpv/AADWRZsciqNw1xteiuRA0lr3a?dl=0" TargetMode="External" /><Relationship Type="http://schemas.openxmlformats.org/officeDocument/2006/relationships/hyperlink" Id="rId358" Target="https://www.dropbox.com/sh/e5lszl09qec2wy0/AADMEzOS1C1Z7Ao4r4xyddHNa?dl=0" TargetMode="External" /><Relationship Type="http://schemas.openxmlformats.org/officeDocument/2006/relationships/hyperlink" Id="rId363" Target="https://www.dropbox.com/sh/w46pitp7sevpepk/AAAH_HDpb8Qpck42Dkfw661Za?dl=0" TargetMode="External" /><Relationship Type="http://schemas.openxmlformats.org/officeDocument/2006/relationships/hyperlink" Id="rId361" Target="https://www.dropbox.com/sh/yhg7o7s6vlx0jha/AABM5so3BTahNcU7rUWsZHAGa?dl=0" TargetMode="External" /><Relationship Type="http://schemas.openxmlformats.org/officeDocument/2006/relationships/hyperlink" Id="rId360"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1" Target="https://ddp.evangelpresbytery.com" TargetMode="External" /><Relationship Type="http://schemas.openxmlformats.org/officeDocument/2006/relationships/hyperlink" Id="rId286" Target="https://ddp.evangelpresbytery.com/01-Declaration-of-Doctrine-on-Sexuality.html" TargetMode="External" /><Relationship Type="http://schemas.openxmlformats.org/officeDocument/2006/relationships/hyperlink" Id="rId277" Target="https://ddp.evangelpresbytery.com/01-Declaration-of-Doctrine-on-Sexuality.html#dds-01" TargetMode="External" /><Relationship Type="http://schemas.openxmlformats.org/officeDocument/2006/relationships/hyperlink" Id="rId287" Target="https://ddp.evangelpresbytery.com/01-Declaration-of-Doctrine-on-Sexuality.html#dds-05" TargetMode="External" /><Relationship Type="http://schemas.openxmlformats.org/officeDocument/2006/relationships/hyperlink" Id="rId288" Target="https://ddp.evangelpresbytery.com/01-Declaration-of-Doctrine-on-Sexuality.html#dds-06" TargetMode="External" /><Relationship Type="http://schemas.openxmlformats.org/officeDocument/2006/relationships/hyperlink" Id="rId280" Target="https://ddp.evangelpresbytery.com/01-Declaration-of-Doctrine-on-Sexuality.html#dds-07" TargetMode="External" /><Relationship Type="http://schemas.openxmlformats.org/officeDocument/2006/relationships/hyperlink" Id="rId289" Target="https://ddp.evangelpresbytery.com/01-Declaration-of-Doctrine-on-Sexuality.html#dds-08" TargetMode="External" /><Relationship Type="http://schemas.openxmlformats.org/officeDocument/2006/relationships/hyperlink" Id="rId278" Target="https://ddp.evangelpresbytery.com/01-Declaration-of-Doctrine-on-Sexuality.html#dds-10" TargetMode="External" /><Relationship Type="http://schemas.openxmlformats.org/officeDocument/2006/relationships/hyperlink" Id="rId283" Target="https://ddp.evangelpresbytery.com/01-Declaration-of-Doctrine-on-Sexuality.html#dds-13" TargetMode="External" /><Relationship Type="http://schemas.openxmlformats.org/officeDocument/2006/relationships/hyperlink" Id="rId27" Target="https://evangelpresbytery.com/westminster-confession-of-faith" TargetMode="External" /><Relationship Type="http://schemas.openxmlformats.org/officeDocument/2006/relationships/hyperlink" Id="rId178" Target="https://evangelpresbytery.com/westminster-confession-of-faith/#1.10" TargetMode="External" /><Relationship Type="http://schemas.openxmlformats.org/officeDocument/2006/relationships/hyperlink" Id="rId180" Target="https://evangelpresbytery.com/westminster-confession-of-faith/#31.3" TargetMode="External" /><Relationship Type="http://schemas.openxmlformats.org/officeDocument/2006/relationships/hyperlink" Id="rId29" Target="https://evangelpresbytery.com/westminster-larger-catechism" TargetMode="External" /><Relationship Type="http://schemas.openxmlformats.org/officeDocument/2006/relationships/hyperlink" Id="rId30" Target="https://evangelpresbytery.com/westminster-shorter-catechism" TargetMode="External" /><Relationship Type="http://schemas.openxmlformats.org/officeDocument/2006/relationships/hyperlink" Id="rId357" Target="https://github.com/Evangel-Presbytery/evangel-bco" TargetMode="External" /><Relationship Type="http://schemas.openxmlformats.org/officeDocument/2006/relationships/hyperlink" Id="rId359" Target="https://www.dropbox.com/sh/67fg23e5sksui6j/AAB6LRjZ2dld47gYz1G0jo-Fa?dl=0" TargetMode="External" /><Relationship Type="http://schemas.openxmlformats.org/officeDocument/2006/relationships/hyperlink" Id="rId362" Target="https://www.dropbox.com/sh/6e1mcd2n8vojvpv/AADWRZsciqNw1xteiuRA0lr3a?dl=0" TargetMode="External" /><Relationship Type="http://schemas.openxmlformats.org/officeDocument/2006/relationships/hyperlink" Id="rId358" Target="https://www.dropbox.com/sh/e5lszl09qec2wy0/AADMEzOS1C1Z7Ao4r4xyddHNa?dl=0" TargetMode="External" /><Relationship Type="http://schemas.openxmlformats.org/officeDocument/2006/relationships/hyperlink" Id="rId363" Target="https://www.dropbox.com/sh/w46pitp7sevpepk/AAAH_HDpb8Qpck42Dkfw661Za?dl=0" TargetMode="External" /><Relationship Type="http://schemas.openxmlformats.org/officeDocument/2006/relationships/hyperlink" Id="rId361" Target="https://www.dropbox.com/sh/yhg7o7s6vlx0jha/AABM5so3BTahNcU7rUWsZHAGa?dl=0" TargetMode="External" /><Relationship Type="http://schemas.openxmlformats.org/officeDocument/2006/relationships/hyperlink" Id="rId360"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2026-02-11T19:45:24Z</dcterms:created>
  <dcterms:modified xsi:type="dcterms:W3CDTF">2026-02-11T19:45:24Z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emplate-partials">
    <vt:lpwstr/>
  </property>
  <property fmtid="{D5CDD505-2E9C-101B-9397-08002B2CF9AE}" pid="11" name="toc-title">
    <vt:lpwstr>Table of contents</vt:lpwstr>
  </property>
</Properties>
</file>