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3"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2" w:name="c.-constitution-defined"/>
    <w:p>
      <w:pPr>
        <w:pStyle w:val="Heading2"/>
      </w:pPr>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7">
        <w:r>
          <w:rPr>
            <w:rStyle w:val="Hyperlink"/>
          </w:rPr>
          <w:t xml:space="preserve">Westminster Confession of Faith</w:t>
        </w:r>
      </w:hyperlink>
      <w:r>
        <w:t xml:space="preserve">,</w:t>
      </w:r>
      <w:r>
        <w:rPr>
          <w:rStyle w:val="FootnoteReference"/>
        </w:rPr>
        <w:footnoteReference w:id="28"/>
      </w:r>
      <w:r>
        <w:t xml:space="preserve"> </w:t>
      </w:r>
      <w:r>
        <w:t xml:space="preserve">together with the</w:t>
      </w:r>
      <w:r>
        <w:t xml:space="preserve"> </w:t>
      </w:r>
      <w:hyperlink r:id="rId29">
        <w:r>
          <w:rPr>
            <w:rStyle w:val="Hyperlink"/>
          </w:rPr>
          <w:t xml:space="preserve">Larger</w:t>
        </w:r>
      </w:hyperlink>
      <w:r>
        <w:t xml:space="preserve"> </w:t>
      </w:r>
      <w:r>
        <w:t xml:space="preserve">and</w:t>
      </w:r>
      <w:r>
        <w:t xml:space="preserve"> </w:t>
      </w:r>
      <w:hyperlink r:id="rId30">
        <w:r>
          <w:rPr>
            <w:rStyle w:val="Hyperlink"/>
          </w:rPr>
          <w:t xml:space="preserve">Shorter</w:t>
        </w:r>
      </w:hyperlink>
      <w:r>
        <w:t xml:space="preserve"> </w:t>
      </w:r>
      <w:r>
        <w:t xml:space="preserve">Catechisms; the</w:t>
      </w:r>
      <w:r>
        <w:t xml:space="preserve"> </w:t>
      </w:r>
      <w:hyperlink r:id="rId31">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2"/>
    <w:bookmarkEnd w:id="33"/>
    <w:bookmarkStart w:id="132" w:name="form-of-government"/>
    <w:p>
      <w:pPr>
        <w:pStyle w:val="Heading1"/>
      </w:pPr>
      <w:r>
        <w:t xml:space="preserve">Form of Government</w:t>
      </w:r>
    </w:p>
    <w:bookmarkStart w:id="37" w:name="the-doctrine-of-church-government"/>
    <w:p>
      <w:pPr>
        <w:pStyle w:val="Heading2"/>
      </w:pPr>
      <w:bookmarkStart w:id="34" w:name="anchor-part-main-body-2"/>
      <w:bookmarkEnd w:id="34"/>
      <w:r>
        <w:t xml:space="preserve">1. The Doctrine of Church Government</w:t>
      </w:r>
    </w:p>
    <w:p>
      <w:pPr>
        <w:numPr>
          <w:ilvl w:val="0"/>
          <w:numId w:val="1003"/>
        </w:numPr>
      </w:pPr>
      <w:bookmarkStart w:id="35" w:name="anchor-1"/>
      <w:bookmarkEnd w:id="35"/>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6" w:name="anchor-1-3"/>
      <w:bookmarkEnd w:id="36"/>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7"/>
    <w:bookmarkStart w:id="39" w:name="the-king-and-head-of-the-church"/>
    <w:p>
      <w:pPr>
        <w:pStyle w:val="Heading2"/>
      </w:pPr>
      <w:r>
        <w:t xml:space="preserve">2. The King and Head of the Church</w:t>
      </w:r>
    </w:p>
    <w:p>
      <w:pPr>
        <w:numPr>
          <w:ilvl w:val="0"/>
          <w:numId w:val="1004"/>
        </w:numPr>
      </w:pPr>
      <w:bookmarkStart w:id="38" w:name="anchor-2"/>
      <w:bookmarkEnd w:id="38"/>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39"/>
    <w:bookmarkStart w:id="42" w:name="the-visible-church-defined"/>
    <w:p>
      <w:pPr>
        <w:pStyle w:val="Heading2"/>
      </w:pPr>
      <w:r>
        <w:t xml:space="preserve">3. The Visible Church Defined</w:t>
      </w:r>
    </w:p>
    <w:p>
      <w:pPr>
        <w:numPr>
          <w:ilvl w:val="0"/>
          <w:numId w:val="1005"/>
        </w:numPr>
      </w:pPr>
      <w:bookmarkStart w:id="40" w:name="anchor-3"/>
      <w:bookmarkEnd w:id="40"/>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1" w:name="anchor-3-2"/>
      <w:bookmarkEnd w:id="41"/>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2"/>
    <w:bookmarkStart w:id="45" w:name="the-nature-and-extent-of-church-power"/>
    <w:p>
      <w:pPr>
        <w:pStyle w:val="Heading2"/>
      </w:pPr>
      <w:r>
        <w:t xml:space="preserve">4. The Nature and Extent of Church Power</w:t>
      </w:r>
    </w:p>
    <w:p>
      <w:pPr>
        <w:numPr>
          <w:ilvl w:val="0"/>
          <w:numId w:val="1006"/>
        </w:numPr>
      </w:pPr>
      <w:bookmarkStart w:id="43" w:name="anchor-4"/>
      <w:bookmarkEnd w:id="43"/>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4"/>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5"/>
    <w:bookmarkStart w:id="47" w:name="the-particular-church"/>
    <w:p>
      <w:pPr>
        <w:pStyle w:val="Heading2"/>
      </w:pPr>
      <w:r>
        <w:t xml:space="preserve">5. The Particular Church</w:t>
      </w:r>
    </w:p>
    <w:p>
      <w:pPr>
        <w:numPr>
          <w:ilvl w:val="0"/>
          <w:numId w:val="1007"/>
        </w:numPr>
      </w:pPr>
      <w:bookmarkStart w:id="46" w:name="anchor-5-1"/>
      <w:bookmarkEnd w:id="46"/>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7"/>
    <w:bookmarkStart w:id="51" w:name="the-organization-of-a-particular-church"/>
    <w:p>
      <w:pPr>
        <w:pStyle w:val="Heading2"/>
      </w:pPr>
      <w:bookmarkStart w:id="48" w:name="anchor-6"/>
      <w:bookmarkEnd w:id="48"/>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49" w:name="anchor-6-1-c"/>
      <w:bookmarkEnd w:id="49"/>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0" w:name="anchor-6-1-d"/>
      <w:bookmarkEnd w:id="50"/>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1"/>
    <w:bookmarkStart w:id="53" w:name="church-members"/>
    <w:p>
      <w:pPr>
        <w:pStyle w:val="Heading2"/>
      </w:pPr>
      <w:bookmarkStart w:id="52" w:name="anchor-7"/>
      <w:bookmarkEnd w:id="52"/>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3"/>
    <w:bookmarkStart w:id="55" w:name="church-officersgeneral-classification"/>
    <w:p>
      <w:pPr>
        <w:pStyle w:val="Heading2"/>
      </w:pPr>
      <w:bookmarkStart w:id="54" w:name="anchor-8"/>
      <w:bookmarkEnd w:id="54"/>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5"/>
    <w:bookmarkStart w:id="58" w:name="the-minister-of-the-word"/>
    <w:p>
      <w:pPr>
        <w:pStyle w:val="Heading2"/>
      </w:pPr>
      <w:r>
        <w:t xml:space="preserve">9. The Minister of the Word</w:t>
      </w:r>
    </w:p>
    <w:p>
      <w:pPr>
        <w:numPr>
          <w:ilvl w:val="0"/>
          <w:numId w:val="1020"/>
        </w:numPr>
      </w:pPr>
      <w:bookmarkStart w:id="56" w:name="anchor-9"/>
      <w:bookmarkEnd w:id="56"/>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7" w:name="anchor-9-6"/>
      <w:bookmarkEnd w:id="57"/>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8"/>
    <w:bookmarkStart w:id="60" w:name="the-ruling-elder"/>
    <w:p>
      <w:pPr>
        <w:pStyle w:val="Heading2"/>
      </w:pPr>
      <w:r>
        <w:t xml:space="preserve">10. The Ruling Elder</w:t>
      </w:r>
    </w:p>
    <w:p>
      <w:pPr>
        <w:numPr>
          <w:ilvl w:val="0"/>
          <w:numId w:val="1021"/>
        </w:numPr>
      </w:pPr>
      <w:bookmarkStart w:id="59" w:name="anchor-10"/>
      <w:bookmarkEnd w:id="59"/>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0"/>
    <w:bookmarkStart w:id="62" w:name="the-deacon"/>
    <w:p>
      <w:pPr>
        <w:pStyle w:val="Heading2"/>
      </w:pPr>
      <w:r>
        <w:t xml:space="preserve">11. The Deacon</w:t>
      </w:r>
    </w:p>
    <w:p>
      <w:pPr>
        <w:numPr>
          <w:ilvl w:val="0"/>
          <w:numId w:val="1022"/>
        </w:numPr>
      </w:pPr>
      <w:bookmarkStart w:id="61" w:name="anchor-11"/>
      <w:bookmarkEnd w:id="61"/>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2"/>
    <w:bookmarkStart w:id="64" w:name="church-courtsin-general"/>
    <w:p>
      <w:pPr>
        <w:pStyle w:val="Heading2"/>
      </w:pPr>
      <w:r>
        <w:t xml:space="preserve">12. Church Courts—In General</w:t>
      </w:r>
    </w:p>
    <w:p>
      <w:pPr>
        <w:numPr>
          <w:ilvl w:val="0"/>
          <w:numId w:val="1023"/>
        </w:numPr>
      </w:pPr>
      <w:bookmarkStart w:id="63" w:name="anchor-12"/>
      <w:bookmarkEnd w:id="63"/>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4"/>
    <w:bookmarkStart w:id="66" w:name="jurisdiction-of-church-courts"/>
    <w:p>
      <w:pPr>
        <w:pStyle w:val="Heading2"/>
      </w:pPr>
      <w:r>
        <w:t xml:space="preserve">13. Jurisdiction of Church Courts</w:t>
      </w:r>
    </w:p>
    <w:p>
      <w:pPr>
        <w:numPr>
          <w:ilvl w:val="0"/>
          <w:numId w:val="1024"/>
        </w:numPr>
      </w:pPr>
      <w:bookmarkStart w:id="65" w:name="anchor-13"/>
      <w:bookmarkEnd w:id="65"/>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6"/>
    <w:bookmarkStart w:id="70" w:name="the-church-session"/>
    <w:p>
      <w:pPr>
        <w:pStyle w:val="Heading2"/>
      </w:pPr>
      <w:r>
        <w:t xml:space="preserve">14. The Church Session</w:t>
      </w:r>
    </w:p>
    <w:p>
      <w:pPr>
        <w:numPr>
          <w:ilvl w:val="0"/>
          <w:numId w:val="1025"/>
        </w:numPr>
      </w:pPr>
      <w:bookmarkStart w:id="67" w:name="anchor-14"/>
      <w:bookmarkEnd w:id="67"/>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8" w:name="anchor-14-4"/>
      <w:bookmarkEnd w:id="68"/>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69" w:name="anchor-14-5"/>
      <w:bookmarkEnd w:id="69"/>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0"/>
    <w:bookmarkStart w:id="77" w:name="the-presbytery"/>
    <w:p>
      <w:pPr>
        <w:pStyle w:val="Heading2"/>
      </w:pPr>
      <w:bookmarkStart w:id="71" w:name="anchor-15"/>
      <w:bookmarkEnd w:id="71"/>
      <w:r>
        <w:t xml:space="preserve">15. The Presbytery</w:t>
      </w:r>
    </w:p>
    <w:p>
      <w:pPr>
        <w:numPr>
          <w:ilvl w:val="0"/>
          <w:numId w:val="1026"/>
        </w:numPr>
      </w:pPr>
      <w:bookmarkStart w:id="72" w:name="anchor-15-1"/>
      <w:bookmarkEnd w:id="72"/>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3" w:name="anchor-15-2"/>
      <w:bookmarkEnd w:id="73"/>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4" w:name="anchor-15-7"/>
      <w:bookmarkEnd w:id="74"/>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5" w:name="anchor-15-8"/>
      <w:bookmarkEnd w:id="75"/>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6" w:name="anchor-15-9"/>
      <w:bookmarkEnd w:id="76"/>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7"/>
    <w:bookmarkStart w:id="79" w:name="provisions-concerning-baptism"/>
    <w:p>
      <w:pPr>
        <w:pStyle w:val="Heading2"/>
      </w:pPr>
      <w:bookmarkStart w:id="78" w:name="anchor-16"/>
      <w:bookmarkEnd w:id="78"/>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79"/>
    <w:bookmarkStart w:id="81" w:name="ecclesiastical-commissions"/>
    <w:p>
      <w:pPr>
        <w:pStyle w:val="Heading2"/>
      </w:pPr>
      <w:r>
        <w:t xml:space="preserve">17. Ecclesiastical Commissions</w:t>
      </w:r>
    </w:p>
    <w:p>
      <w:pPr>
        <w:numPr>
          <w:ilvl w:val="0"/>
          <w:numId w:val="1032"/>
        </w:numPr>
      </w:pPr>
      <w:bookmarkStart w:id="80" w:name="anchor-17-1"/>
      <w:bookmarkEnd w:id="80"/>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1"/>
    <w:bookmarkStart w:id="83" w:name="church-ordersthe-doctrine-of-vocation"/>
    <w:p>
      <w:pPr>
        <w:pStyle w:val="Heading2"/>
      </w:pPr>
      <w:r>
        <w:t xml:space="preserve">18. Church Orders—The Doctrine of Vocation</w:t>
      </w:r>
    </w:p>
    <w:p>
      <w:pPr>
        <w:numPr>
          <w:ilvl w:val="0"/>
          <w:numId w:val="1033"/>
        </w:numPr>
      </w:pPr>
      <w:bookmarkStart w:id="82" w:name="anchor-18"/>
      <w:bookmarkEnd w:id="82"/>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3"/>
    <w:bookmarkStart w:id="85" w:name="the-doctrine-of-ordination"/>
    <w:p>
      <w:pPr>
        <w:pStyle w:val="Heading2"/>
      </w:pPr>
      <w:r>
        <w:t xml:space="preserve">19. The Doctrine of Ordination</w:t>
      </w:r>
    </w:p>
    <w:p>
      <w:pPr>
        <w:numPr>
          <w:ilvl w:val="0"/>
          <w:numId w:val="1034"/>
        </w:numPr>
      </w:pPr>
      <w:bookmarkStart w:id="84" w:name="anchor-19"/>
      <w:bookmarkEnd w:id="84"/>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5"/>
    <w:bookmarkStart w:id="88" w:name="candidates-for-the-gospel-ministry"/>
    <w:p>
      <w:pPr>
        <w:pStyle w:val="Heading2"/>
      </w:pPr>
      <w:r>
        <w:t xml:space="preserve">20. Candidates for the Gospel Ministry</w:t>
      </w:r>
    </w:p>
    <w:p>
      <w:pPr>
        <w:numPr>
          <w:ilvl w:val="0"/>
          <w:numId w:val="1035"/>
        </w:numPr>
      </w:pPr>
      <w:bookmarkStart w:id="86" w:name="anchor-20"/>
      <w:bookmarkEnd w:id="86"/>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7" w:name="anchor-20-2"/>
      <w:bookmarkEnd w:id="87"/>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88"/>
    <w:bookmarkStart w:id="92" w:name="Xc16786448ba2822a3f5bda559efa4a480045ec4"/>
    <w:p>
      <w:pPr>
        <w:pStyle w:val="Heading2"/>
      </w:pPr>
      <w:r>
        <w:t xml:space="preserve">21. The Licensure of Candidates for the Gospel Ministry</w:t>
      </w:r>
    </w:p>
    <w:p>
      <w:pPr>
        <w:numPr>
          <w:ilvl w:val="0"/>
          <w:numId w:val="1037"/>
        </w:numPr>
      </w:pPr>
      <w:bookmarkStart w:id="89" w:name="anchor-21"/>
      <w:bookmarkEnd w:id="89"/>
      <w:bookmarkStart w:id="90" w:name="anchor-21-1"/>
      <w:bookmarkEnd w:id="90"/>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1" w:name="anchor-21-2"/>
      <w:bookmarkEnd w:id="91"/>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2"/>
    <w:bookmarkStart w:id="96" w:name="the-election-of-pastors"/>
    <w:p>
      <w:pPr>
        <w:pStyle w:val="Heading2"/>
      </w:pPr>
      <w:bookmarkStart w:id="93" w:name="anchor-22"/>
      <w:bookmarkEnd w:id="93"/>
      <w:r>
        <w:t xml:space="preserve">22. The Election of Pastors</w:t>
      </w:r>
    </w:p>
    <w:p>
      <w:pPr>
        <w:numPr>
          <w:ilvl w:val="0"/>
          <w:numId w:val="1041"/>
        </w:numPr>
      </w:pPr>
      <w:bookmarkStart w:id="94" w:name="anchor-22-1"/>
      <w:bookmarkEnd w:id="94"/>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5" w:name="anchor-22-6"/>
      <w:bookmarkEnd w:id="95"/>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6"/>
    <w:bookmarkStart w:id="109" w:name="X70c76f40dc92afb0fec3b05285ed533799e2baf"/>
    <w:p>
      <w:pPr>
        <w:pStyle w:val="Heading2"/>
      </w:pPr>
      <w:r>
        <w:t xml:space="preserve">23. The Ordination and Installation of Ministers</w:t>
      </w:r>
    </w:p>
    <w:p>
      <w:pPr>
        <w:numPr>
          <w:ilvl w:val="0"/>
          <w:numId w:val="1042"/>
        </w:numPr>
      </w:pPr>
      <w:bookmarkStart w:id="97" w:name="anchor-23"/>
      <w:bookmarkEnd w:id="97"/>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98" w:name="anchor-23-4"/>
      <w:bookmarkEnd w:id="98"/>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99" w:name="anchor-23-4-e"/>
      <w:bookmarkEnd w:id="99"/>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0" w:name="anchor-23-4-f"/>
      <w:bookmarkEnd w:id="100"/>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1" w:name="anchor-23-6-c"/>
      <w:bookmarkEnd w:id="101"/>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2"/>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3"/>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4"/>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5" w:name="anchor-23-10"/>
      <w:bookmarkEnd w:id="105"/>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6"/>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7"/>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08"/>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09"/>
    <w:bookmarkStart w:id="114" w:name="the-pastoral-relations"/>
    <w:p>
      <w:pPr>
        <w:pStyle w:val="Heading2"/>
      </w:pPr>
      <w:r>
        <w:t xml:space="preserve">24. The Pastoral Relations</w:t>
      </w:r>
    </w:p>
    <w:p>
      <w:pPr>
        <w:numPr>
          <w:ilvl w:val="0"/>
          <w:numId w:val="1055"/>
        </w:numPr>
      </w:pPr>
      <w:bookmarkStart w:id="110" w:name="anchor-24"/>
      <w:bookmarkEnd w:id="110"/>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1" w:name="anchor-24-3"/>
      <w:bookmarkEnd w:id="111"/>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2" w:name="anchor-24-5"/>
      <w:bookmarkEnd w:id="112"/>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3" w:name="anchor-24-6"/>
      <w:bookmarkEnd w:id="113"/>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4"/>
    <w:bookmarkStart w:id="116" w:name="the-dissolution-of-the-pastoral-relation"/>
    <w:p>
      <w:pPr>
        <w:pStyle w:val="Heading2"/>
      </w:pPr>
      <w:bookmarkStart w:id="115" w:name="anchor-25"/>
      <w:bookmarkEnd w:id="115"/>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6"/>
    <w:bookmarkStart w:id="122" w:name="Xae036b604af6fd3ca15992043ac15b459fc2842"/>
    <w:p>
      <w:pPr>
        <w:pStyle w:val="Heading2"/>
      </w:pPr>
      <w:bookmarkStart w:id="117" w:name="anchor-26"/>
      <w:bookmarkEnd w:id="117"/>
      <w:r>
        <w:t xml:space="preserve">26. Election, Ordination, and Installation of Ruling Elders and Deacons</w:t>
      </w:r>
    </w:p>
    <w:bookmarkStart w:id="118"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18"/>
    <w:bookmarkStart w:id="121" w:name="ordination-and-installation"/>
    <w:p>
      <w:pPr>
        <w:pStyle w:val="Heading3"/>
      </w:pPr>
      <w:r>
        <w:t xml:space="preserve">Ordination and Installation</w:t>
      </w:r>
    </w:p>
    <w:p>
      <w:pPr>
        <w:numPr>
          <w:ilvl w:val="0"/>
          <w:numId w:val="1059"/>
        </w:numPr>
      </w:pPr>
      <w:bookmarkStart w:id="119" w:name="anchor-26-4"/>
      <w:bookmarkEnd w:id="119"/>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0" w:name="anchor-26-5"/>
      <w:bookmarkEnd w:id="120"/>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1"/>
    <w:bookmarkEnd w:id="122"/>
    <w:bookmarkStart w:id="124" w:name="congregational-meetings"/>
    <w:p>
      <w:pPr>
        <w:pStyle w:val="Heading2"/>
      </w:pPr>
      <w:r>
        <w:t xml:space="preserve">27. Congregational Meetings</w:t>
      </w:r>
    </w:p>
    <w:p>
      <w:pPr>
        <w:numPr>
          <w:ilvl w:val="0"/>
          <w:numId w:val="1061"/>
        </w:numPr>
      </w:pPr>
      <w:bookmarkStart w:id="123" w:name="anchor-27"/>
      <w:bookmarkEnd w:id="123"/>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4"/>
    <w:bookmarkStart w:id="131" w:name="amending-the-constitution-of-the-church"/>
    <w:p>
      <w:pPr>
        <w:pStyle w:val="Heading2"/>
      </w:pPr>
      <w:r>
        <w:t xml:space="preserve">28. Amending the Constitution of the Church</w:t>
      </w:r>
    </w:p>
    <w:p>
      <w:pPr>
        <w:pStyle w:val="Compact"/>
        <w:numPr>
          <w:ilvl w:val="0"/>
          <w:numId w:val="1062"/>
        </w:numPr>
      </w:pPr>
      <w:bookmarkStart w:id="125" w:name="anchor-28"/>
      <w:bookmarkEnd w:id="125"/>
      <w:bookmarkStart w:id="126" w:name="anchor-28-1"/>
      <w:bookmarkEnd w:id="126"/>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7"/>
      </w:r>
      <w:r>
        <w:t xml:space="preserve"> </w:t>
      </w:r>
      <w:r>
        <w:t xml:space="preserve">together with the Larger</w:t>
      </w:r>
      <w:r>
        <w:rPr>
          <w:rStyle w:val="FootnoteReference"/>
        </w:rPr>
        <w:footnoteReference w:id="128"/>
      </w:r>
      <w:r>
        <w:t xml:space="preserve"> </w:t>
      </w:r>
      <w:r>
        <w:t xml:space="preserve">and Shorter Catechisms;</w:t>
      </w:r>
      <w:r>
        <w:rPr>
          <w:rStyle w:val="FootnoteReference"/>
        </w:rPr>
        <w:footnoteReference w:id="129"/>
      </w:r>
      <w:r>
        <w:t xml:space="preserve"> </w:t>
      </w:r>
      <w:r>
        <w:t xml:space="preserve">the Doctrinal Declarations of the Presbytery;</w:t>
      </w:r>
      <w:r>
        <w:rPr>
          <w:rStyle w:val="FootnoteReference"/>
        </w:rPr>
        <w:footnoteReference w:id="130"/>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1"/>
    <w:bookmarkEnd w:id="132"/>
    <w:bookmarkStart w:id="198" w:name="the-rules-of-discipline"/>
    <w:p>
      <w:pPr>
        <w:pStyle w:val="Heading1"/>
      </w:pPr>
      <w:r>
        <w:t xml:space="preserve">The Rules of Discipline</w:t>
      </w:r>
    </w:p>
    <w:bookmarkStart w:id="137" w:name="disciplineits-nature-subjects-and-ends"/>
    <w:p>
      <w:pPr>
        <w:pStyle w:val="Heading2"/>
      </w:pPr>
      <w:r>
        <w:t xml:space="preserve">29. Discipline—Its Nature, Subjects, and Ends</w:t>
      </w:r>
    </w:p>
    <w:p>
      <w:pPr>
        <w:numPr>
          <w:ilvl w:val="0"/>
          <w:numId w:val="1070"/>
        </w:numPr>
      </w:pPr>
      <w:bookmarkStart w:id="133" w:name="anchor-29-1"/>
      <w:bookmarkEnd w:id="133"/>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4" w:name="anchor-29-1-a"/>
      <w:bookmarkEnd w:id="134"/>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5"/>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6" w:name="anchor-29-4"/>
      <w:bookmarkEnd w:id="136"/>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7"/>
    <w:bookmarkStart w:id="141" w:name="discipline-of-non-communing-members"/>
    <w:p>
      <w:pPr>
        <w:pStyle w:val="Heading2"/>
      </w:pPr>
      <w:r>
        <w:t xml:space="preserve">30. Discipline of Non-communing Members</w:t>
      </w:r>
    </w:p>
    <w:p>
      <w:pPr>
        <w:numPr>
          <w:ilvl w:val="0"/>
          <w:numId w:val="1073"/>
        </w:numPr>
      </w:pPr>
      <w:bookmarkStart w:id="138" w:name="anchor-30"/>
      <w:bookmarkEnd w:id="138"/>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39"/>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0"/>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1"/>
    <w:bookmarkStart w:id="144" w:name="offenses"/>
    <w:p>
      <w:pPr>
        <w:pStyle w:val="Heading2"/>
      </w:pPr>
      <w:r>
        <w:t xml:space="preserve">31. Offenses</w:t>
      </w:r>
    </w:p>
    <w:p>
      <w:pPr>
        <w:numPr>
          <w:ilvl w:val="0"/>
          <w:numId w:val="1076"/>
        </w:numPr>
      </w:pPr>
      <w:bookmarkStart w:id="142" w:name="anchor-31"/>
      <w:bookmarkEnd w:id="142"/>
      <w:bookmarkStart w:id="143" w:name="anchor-31-1"/>
      <w:bookmarkEnd w:id="143"/>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4"/>
    <w:bookmarkStart w:id="146" w:name="church-censures"/>
    <w:p>
      <w:pPr>
        <w:pStyle w:val="Heading2"/>
      </w:pPr>
      <w:r>
        <w:t xml:space="preserve">32. Church Censures</w:t>
      </w:r>
    </w:p>
    <w:p>
      <w:pPr>
        <w:numPr>
          <w:ilvl w:val="0"/>
          <w:numId w:val="1077"/>
        </w:numPr>
      </w:pPr>
      <w:bookmarkStart w:id="145" w:name="anchor-32"/>
      <w:bookmarkEnd w:id="145"/>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6"/>
    <w:bookmarkStart w:id="150" w:name="the-parties-in-cases-of-process"/>
    <w:p>
      <w:pPr>
        <w:pStyle w:val="Heading2"/>
      </w:pPr>
      <w:r>
        <w:t xml:space="preserve">33. The Parties in Cases of Process</w:t>
      </w:r>
    </w:p>
    <w:p>
      <w:pPr>
        <w:numPr>
          <w:ilvl w:val="0"/>
          <w:numId w:val="1078"/>
        </w:numPr>
      </w:pPr>
      <w:bookmarkStart w:id="147" w:name="anchor-33"/>
      <w:bookmarkEnd w:id="147"/>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48" w:name="anchor-33-2"/>
      <w:bookmarkEnd w:id="148"/>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49"/>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0"/>
    <w:bookmarkStart w:id="155" w:name="Xa05ecd3af34679d1ef483f4a60ab86a634c4ce5"/>
    <w:p>
      <w:pPr>
        <w:pStyle w:val="Heading2"/>
      </w:pPr>
      <w:r>
        <w:t xml:space="preserve">34. General Provisions Applicable to All Cases of Process</w:t>
      </w:r>
    </w:p>
    <w:p>
      <w:pPr>
        <w:pStyle w:val="Compact"/>
        <w:numPr>
          <w:ilvl w:val="0"/>
          <w:numId w:val="1080"/>
        </w:numPr>
      </w:pPr>
      <w:bookmarkStart w:id="151" w:name="anchor-34"/>
      <w:bookmarkEnd w:id="151"/>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2"/>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3" w:name="anchor-34-8"/>
      <w:bookmarkEnd w:id="153"/>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4"/>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5"/>
    <w:bookmarkStart w:id="159" w:name="Xfbdb5038cdb66620e0b0a7a526e2ab3f00aef5f"/>
    <w:p>
      <w:pPr>
        <w:pStyle w:val="Heading2"/>
      </w:pPr>
      <w:r>
        <w:t xml:space="preserve">35. Special Rules Pertaining to Process before Sessions</w:t>
      </w:r>
    </w:p>
    <w:p>
      <w:pPr>
        <w:numPr>
          <w:ilvl w:val="0"/>
          <w:numId w:val="1083"/>
        </w:numPr>
      </w:pPr>
      <w:bookmarkStart w:id="156" w:name="anchor-35"/>
      <w:bookmarkEnd w:id="156"/>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7" w:name="anchor-35-2"/>
      <w:bookmarkEnd w:id="157"/>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58" w:name="anchor-35-3"/>
      <w:bookmarkEnd w:id="158"/>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59"/>
    <w:bookmarkStart w:id="164" w:name="Xfbadf15979d5e77021499dffc3645acc0f3f00e"/>
    <w:p>
      <w:pPr>
        <w:pStyle w:val="Heading2"/>
      </w:pPr>
      <w:r>
        <w:t xml:space="preserve">36. Special Rules Pertaining to Process against a Minister</w:t>
      </w:r>
    </w:p>
    <w:p>
      <w:pPr>
        <w:numPr>
          <w:ilvl w:val="0"/>
          <w:numId w:val="1084"/>
        </w:numPr>
      </w:pPr>
      <w:bookmarkStart w:id="160" w:name="anchor-36"/>
      <w:bookmarkEnd w:id="160"/>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1" w:name="anchor-36-4"/>
      <w:bookmarkEnd w:id="161"/>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2" w:name="anchor-36-8"/>
      <w:bookmarkEnd w:id="162"/>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3" w:name="anchor-36-10"/>
      <w:bookmarkEnd w:id="163"/>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4"/>
    <w:bookmarkStart w:id="167" w:name="evidence"/>
    <w:p>
      <w:pPr>
        <w:pStyle w:val="Heading2"/>
      </w:pPr>
      <w:r>
        <w:t xml:space="preserve">37. Evidence</w:t>
      </w:r>
    </w:p>
    <w:p>
      <w:pPr>
        <w:numPr>
          <w:ilvl w:val="0"/>
          <w:numId w:val="1085"/>
        </w:numPr>
      </w:pPr>
      <w:bookmarkStart w:id="165" w:name="anchor-37"/>
      <w:bookmarkEnd w:id="165"/>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6" w:name="anchor-37-14"/>
      <w:bookmarkEnd w:id="166"/>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7"/>
    <w:bookmarkStart w:id="170" w:name="the-infliction-of-church-censures"/>
    <w:p>
      <w:pPr>
        <w:pStyle w:val="Heading2"/>
      </w:pPr>
      <w:r>
        <w:t xml:space="preserve">38. The Infliction of Church Censures</w:t>
      </w:r>
    </w:p>
    <w:p>
      <w:pPr>
        <w:numPr>
          <w:ilvl w:val="0"/>
          <w:numId w:val="1086"/>
        </w:numPr>
      </w:pPr>
      <w:bookmarkStart w:id="168" w:name="anchor-38"/>
      <w:bookmarkEnd w:id="168"/>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69"/>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0"/>
    <w:bookmarkStart w:id="172" w:name="the-removal-of-censure"/>
    <w:p>
      <w:pPr>
        <w:pStyle w:val="Heading2"/>
      </w:pPr>
      <w:bookmarkStart w:id="171" w:name="anchor-39"/>
      <w:bookmarkEnd w:id="171"/>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2"/>
    <w:bookmarkStart w:id="175" w:name="cases-without-process"/>
    <w:p>
      <w:pPr>
        <w:pStyle w:val="Heading2"/>
      </w:pPr>
      <w:r>
        <w:t xml:space="preserve">40. Cases without Process</w:t>
      </w:r>
    </w:p>
    <w:p>
      <w:pPr>
        <w:numPr>
          <w:ilvl w:val="0"/>
          <w:numId w:val="1090"/>
        </w:numPr>
      </w:pPr>
      <w:bookmarkStart w:id="173" w:name="anchor-40"/>
      <w:bookmarkEnd w:id="173"/>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4" w:name="anchor-40-4"/>
      <w:bookmarkEnd w:id="174"/>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5"/>
    <w:bookmarkStart w:id="181" w:name="X3cad1f6321d7755286002e3f77e3f770284f7c0"/>
    <w:p>
      <w:pPr>
        <w:pStyle w:val="Heading2"/>
      </w:pPr>
      <w:bookmarkStart w:id="176" w:name="anchor-41"/>
      <w:bookmarkEnd w:id="176"/>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7"/>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79"/>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1"/>
    <w:bookmarkStart w:id="183" w:name="general-review-and-control"/>
    <w:p>
      <w:pPr>
        <w:pStyle w:val="Heading2"/>
      </w:pPr>
      <w:r>
        <w:t xml:space="preserve">42. General Review and Control</w:t>
      </w:r>
    </w:p>
    <w:p>
      <w:pPr>
        <w:numPr>
          <w:ilvl w:val="0"/>
          <w:numId w:val="1094"/>
        </w:numPr>
      </w:pPr>
      <w:bookmarkStart w:id="182" w:name="anchor-42"/>
      <w:bookmarkEnd w:id="182"/>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3"/>
    <w:bookmarkStart w:id="186" w:name="references"/>
    <w:p>
      <w:pPr>
        <w:pStyle w:val="Heading2"/>
      </w:pPr>
      <w:r>
        <w:t xml:space="preserve">43. References</w:t>
      </w:r>
    </w:p>
    <w:p>
      <w:pPr>
        <w:numPr>
          <w:ilvl w:val="0"/>
          <w:numId w:val="1096"/>
        </w:numPr>
      </w:pPr>
      <w:bookmarkStart w:id="184" w:name="anchor-43"/>
      <w:bookmarkEnd w:id="184"/>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5" w:name="anchor-43-3"/>
      <w:bookmarkEnd w:id="185"/>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6"/>
    <w:bookmarkStart w:id="188" w:name="appeals"/>
    <w:p>
      <w:pPr>
        <w:pStyle w:val="Heading2"/>
      </w:pPr>
      <w:r>
        <w:t xml:space="preserve">44. Appeals</w:t>
      </w:r>
    </w:p>
    <w:p>
      <w:pPr>
        <w:numPr>
          <w:ilvl w:val="0"/>
          <w:numId w:val="1097"/>
        </w:numPr>
      </w:pPr>
      <w:bookmarkStart w:id="187" w:name="anchor-44"/>
      <w:bookmarkEnd w:id="187"/>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88"/>
    <w:bookmarkStart w:id="190" w:name="complaints"/>
    <w:p>
      <w:pPr>
        <w:pStyle w:val="Heading2"/>
      </w:pPr>
      <w:r>
        <w:t xml:space="preserve">45. Complaints</w:t>
      </w:r>
    </w:p>
    <w:p>
      <w:pPr>
        <w:numPr>
          <w:ilvl w:val="0"/>
          <w:numId w:val="1098"/>
        </w:numPr>
      </w:pPr>
      <w:bookmarkStart w:id="189" w:name="anchor-45"/>
      <w:bookmarkEnd w:id="189"/>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0"/>
    <w:bookmarkStart w:id="192" w:name="voting-in-appeals-and-complaints"/>
    <w:p>
      <w:pPr>
        <w:pStyle w:val="Heading2"/>
      </w:pPr>
      <w:r>
        <w:t xml:space="preserve">46. Voting in Appeals and Complaints</w:t>
      </w:r>
    </w:p>
    <w:p>
      <w:pPr>
        <w:numPr>
          <w:ilvl w:val="0"/>
          <w:numId w:val="1099"/>
        </w:numPr>
      </w:pPr>
      <w:bookmarkStart w:id="191" w:name="anchor-46"/>
      <w:bookmarkEnd w:id="191"/>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2"/>
    <w:bookmarkStart w:id="194" w:name="dissents-protests-and-objections"/>
    <w:p>
      <w:pPr>
        <w:pStyle w:val="Heading2"/>
      </w:pPr>
      <w:r>
        <w:t xml:space="preserve">47. Dissents, Protests, and Objections</w:t>
      </w:r>
    </w:p>
    <w:p>
      <w:pPr>
        <w:numPr>
          <w:ilvl w:val="0"/>
          <w:numId w:val="1100"/>
        </w:numPr>
      </w:pPr>
      <w:bookmarkStart w:id="193" w:name="anchor-47"/>
      <w:bookmarkEnd w:id="193"/>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4"/>
    <w:bookmarkStart w:id="197" w:name="jurisdiction"/>
    <w:p>
      <w:pPr>
        <w:pStyle w:val="Heading2"/>
      </w:pPr>
      <w:r>
        <w:t xml:space="preserve">48. Jurisdiction</w:t>
      </w:r>
    </w:p>
    <w:p>
      <w:pPr>
        <w:numPr>
          <w:ilvl w:val="0"/>
          <w:numId w:val="1101"/>
        </w:numPr>
      </w:pPr>
      <w:bookmarkStart w:id="195" w:name="anchor-48"/>
      <w:bookmarkEnd w:id="195"/>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6" w:name="anchor-48-7"/>
      <w:bookmarkEnd w:id="196"/>
      <w:r>
        <w:t xml:space="preserve">When a Presbytery shall divest a Minister of his office without censure, or depose him without excommunication, it shall assign him to membership in some particular church, subject to the approval of the Session of that church.</w:t>
      </w:r>
    </w:p>
    <w:bookmarkEnd w:id="197"/>
    <w:bookmarkEnd w:id="198"/>
    <w:bookmarkStart w:id="342" w:name="directory-for-the-worship-of-god"/>
    <w:p>
      <w:pPr>
        <w:pStyle w:val="Heading1"/>
      </w:pPr>
      <w:r>
        <w:t xml:space="preserve">Directory for the Worship of God</w:t>
      </w:r>
    </w:p>
    <w:bookmarkStart w:id="200" w:name="preface-to-the-directory"/>
    <w:p>
      <w:pPr>
        <w:pStyle w:val="Heading2"/>
      </w:pPr>
      <w:bookmarkStart w:id="199" w:name="anchor-dfw-preface"/>
      <w:bookmarkEnd w:id="199"/>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0"/>
    <w:bookmarkStart w:id="202" w:name="gods-institution-of-public-worship"/>
    <w:p>
      <w:pPr>
        <w:pStyle w:val="Heading2"/>
      </w:pPr>
      <w:bookmarkStart w:id="201" w:name="anchor-49"/>
      <w:bookmarkEnd w:id="201"/>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2"/>
    <w:bookmarkStart w:id="206" w:name="the-nature-of-public-worship"/>
    <w:p>
      <w:pPr>
        <w:pStyle w:val="Heading2"/>
      </w:pPr>
      <w:bookmarkStart w:id="203" w:name="anchor-50"/>
      <w:bookmarkEnd w:id="203"/>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4"/>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5"/>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6"/>
    <w:bookmarkStart w:id="209" w:name="the-parts-of-public-worship"/>
    <w:p>
      <w:pPr>
        <w:pStyle w:val="Heading2"/>
      </w:pPr>
      <w:bookmarkStart w:id="207" w:name="anchor-51"/>
      <w:bookmarkEnd w:id="207"/>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08"/>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09"/>
    <w:bookmarkStart w:id="212" w:name="X9d4e6ea83c5082640830f76d8473afee64835ca"/>
    <w:p>
      <w:pPr>
        <w:pStyle w:val="Heading2"/>
      </w:pPr>
      <w:bookmarkStart w:id="210" w:name="anchor-52"/>
      <w:bookmarkEnd w:id="210"/>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1"/>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2"/>
    <w:bookmarkStart w:id="219" w:name="X3d5c6b82b54008bb923390382cd7c33f3a7df96"/>
    <w:p>
      <w:pPr>
        <w:pStyle w:val="Heading2"/>
      </w:pPr>
      <w:bookmarkStart w:id="213" w:name="anchor-53"/>
      <w:bookmarkEnd w:id="213"/>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4"/>
      </w:r>
      <w:r>
        <w:t xml:space="preserve"> </w:t>
      </w:r>
      <w:r>
        <w:t xml:space="preserve">and ministers are</w:t>
      </w:r>
      <w:r>
        <w:t xml:space="preserve"> </w:t>
      </w:r>
      <w:r>
        <w:t xml:space="preserve">“stewards of the mysteries of God”</w:t>
      </w:r>
      <w:r>
        <w:rPr>
          <w:rStyle w:val="FootnoteReference"/>
        </w:rPr>
        <w:footnoteReference w:id="215"/>
      </w:r>
      <w:r>
        <w:t xml:space="preserve"> </w:t>
      </w:r>
      <w:r>
        <w:t xml:space="preserve">in Christ’s church, no other is permitted to take this honor to himself.</w:t>
      </w:r>
      <w:r>
        <w:rPr>
          <w:rStyle w:val="FootnoteReference"/>
        </w:rPr>
        <w:footnoteReference w:id="216"/>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7"/>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18"/>
      </w:r>
      <w:r>
        <w:t xml:space="preserve"> </w:t>
      </w:r>
      <w:r>
        <w:t xml:space="preserve">are distinctly appropriate. If, however, the minister deems another benediction taken from Scripture more fitting for a particular occasion, he may use it.</w:t>
      </w:r>
    </w:p>
    <w:bookmarkEnd w:id="219"/>
    <w:bookmarkStart w:id="222" w:name="Xf9daac615e4242cfcb64c0808d00186a7b94d66"/>
    <w:p>
      <w:pPr>
        <w:pStyle w:val="Heading2"/>
      </w:pPr>
      <w:bookmarkStart w:id="220" w:name="anchor-54"/>
      <w:bookmarkEnd w:id="220"/>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1"/>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2"/>
    <w:bookmarkStart w:id="224" w:name="Xf8230d65e2747cefdee3ce08563d8da9a462cd7"/>
    <w:p>
      <w:pPr>
        <w:pStyle w:val="Heading2"/>
      </w:pPr>
      <w:r>
        <w:t xml:space="preserve">55. The Administration of the Sacraments—General Provisions</w:t>
      </w:r>
    </w:p>
    <w:p>
      <w:pPr>
        <w:numPr>
          <w:ilvl w:val="0"/>
          <w:numId w:val="1136"/>
        </w:numPr>
      </w:pPr>
      <w:bookmarkStart w:id="223" w:name="anchor-55"/>
      <w:bookmarkEnd w:id="223"/>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4"/>
    <w:bookmarkStart w:id="233" w:name="the-baptism-of-infants"/>
    <w:p>
      <w:pPr>
        <w:pStyle w:val="Heading2"/>
      </w:pPr>
      <w:bookmarkStart w:id="225" w:name="anchor-56"/>
      <w:bookmarkEnd w:id="225"/>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6"/>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7"/>
      </w:r>
      <w:r>
        <w:t xml:space="preserve"> </w:t>
      </w:r>
      <w:r>
        <w:t xml:space="preserve">He promises, “Believe in the Lord Jesus Christ, and you will be saved, you and your household.”</w:t>
      </w:r>
      <w:r>
        <w:rPr>
          <w:rStyle w:val="FootnoteReference"/>
        </w:rPr>
        <w:footnoteReference w:id="228"/>
      </w:r>
      <w:r>
        <w:t xml:space="preserve"> </w:t>
      </w:r>
      <w:r>
        <w:t xml:space="preserve">He affirms that if even one parent is a believer, the children are “holy.”</w:t>
      </w:r>
      <w:r>
        <w:rPr>
          <w:rStyle w:val="FootnoteReference"/>
        </w:rPr>
        <w:footnoteReference w:id="229"/>
      </w:r>
      <w:r>
        <w:t xml:space="preserve"> </w:t>
      </w:r>
      <w:r>
        <w:t xml:space="preserve">Moreover, our Savior admitted little children into His presence, embracing and blessing them, and saying, “for the kingdom of God belongs to such as these.”</w:t>
      </w:r>
      <w:r>
        <w:rPr>
          <w:rStyle w:val="FootnoteReference"/>
        </w:rPr>
        <w:footnoteReference w:id="230"/>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1"/>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2"/>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3"/>
    <w:bookmarkStart w:id="235" w:name="a-note-on-infant-dedication"/>
    <w:p>
      <w:pPr>
        <w:pStyle w:val="Heading2"/>
      </w:pPr>
      <w:bookmarkStart w:id="234" w:name="anchor-57"/>
      <w:bookmarkEnd w:id="234"/>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5"/>
    <w:bookmarkStart w:id="237" w:name="the-baptism-of-those-professing-faith"/>
    <w:p>
      <w:pPr>
        <w:pStyle w:val="Heading2"/>
      </w:pPr>
      <w:bookmarkStart w:id="236" w:name="anchor-58"/>
      <w:bookmarkEnd w:id="236"/>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7"/>
    <w:bookmarkStart w:id="244" w:name="the-lords-supper"/>
    <w:p>
      <w:pPr>
        <w:pStyle w:val="Heading2"/>
      </w:pPr>
      <w:bookmarkStart w:id="238" w:name="anchor-59"/>
      <w:bookmarkEnd w:id="238"/>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39"/>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0"/>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1"/>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2"/>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3"/>
      </w:r>
    </w:p>
    <w:p>
      <w:pPr>
        <w:pStyle w:val="FirstParagraph"/>
      </w:pPr>
      <w:r>
        <w:rPr>
          <w:i/>
          <w:iCs/>
        </w:rPr>
        <w:t xml:space="preserve">The above exhortations and explanations are in accord with the historic Reformed liturgies.</w:t>
      </w:r>
    </w:p>
    <w:bookmarkEnd w:id="244"/>
    <w:bookmarkStart w:id="248" w:name="X4bf295be6dc8c150971c151ab63667c63fdd970"/>
    <w:p>
      <w:pPr>
        <w:pStyle w:val="Heading2"/>
      </w:pPr>
      <w:r>
        <w:t xml:space="preserve">60. Public Reception of Church Members—General Provisions</w:t>
      </w:r>
    </w:p>
    <w:p>
      <w:pPr>
        <w:numPr>
          <w:ilvl w:val="0"/>
          <w:numId w:val="1147"/>
        </w:numPr>
      </w:pPr>
      <w:bookmarkStart w:id="245" w:name="anchor-60"/>
      <w:bookmarkEnd w:id="245"/>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6" w:name="anchor-60-3"/>
      <w:bookmarkEnd w:id="246"/>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7"/>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48"/>
    <w:bookmarkStart w:id="251" w:name="Xb1d1419746cfc47d0252b6772fff5a1cfab15e4"/>
    <w:p>
      <w:pPr>
        <w:pStyle w:val="Heading2"/>
      </w:pPr>
      <w:bookmarkStart w:id="249" w:name="anchor-61"/>
      <w:bookmarkEnd w:id="249"/>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0" w:name="anchor-61-2-5"/>
      <w:bookmarkEnd w:id="250"/>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1"/>
    <w:bookmarkStart w:id="253" w:name="Xdcddc2f0c4ed4a31d44f70081be6e0b206f6ad4"/>
    <w:p>
      <w:pPr>
        <w:pStyle w:val="Heading2"/>
      </w:pPr>
      <w:bookmarkStart w:id="252" w:name="anchor-62"/>
      <w:bookmarkEnd w:id="252"/>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3"/>
    <w:bookmarkStart w:id="256" w:name="Xd29bfee5feff8d35db0013d4b2bb87ea3e6c2a9"/>
    <w:p>
      <w:pPr>
        <w:pStyle w:val="Heading2"/>
      </w:pPr>
      <w:bookmarkStart w:id="254" w:name="anchor-63"/>
      <w:bookmarkEnd w:id="254"/>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5" w:name="anchor-63-4"/>
      <w:bookmarkEnd w:id="255"/>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6"/>
    <w:bookmarkStart w:id="258" w:name="reception-by-reaffirmation-of-faith"/>
    <w:p>
      <w:pPr>
        <w:pStyle w:val="Heading2"/>
      </w:pPr>
      <w:bookmarkStart w:id="257" w:name="anchor-64"/>
      <w:bookmarkEnd w:id="257"/>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1"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59" w:name="anchor-65-3"/>
      <w:bookmarkEnd w:id="259"/>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0" w:name="anchor-65-4"/>
      <w:bookmarkEnd w:id="260"/>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1"/>
    <w:bookmarkStart w:id="263" w:name="other-occasions-of-public-worship"/>
    <w:p>
      <w:pPr>
        <w:pStyle w:val="Heading2"/>
      </w:pPr>
      <w:bookmarkStart w:id="262" w:name="anchor-66"/>
      <w:bookmarkEnd w:id="262"/>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3"/>
    <w:bookmarkStart w:id="265" w:name="prayer-meetings"/>
    <w:p>
      <w:pPr>
        <w:pStyle w:val="Heading2"/>
      </w:pPr>
      <w:bookmarkStart w:id="264" w:name="anchor-67"/>
      <w:bookmarkEnd w:id="264"/>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5"/>
    <w:bookmarkStart w:id="267" w:name="prayer-and-fasting"/>
    <w:p>
      <w:pPr>
        <w:pStyle w:val="Heading2"/>
      </w:pPr>
      <w:bookmarkStart w:id="266" w:name="anchor-68"/>
      <w:bookmarkEnd w:id="266"/>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7"/>
    <w:bookmarkStart w:id="269" w:name="thanksgiving"/>
    <w:p>
      <w:pPr>
        <w:pStyle w:val="Heading2"/>
      </w:pPr>
      <w:r>
        <w:t xml:space="preserve">69. Thanksgiving</w:t>
      </w:r>
    </w:p>
    <w:p>
      <w:pPr>
        <w:numPr>
          <w:ilvl w:val="0"/>
          <w:numId w:val="1158"/>
        </w:numPr>
      </w:pPr>
      <w:bookmarkStart w:id="268" w:name="anchor-69"/>
      <w:bookmarkEnd w:id="268"/>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69"/>
    <w:bookmarkStart w:id="271" w:name="home-fellowship-groups"/>
    <w:p>
      <w:pPr>
        <w:pStyle w:val="Heading2"/>
      </w:pPr>
      <w:r>
        <w:t xml:space="preserve">70. Home Fellowship Groups</w:t>
      </w:r>
    </w:p>
    <w:p>
      <w:pPr>
        <w:numPr>
          <w:ilvl w:val="0"/>
          <w:numId w:val="1159"/>
        </w:numPr>
      </w:pPr>
      <w:bookmarkStart w:id="270" w:name="anchor-70"/>
      <w:bookmarkEnd w:id="270"/>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1"/>
    <w:bookmarkStart w:id="284" w:name="the-solemnization-of-marriage"/>
    <w:p>
      <w:pPr>
        <w:pStyle w:val="Heading2"/>
      </w:pPr>
      <w:r>
        <w:t xml:space="preserve">71. The Solemnization of Marriage</w:t>
      </w:r>
    </w:p>
    <w:p>
      <w:pPr>
        <w:pStyle w:val="Compact"/>
        <w:numPr>
          <w:ilvl w:val="0"/>
          <w:numId w:val="1160"/>
        </w:numPr>
      </w:pPr>
      <w:bookmarkStart w:id="272" w:name="anchor-71"/>
      <w:bookmarkEnd w:id="272"/>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3"/>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4" w:name="anchor-71-3"/>
      <w:bookmarkEnd w:id="274"/>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5"/>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6"/>
      </w:r>
    </w:p>
    <w:p>
      <w:pPr>
        <w:pStyle w:val="Compact"/>
        <w:numPr>
          <w:ilvl w:val="0"/>
          <w:numId w:val="1163"/>
        </w:numPr>
      </w:pPr>
      <w:r>
        <w:t xml:space="preserve">Marriage is to be a lifelong, monogamous union between one man and one woman,</w:t>
      </w:r>
      <w:r>
        <w:rPr>
          <w:rStyle w:val="FootnoteReference"/>
        </w:rPr>
        <w:footnoteReference w:id="279"/>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1"/>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2"/>
      </w:r>
    </w:p>
    <w:bookmarkEnd w:id="284"/>
    <w:bookmarkStart w:id="291" w:name="X418bffa15e06d4069dd9d3137bae3273dbf9013"/>
    <w:p>
      <w:pPr>
        <w:pStyle w:val="Heading2"/>
      </w:pPr>
      <w:bookmarkStart w:id="285" w:name="anchor-72"/>
      <w:bookmarkEnd w:id="285"/>
      <w:r>
        <w:t xml:space="preserve">72. Other Policies Related to Biblical Sexuality</w:t>
      </w:r>
    </w:p>
    <w:p>
      <w:pPr>
        <w:pStyle w:val="FirstParagraph"/>
      </w:pPr>
      <w:r>
        <w:t xml:space="preserve">In accordance with the beliefs laid out in the</w:t>
      </w:r>
      <w:r>
        <w:t xml:space="preserve"> </w:t>
      </w:r>
      <w:hyperlink r:id="rId286">
        <w:r>
          <w:rPr>
            <w:rStyle w:val="Hyperlink"/>
          </w:rPr>
          <w:t xml:space="preserve">Declaration of Doctrine on Sexuality (DDS)</w:t>
        </w:r>
      </w:hyperlink>
      <w:r>
        <w:t xml:space="preserve">, namely, that God created each person as either male or female (</w:t>
      </w:r>
      <w:hyperlink r:id="rId287">
        <w:r>
          <w:rPr>
            <w:rStyle w:val="Hyperlink"/>
          </w:rPr>
          <w:t xml:space="preserve">DDS 5–6</w:t>
        </w:r>
      </w:hyperlink>
      <w:r>
        <w:t xml:space="preserve">); that each person has a subsequent responsibility to live in accordance with the genetic sex given to him by God (</w:t>
      </w:r>
      <w:hyperlink r:id="rId288">
        <w:r>
          <w:rPr>
            <w:rStyle w:val="Hyperlink"/>
          </w:rPr>
          <w:t xml:space="preserve">DDS 6–7</w:t>
        </w:r>
      </w:hyperlink>
      <w:r>
        <w:t xml:space="preserve">); and that any attempt of a man to play the woman or a woman to play the man violates God’s decree (</w:t>
      </w:r>
      <w:hyperlink r:id="rId289">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0"/>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1"/>
    <w:bookmarkStart w:id="293" w:name="the-visitation-of-the-sick"/>
    <w:p>
      <w:pPr>
        <w:pStyle w:val="Heading2"/>
      </w:pPr>
      <w:r>
        <w:t xml:space="preserve">73. The Visitation of the Sick</w:t>
      </w:r>
    </w:p>
    <w:p>
      <w:pPr>
        <w:numPr>
          <w:ilvl w:val="0"/>
          <w:numId w:val="1168"/>
        </w:numPr>
      </w:pPr>
      <w:bookmarkStart w:id="292" w:name="anchor-73"/>
      <w:bookmarkEnd w:id="292"/>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3"/>
    <w:bookmarkStart w:id="295" w:name="worship-in-the-home"/>
    <w:p>
      <w:pPr>
        <w:pStyle w:val="Heading2"/>
      </w:pPr>
      <w:r>
        <w:t xml:space="preserve">74. Worship in the Home</w:t>
      </w:r>
    </w:p>
    <w:p>
      <w:pPr>
        <w:numPr>
          <w:ilvl w:val="0"/>
          <w:numId w:val="1169"/>
        </w:numPr>
      </w:pPr>
      <w:bookmarkStart w:id="294" w:name="anchor-74"/>
      <w:bookmarkEnd w:id="294"/>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5"/>
    <w:bookmarkStart w:id="298" w:name="Xa33a3fb8d78fdecadb2d0ff5da4243df5e7f5d2"/>
    <w:p>
      <w:pPr>
        <w:pStyle w:val="Heading2"/>
      </w:pPr>
      <w:bookmarkStart w:id="296" w:name="anchor-75"/>
      <w:bookmarkEnd w:id="296"/>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7"/>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298"/>
    <w:bookmarkStart w:id="306" w:name="suggested-form-for-a-funeral"/>
    <w:p>
      <w:pPr>
        <w:pStyle w:val="Heading2"/>
      </w:pPr>
      <w:bookmarkStart w:id="299" w:name="anchor-76"/>
      <w:bookmarkEnd w:id="299"/>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1"/>
      </w:r>
    </w:p>
    <w:p>
      <w:pPr>
        <w:pStyle w:val="BlockText"/>
      </w:pPr>
      <w:r>
        <w:t xml:space="preserve">“For we are sojourners before You, and tenants, as all our fathers were; our days on the earth are like a shadow, and there is no hope.”</w:t>
      </w:r>
      <w:r>
        <w:rPr>
          <w:rStyle w:val="FootnoteReference"/>
        </w:rPr>
        <w:footnoteReference w:id="302"/>
      </w:r>
    </w:p>
    <w:p>
      <w:pPr>
        <w:pStyle w:val="BlockText"/>
      </w:pPr>
      <w:r>
        <w:t xml:space="preserve">“For we have brought nothing into the world, so we cannot take anything out of it either.”</w:t>
      </w:r>
      <w:r>
        <w:rPr>
          <w:rStyle w:val="FootnoteReference"/>
        </w:rPr>
        <w:footnoteReference w:id="303"/>
      </w:r>
    </w:p>
    <w:p>
      <w:pPr>
        <w:pStyle w:val="BlockText"/>
      </w:pPr>
      <w:r>
        <w:t xml:space="preserve">“</w:t>
      </w:r>
      <w:r>
        <w:t xml:space="preserve">‘The LORD gave and the LORD has taken away. Blessed be the name of the LORD.’</w:t>
      </w:r>
      <w:r>
        <w:t xml:space="preserve">”</w:t>
      </w:r>
      <w:r>
        <w:rPr>
          <w:rStyle w:val="FootnoteReference"/>
        </w:rPr>
        <w:footnoteReference w:id="304"/>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5"/>
      </w:r>
      <w:r>
        <w:t xml:space="preserve"> </w:t>
      </w:r>
      <w:r>
        <w:t xml:space="preserve">Amen.</w:t>
      </w:r>
    </w:p>
    <w:bookmarkEnd w:id="306"/>
    <w:bookmarkStart w:id="314" w:name="suggested-form-for-a-childs-funeral"/>
    <w:p>
      <w:pPr>
        <w:pStyle w:val="Heading2"/>
      </w:pPr>
      <w:bookmarkStart w:id="307" w:name="anchor-77"/>
      <w:bookmarkEnd w:id="307"/>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08"/>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9"/>
      </w:r>
    </w:p>
    <w:p>
      <w:pPr>
        <w:pStyle w:val="BlockText"/>
      </w:pPr>
      <w:r>
        <w:t xml:space="preserve">“</w:t>
      </w:r>
      <w:r>
        <w:t xml:space="preserve">‘The LORD gave and the LORD has taken away. Blessed be the name of the LORD.’</w:t>
      </w:r>
      <w:r>
        <w:t xml:space="preserve">”</w:t>
      </w:r>
      <w:r>
        <w:rPr>
          <w:rStyle w:val="FootnoteReference"/>
        </w:rPr>
        <w:footnoteReference w:id="310"/>
      </w:r>
    </w:p>
    <w:p>
      <w:pPr>
        <w:pStyle w:val="BlockText"/>
      </w:pPr>
      <w:r>
        <w:t xml:space="preserve">“</w:t>
      </w:r>
      <w:r>
        <w:t xml:space="preserve">‘Come to Me, all who are weary and heavy-laden, and I will give you rest.’</w:t>
      </w:r>
      <w:r>
        <w:t xml:space="preserve">”</w:t>
      </w:r>
      <w:r>
        <w:rPr>
          <w:rStyle w:val="FootnoteReference"/>
        </w:rPr>
        <w:footnoteReference w:id="311"/>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2"/>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3"/>
      </w:r>
      <w:r>
        <w:t xml:space="preserve"> </w:t>
      </w:r>
      <w:r>
        <w:t xml:space="preserve">Amen.</w:t>
      </w:r>
    </w:p>
    <w:bookmarkEnd w:id="314"/>
    <w:bookmarkStart w:id="316" w:name="Xda5bd949aa424424fe1e3504a515b7f4dd8cf12"/>
    <w:p>
      <w:pPr>
        <w:pStyle w:val="Heading2"/>
      </w:pPr>
      <w:bookmarkStart w:id="315" w:name="anchor-78"/>
      <w:bookmarkEnd w:id="315"/>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6"/>
    <w:bookmarkStart w:id="320" w:name="suggested-form-for-infant-dedication"/>
    <w:p>
      <w:pPr>
        <w:pStyle w:val="Heading2"/>
      </w:pPr>
      <w:bookmarkStart w:id="317" w:name="anchor-79"/>
      <w:bookmarkEnd w:id="317"/>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18"/>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19"/>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0"/>
    <w:bookmarkStart w:id="341" w:name="the-creeds"/>
    <w:p>
      <w:pPr>
        <w:pStyle w:val="Heading2"/>
      </w:pPr>
      <w:bookmarkStart w:id="321" w:name="anchor-80"/>
      <w:bookmarkEnd w:id="321"/>
      <w:r>
        <w:t xml:space="preserve">80. The Creeds</w:t>
      </w:r>
    </w:p>
    <w:bookmarkStart w:id="329" w:name="the-apostles-creed"/>
    <w:p>
      <w:pPr>
        <w:pStyle w:val="Heading3"/>
      </w:pPr>
      <w:bookmarkStart w:id="322" w:name="the-apostles-creed"/>
      <w:bookmarkEnd w:id="322"/>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3"/>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4"/>
      </w:r>
      <w:r>
        <w:t xml:space="preserve"> </w:t>
      </w:r>
      <w:r>
        <w:t xml:space="preserve">on the right hand of God the Father Almighty;</w:t>
      </w:r>
      <w:r>
        <w:br/>
      </w:r>
      <w:r>
        <w:t xml:space="preserve">from thence</w:t>
      </w:r>
      <w:r>
        <w:rPr>
          <w:rStyle w:val="FootnoteReference"/>
        </w:rPr>
        <w:footnoteReference w:id="325"/>
      </w:r>
      <w:r>
        <w:t xml:space="preserve"> </w:t>
      </w:r>
      <w:r>
        <w:t xml:space="preserve">He shall come to judge the quick</w:t>
      </w:r>
      <w:r>
        <w:rPr>
          <w:rStyle w:val="FootnoteReference"/>
        </w:rPr>
        <w:footnoteReference w:id="326"/>
      </w:r>
      <w:r>
        <w:t xml:space="preserve"> </w:t>
      </w:r>
      <w:r>
        <w:t xml:space="preserve">and the dead.</w:t>
      </w:r>
    </w:p>
    <w:p>
      <w:pPr>
        <w:pStyle w:val="BlockText"/>
      </w:pPr>
      <w:r>
        <w:t xml:space="preserve">I believe in the Holy Ghost,</w:t>
      </w:r>
      <w:r>
        <w:rPr>
          <w:rStyle w:val="FootnoteReference"/>
        </w:rPr>
        <w:footnoteReference w:id="327"/>
      </w:r>
      <w:r>
        <w:br/>
      </w:r>
      <w:r>
        <w:t xml:space="preserve">the holy catholic</w:t>
      </w:r>
      <w:r>
        <w:rPr>
          <w:rStyle w:val="FootnoteReference"/>
        </w:rPr>
        <w:footnoteReference w:id="328"/>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29"/>
    <w:bookmarkStart w:id="333" w:name="the-nicene-creed"/>
    <w:p>
      <w:pPr>
        <w:pStyle w:val="Heading3"/>
      </w:pPr>
      <w:bookmarkStart w:id="330" w:name="the-nicene-creed"/>
      <w:bookmarkEnd w:id="330"/>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1"/>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2"/>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3"/>
    <w:bookmarkStart w:id="336" w:name="the-athanasian-creed"/>
    <w:p>
      <w:pPr>
        <w:pStyle w:val="Heading3"/>
      </w:pPr>
      <w:bookmarkStart w:id="334" w:name="the-athanasian-creed"/>
      <w:bookmarkEnd w:id="334"/>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5"/>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6"/>
    <w:bookmarkStart w:id="340" w:name="the-chalcedonian-creed"/>
    <w:p>
      <w:pPr>
        <w:pStyle w:val="Heading3"/>
      </w:pPr>
      <w:bookmarkStart w:id="337" w:name="the-chalcedonian-creed"/>
      <w:bookmarkEnd w:id="337"/>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38"/>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39"/>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0"/>
    <w:bookmarkEnd w:id="341"/>
    <w:bookmarkEnd w:id="342"/>
    <w:bookmarkStart w:id="346" w:name="appendix-1-presbytery-forms"/>
    <w:p>
      <w:pPr>
        <w:pStyle w:val="Heading1"/>
      </w:pPr>
      <w:r>
        <w:t xml:space="preserve">Appendix 1: Presbytery Forms</w:t>
      </w:r>
    </w:p>
    <w:bookmarkStart w:id="345" w:name="form-of-ministerial-obligation"/>
    <w:p>
      <w:pPr>
        <w:pStyle w:val="Heading2"/>
      </w:pPr>
      <w:r>
        <w:t xml:space="preserve">Form of Ministerial Obligation</w:t>
      </w:r>
    </w:p>
    <w:p>
      <w:pPr>
        <w:pStyle w:val="FirstParagraph"/>
      </w:pPr>
      <w:bookmarkStart w:id="343" w:name="Xae9248a0fa53a206ebf12316a29ec44f369ab40"/>
      <w:bookmarkEnd w:id="343"/>
      <w:r>
        <w:t xml:space="preserve"> </w:t>
      </w:r>
      <w:bookmarkStart w:id="344" w:name="anchor-form-of-ministerial-obligation"/>
      <w:bookmarkEnd w:id="344"/>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5"/>
    <w:bookmarkEnd w:id="346"/>
    <w:bookmarkStart w:id="356" w:name="Xc6fc7b9496f09729869b8ab05e2b4c77d8815c9"/>
    <w:p>
      <w:pPr>
        <w:pStyle w:val="Heading1"/>
      </w:pPr>
      <w:r>
        <w:t xml:space="preserve">Appendix 2: Original Texts of Liturgical Forms</w:t>
      </w:r>
    </w:p>
    <w:bookmarkStart w:id="349" w:name="Xd71852eec4774270f400fcb621a9b94ea521c98"/>
    <w:p>
      <w:pPr>
        <w:pStyle w:val="Heading2"/>
      </w:pPr>
      <w:r>
        <w:t xml:space="preserve">1. Calvin’s Service of the Lord’s Supper (1542, 1566)</w:t>
      </w:r>
    </w:p>
    <w:p>
      <w:pPr>
        <w:pStyle w:val="FirstParagraph"/>
      </w:pPr>
      <w:bookmarkStart w:id="347" w:name="anchor-appendix2-1"/>
      <w:bookmarkEnd w:id="347"/>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48"/>
      </w:r>
    </w:p>
    <w:bookmarkEnd w:id="349"/>
    <w:bookmarkStart w:id="352" w:name="Xdf2a2805bd4b0a4713c0db933aa6cccc73bcf38"/>
    <w:p>
      <w:pPr>
        <w:pStyle w:val="Heading2"/>
      </w:pPr>
      <w:r>
        <w:t xml:space="preserve">2. The Form of Solemnization of Matrimony (1549 Book of Common Prayer)</w:t>
      </w:r>
    </w:p>
    <w:p>
      <w:pPr>
        <w:pStyle w:val="FirstParagraph"/>
      </w:pPr>
      <w:bookmarkStart w:id="350" w:name="anchor-appendix2-2"/>
      <w:bookmarkEnd w:id="350"/>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1"/>
      </w:r>
    </w:p>
    <w:bookmarkEnd w:id="352"/>
    <w:bookmarkStart w:id="355" w:name="X486e77db7284ecb45ef32f2dcdf393f8005c634"/>
    <w:p>
      <w:pPr>
        <w:pStyle w:val="Heading2"/>
      </w:pPr>
      <w:r>
        <w:t xml:space="preserve">3. The Order for the Burial of the Dead (1549 Book of Common Prayer)</w:t>
      </w:r>
    </w:p>
    <w:p>
      <w:pPr>
        <w:pStyle w:val="FirstParagraph"/>
      </w:pPr>
      <w:bookmarkStart w:id="353" w:name="anchor-appendix2-3"/>
      <w:bookmarkEnd w:id="353"/>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4"/>
      </w:r>
    </w:p>
    <w:bookmarkEnd w:id="355"/>
    <w:bookmarkEnd w:id="356"/>
    <w:bookmarkStart w:id="364"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7">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58">
        <w:r>
          <w:rPr>
            <w:rStyle w:val="Hyperlink"/>
          </w:rPr>
          <w:t xml:space="preserve">Hot Fix December 10, 2021</w:t>
        </w:r>
      </w:hyperlink>
    </w:p>
    <w:p>
      <w:pPr>
        <w:pStyle w:val="Compact"/>
        <w:numPr>
          <w:ilvl w:val="1"/>
          <w:numId w:val="1171"/>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59">
        <w:r>
          <w:rPr>
            <w:rStyle w:val="Hyperlink"/>
          </w:rPr>
          <w:t xml:space="preserve">Amended October 8, 2021</w:t>
        </w:r>
      </w:hyperlink>
    </w:p>
    <w:p>
      <w:pPr>
        <w:pStyle w:val="Compact"/>
        <w:numPr>
          <w:ilvl w:val="0"/>
          <w:numId w:val="1170"/>
        </w:numPr>
      </w:pPr>
      <w:hyperlink r:id="rId360">
        <w:r>
          <w:rPr>
            <w:rStyle w:val="Hyperlink"/>
          </w:rPr>
          <w:t xml:space="preserve">Amended June 3, 2021</w:t>
        </w:r>
      </w:hyperlink>
    </w:p>
    <w:p>
      <w:pPr>
        <w:pStyle w:val="Compact"/>
        <w:numPr>
          <w:ilvl w:val="0"/>
          <w:numId w:val="1170"/>
        </w:numPr>
      </w:pPr>
      <w:hyperlink r:id="rId361">
        <w:r>
          <w:rPr>
            <w:rStyle w:val="Hyperlink"/>
          </w:rPr>
          <w:t xml:space="preserve">Amended on October 31, 2019</w:t>
        </w:r>
      </w:hyperlink>
    </w:p>
    <w:p>
      <w:pPr>
        <w:pStyle w:val="Compact"/>
        <w:numPr>
          <w:ilvl w:val="0"/>
          <w:numId w:val="1170"/>
        </w:numPr>
      </w:pPr>
      <w:hyperlink r:id="rId362">
        <w:r>
          <w:rPr>
            <w:rStyle w:val="Hyperlink"/>
          </w:rPr>
          <w:t xml:space="preserve">Amended on June 6, 2019</w:t>
        </w:r>
      </w:hyperlink>
    </w:p>
    <w:p>
      <w:pPr>
        <w:pStyle w:val="Compact"/>
        <w:numPr>
          <w:ilvl w:val="0"/>
          <w:numId w:val="1170"/>
        </w:numPr>
      </w:pPr>
      <w:hyperlink r:id="rId363">
        <w:r>
          <w:rPr>
            <w:rStyle w:val="Hyperlink"/>
          </w:rPr>
          <w:t xml:space="preserve">Original Version released February 28, 2019</w:t>
        </w:r>
      </w:hyperlink>
    </w:p>
    <w:bookmarkEnd w:id="3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8">
    <w:p>
      <w:pPr>
        <w:pStyle w:val="FootnoteText"/>
      </w:pPr>
      <w:r>
        <w:rPr>
          <w:rStyle w:val="FootnoteReference"/>
        </w:rPr>
        <w:footnoteRef/>
      </w:r>
      <w:r>
        <w:t xml:space="preserve"> </w:t>
      </w:r>
      <w:r>
        <w:t xml:space="preserve">American revisions as adopted by the Orthodox Presbyterian Church in 1936.</w:t>
      </w:r>
    </w:p>
  </w:footnote>
  <w:footnote w:id="44">
    <w:p>
      <w:pPr>
        <w:pStyle w:val="FootnoteText"/>
      </w:pPr>
      <w:r>
        <w:rPr>
          <w:rStyle w:val="FootnoteReference"/>
        </w:rPr>
        <w:footnoteRef/>
      </w:r>
      <w:r>
        <w:t xml:space="preserve"> </w:t>
      </w:r>
      <w:r>
        <w:t xml:space="preserve">Matthew 22:21.</w:t>
      </w:r>
    </w:p>
  </w:footnote>
  <w:footnote w:id="102">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3">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4">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6">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7">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08">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7">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28">
    <w:p>
      <w:pPr>
        <w:pStyle w:val="FootnoteText"/>
      </w:pPr>
      <w:r>
        <w:rPr>
          <w:rStyle w:val="FootnoteReference"/>
        </w:rPr>
        <w:footnoteRef/>
      </w:r>
      <w:r>
        <w:t xml:space="preserve"> </w:t>
      </w:r>
      <w:r>
        <w:t xml:space="preserve">https://evangelpresbytery.com/westminster-larger-catechism.</w:t>
      </w:r>
    </w:p>
  </w:footnote>
  <w:footnote w:id="129">
    <w:p>
      <w:pPr>
        <w:pStyle w:val="FootnoteText"/>
      </w:pPr>
      <w:r>
        <w:rPr>
          <w:rStyle w:val="FootnoteReference"/>
        </w:rPr>
        <w:footnoteRef/>
      </w:r>
      <w:r>
        <w:t xml:space="preserve"> </w:t>
      </w:r>
      <w:r>
        <w:t xml:space="preserve">https://evangelpresbytery.com/westminster-shorter-catechism.</w:t>
      </w:r>
    </w:p>
  </w:footnote>
  <w:footnote w:id="130">
    <w:p>
      <w:pPr>
        <w:pStyle w:val="FootnoteText"/>
      </w:pPr>
      <w:r>
        <w:rPr>
          <w:rStyle w:val="FootnoteReference"/>
        </w:rPr>
        <w:footnoteRef/>
      </w:r>
      <w:r>
        <w:t xml:space="preserve"> </w:t>
      </w:r>
      <w:r>
        <w:t xml:space="preserve">https://ddp.evangelpresbytery.com.</w:t>
      </w:r>
    </w:p>
  </w:footnote>
  <w:footnote w:id="135">
    <w:p>
      <w:pPr>
        <w:pStyle w:val="FootnoteText"/>
      </w:pPr>
      <w:r>
        <w:rPr>
          <w:rStyle w:val="FootnoteReference"/>
        </w:rPr>
        <w:footnoteRef/>
      </w:r>
      <w:r>
        <w:t xml:space="preserve"> </w:t>
      </w:r>
      <w:r>
        <w:t xml:space="preserve">1 Timothy 4:7.</w:t>
      </w:r>
    </w:p>
  </w:footnote>
  <w:footnote w:id="139">
    <w:p>
      <w:pPr>
        <w:pStyle w:val="FootnoteText"/>
      </w:pPr>
      <w:r>
        <w:rPr>
          <w:rStyle w:val="FootnoteReference"/>
        </w:rPr>
        <w:footnoteRef/>
      </w:r>
      <w:r>
        <w:t xml:space="preserve"> </w:t>
      </w:r>
      <w:r>
        <w:t xml:space="preserve">Isaiah 7:15-16.</w:t>
      </w:r>
    </w:p>
  </w:footnote>
  <w:footnote w:id="140">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49">
    <w:p>
      <w:pPr>
        <w:pStyle w:val="FootnoteText"/>
      </w:pPr>
      <w:r>
        <w:rPr>
          <w:rStyle w:val="FootnoteReference"/>
        </w:rPr>
        <w:footnoteRef/>
      </w:r>
      <w:r>
        <w:t xml:space="preserve"> </w:t>
      </w:r>
      <w:r>
        <w:t xml:space="preserve">Matthew 18:15-16.</w:t>
      </w:r>
    </w:p>
  </w:footnote>
  <w:footnote w:id="152">
    <w:p>
      <w:pPr>
        <w:pStyle w:val="FootnoteText"/>
      </w:pPr>
      <w:r>
        <w:rPr>
          <w:rStyle w:val="FootnoteReference"/>
        </w:rPr>
        <w:footnoteRef/>
      </w:r>
      <w:r>
        <w:t xml:space="preserve"> </w:t>
      </w:r>
      <w:r>
        <w:t xml:space="preserve">Galatians 6:1.</w:t>
      </w:r>
    </w:p>
  </w:footnote>
  <w:footnote w:id="154">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69">
    <w:p>
      <w:pPr>
        <w:pStyle w:val="FootnoteText"/>
      </w:pPr>
      <w:r>
        <w:rPr>
          <w:rStyle w:val="FootnoteReference"/>
        </w:rPr>
        <w:footnoteRef/>
      </w:r>
      <w:r>
        <w:t xml:space="preserve"> </w:t>
      </w:r>
      <w:r>
        <w:t xml:space="preserve">1 Corinthians 5:9-13; Matthew 18:17.</w:t>
      </w:r>
    </w:p>
  </w:footnote>
  <w:footnote w:id="177">
    <w:p>
      <w:pPr>
        <w:pStyle w:val="FootnoteText"/>
      </w:pPr>
      <w:r>
        <w:rPr>
          <w:rStyle w:val="FootnoteReference"/>
        </w:rPr>
        <w:footnoteRef/>
      </w:r>
      <w:r>
        <w:t xml:space="preserve"> </w:t>
      </w:r>
      <w:hyperlink r:id="rId178">
        <w:r>
          <w:rPr>
            <w:rStyle w:val="Hyperlink"/>
          </w:rPr>
          <w:t xml:space="preserve">WCF 1.10</w:t>
        </w:r>
      </w:hyperlink>
      <w:r>
        <w:t xml:space="preserve">.</w:t>
      </w:r>
    </w:p>
  </w:footnote>
  <w:footnote w:id="179">
    <w:p>
      <w:pPr>
        <w:pStyle w:val="FootnoteText"/>
      </w:pPr>
      <w:r>
        <w:rPr>
          <w:rStyle w:val="FootnoteReference"/>
        </w:rPr>
        <w:footnoteRef/>
      </w:r>
      <w:r>
        <w:t xml:space="preserve"> </w:t>
      </w:r>
      <w:hyperlink r:id="rId180">
        <w:r>
          <w:rPr>
            <w:rStyle w:val="Hyperlink"/>
          </w:rPr>
          <w:t xml:space="preserve">WCF 31.3</w:t>
        </w:r>
      </w:hyperlink>
      <w:r>
        <w:t xml:space="preserve">.</w:t>
      </w:r>
    </w:p>
  </w:footnote>
  <w:footnote w:id="204">
    <w:p>
      <w:pPr>
        <w:pStyle w:val="FootnoteText"/>
      </w:pPr>
      <w:r>
        <w:rPr>
          <w:rStyle w:val="FootnoteReference"/>
        </w:rPr>
        <w:footnoteRef/>
      </w:r>
      <w:r>
        <w:t xml:space="preserve"> </w:t>
      </w:r>
      <w:r>
        <w:t xml:space="preserve">I.e., universal or worldwide.</w:t>
      </w:r>
    </w:p>
  </w:footnote>
  <w:footnote w:id="205">
    <w:p>
      <w:pPr>
        <w:pStyle w:val="FootnoteText"/>
      </w:pPr>
      <w:r>
        <w:rPr>
          <w:rStyle w:val="FootnoteReference"/>
        </w:rPr>
        <w:footnoteRef/>
      </w:r>
      <w:r>
        <w:t xml:space="preserve"> </w:t>
      </w:r>
      <w:r>
        <w:t xml:space="preserve">1 Corinthians 14:24-25.</w:t>
      </w:r>
    </w:p>
  </w:footnote>
  <w:footnote w:id="208">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1">
    <w:p>
      <w:pPr>
        <w:pStyle w:val="FootnoteText"/>
      </w:pPr>
      <w:r>
        <w:rPr>
          <w:rStyle w:val="FootnoteReference"/>
        </w:rPr>
        <w:footnoteRef/>
      </w:r>
      <w:r>
        <w:t xml:space="preserve"> </w:t>
      </w:r>
      <w:r>
        <w:t xml:space="preserve">1 Corinthians 14:34.</w:t>
      </w:r>
    </w:p>
  </w:footnote>
  <w:footnote w:id="214">
    <w:p>
      <w:pPr>
        <w:pStyle w:val="FootnoteText"/>
      </w:pPr>
      <w:r>
        <w:rPr>
          <w:rStyle w:val="FootnoteReference"/>
        </w:rPr>
        <w:footnoteRef/>
      </w:r>
      <w:r>
        <w:t xml:space="preserve"> </w:t>
      </w:r>
      <w:r>
        <w:t xml:space="preserve">Matthew 28:16-20; 1 Corinthians 11:23.</w:t>
      </w:r>
    </w:p>
  </w:footnote>
  <w:footnote w:id="215">
    <w:p>
      <w:pPr>
        <w:pStyle w:val="FootnoteText"/>
      </w:pPr>
      <w:r>
        <w:rPr>
          <w:rStyle w:val="FootnoteReference"/>
        </w:rPr>
        <w:footnoteRef/>
      </w:r>
      <w:r>
        <w:t xml:space="preserve"> </w:t>
      </w:r>
      <w:r>
        <w:t xml:space="preserve">1 Corinthians 4:1.</w:t>
      </w:r>
    </w:p>
  </w:footnote>
  <w:footnote w:id="216">
    <w:p>
      <w:pPr>
        <w:pStyle w:val="FootnoteText"/>
      </w:pPr>
      <w:r>
        <w:rPr>
          <w:rStyle w:val="FootnoteReference"/>
        </w:rPr>
        <w:footnoteRef/>
      </w:r>
      <w:r>
        <w:t xml:space="preserve"> </w:t>
      </w:r>
      <w:r>
        <w:t xml:space="preserve">Hebrews 5:4.</w:t>
      </w:r>
    </w:p>
  </w:footnote>
  <w:footnote w:id="217">
    <w:p>
      <w:pPr>
        <w:pStyle w:val="FootnoteText"/>
      </w:pPr>
      <w:r>
        <w:rPr>
          <w:rStyle w:val="FootnoteReference"/>
        </w:rPr>
        <w:footnoteRef/>
      </w:r>
      <w:r>
        <w:t xml:space="preserve"> </w:t>
      </w:r>
      <w:r>
        <w:t xml:space="preserve">Numbers 6:24-26.</w:t>
      </w:r>
    </w:p>
  </w:footnote>
  <w:footnote w:id="218">
    <w:p>
      <w:pPr>
        <w:pStyle w:val="FootnoteText"/>
      </w:pPr>
      <w:r>
        <w:rPr>
          <w:rStyle w:val="FootnoteReference"/>
        </w:rPr>
        <w:footnoteRef/>
      </w:r>
      <w:r>
        <w:t xml:space="preserve"> </w:t>
      </w:r>
      <w:r>
        <w:t xml:space="preserve">2 Corinthians 13:14.</w:t>
      </w:r>
    </w:p>
  </w:footnote>
  <w:footnote w:id="221">
    <w:p>
      <w:pPr>
        <w:pStyle w:val="FootnoteText"/>
      </w:pPr>
      <w:r>
        <w:rPr>
          <w:rStyle w:val="FootnoteReference"/>
        </w:rPr>
        <w:footnoteRef/>
      </w:r>
      <w:r>
        <w:t xml:space="preserve"> </w:t>
      </w:r>
      <w:r>
        <w:t xml:space="preserve">Luke 11:2; John 14:13-14.</w:t>
      </w:r>
    </w:p>
  </w:footnote>
  <w:footnote w:id="226">
    <w:p>
      <w:pPr>
        <w:pStyle w:val="FootnoteText"/>
      </w:pPr>
      <w:r>
        <w:rPr>
          <w:rStyle w:val="FootnoteReference"/>
        </w:rPr>
        <w:footnoteRef/>
      </w:r>
      <w:r>
        <w:t xml:space="preserve"> </w:t>
      </w:r>
      <w:r>
        <w:t xml:space="preserve">Genesis 17:7.</w:t>
      </w:r>
    </w:p>
  </w:footnote>
  <w:footnote w:id="227">
    <w:p>
      <w:pPr>
        <w:pStyle w:val="FootnoteText"/>
      </w:pPr>
      <w:r>
        <w:rPr>
          <w:rStyle w:val="FootnoteReference"/>
        </w:rPr>
        <w:footnoteRef/>
      </w:r>
      <w:r>
        <w:t xml:space="preserve"> </w:t>
      </w:r>
      <w:r>
        <w:t xml:space="preserve">Acts 2:39.</w:t>
      </w:r>
    </w:p>
  </w:footnote>
  <w:footnote w:id="228">
    <w:p>
      <w:pPr>
        <w:pStyle w:val="FootnoteText"/>
      </w:pPr>
      <w:r>
        <w:rPr>
          <w:rStyle w:val="FootnoteReference"/>
        </w:rPr>
        <w:footnoteRef/>
      </w:r>
      <w:r>
        <w:t xml:space="preserve"> </w:t>
      </w:r>
      <w:r>
        <w:t xml:space="preserve">Acts 16:31.</w:t>
      </w:r>
    </w:p>
  </w:footnote>
  <w:footnote w:id="229">
    <w:p>
      <w:pPr>
        <w:pStyle w:val="FootnoteText"/>
      </w:pPr>
      <w:r>
        <w:rPr>
          <w:rStyle w:val="FootnoteReference"/>
        </w:rPr>
        <w:footnoteRef/>
      </w:r>
      <w:r>
        <w:t xml:space="preserve"> </w:t>
      </w:r>
      <w:r>
        <w:t xml:space="preserve">1 Corinthians 7:14.</w:t>
      </w:r>
    </w:p>
  </w:footnote>
  <w:footnote w:id="230">
    <w:p>
      <w:pPr>
        <w:pStyle w:val="FootnoteText"/>
      </w:pPr>
      <w:r>
        <w:rPr>
          <w:rStyle w:val="FootnoteReference"/>
        </w:rPr>
        <w:footnoteRef/>
      </w:r>
      <w:r>
        <w:t xml:space="preserve"> </w:t>
      </w:r>
      <w:r>
        <w:t xml:space="preserve">Mark 10:14.</w:t>
      </w:r>
    </w:p>
  </w:footnote>
  <w:footnote w:id="231">
    <w:p>
      <w:pPr>
        <w:pStyle w:val="FootnoteText"/>
      </w:pPr>
      <w:r>
        <w:rPr>
          <w:rStyle w:val="FootnoteReference"/>
        </w:rPr>
        <w:footnoteRef/>
      </w:r>
      <w:r>
        <w:t xml:space="preserve"> </w:t>
      </w:r>
      <w:r>
        <w:t xml:space="preserve">Colossians 2:11–12.</w:t>
      </w:r>
    </w:p>
  </w:footnote>
  <w:footnote w:id="232">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39">
    <w:p>
      <w:pPr>
        <w:pStyle w:val="FootnoteText"/>
      </w:pPr>
      <w:r>
        <w:rPr>
          <w:rStyle w:val="FootnoteReference"/>
        </w:rPr>
        <w:footnoteRef/>
      </w:r>
      <w:r>
        <w:t xml:space="preserve"> </w:t>
      </w:r>
      <w:r>
        <w:t xml:space="preserve">1 Corinthians 10:17.</w:t>
      </w:r>
    </w:p>
  </w:footnote>
  <w:footnote w:id="240">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1">
    <w:p>
      <w:pPr>
        <w:pStyle w:val="FootnoteText"/>
      </w:pPr>
      <w:r>
        <w:rPr>
          <w:rStyle w:val="FootnoteReference"/>
        </w:rPr>
        <w:footnoteRef/>
      </w:r>
      <w:r>
        <w:t xml:space="preserve"> </w:t>
      </w:r>
      <w:r>
        <w:t xml:space="preserve">Ibid., 327–28.</w:t>
      </w:r>
    </w:p>
  </w:footnote>
  <w:footnote w:id="242">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3">
    <w:p>
      <w:pPr>
        <w:pStyle w:val="FootnoteText"/>
      </w:pPr>
      <w:r>
        <w:rPr>
          <w:rStyle w:val="FootnoteReference"/>
        </w:rPr>
        <w:footnoteRef/>
      </w:r>
      <w:r>
        <w:t xml:space="preserve"> </w:t>
      </w:r>
      <w:r>
        <w:t xml:space="preserve">Hebrews 13:20-21.</w:t>
      </w:r>
    </w:p>
  </w:footnote>
  <w:footnote w:id="247">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3">
    <w:p>
      <w:pPr>
        <w:pStyle w:val="FootnoteText"/>
      </w:pPr>
      <w:r>
        <w:rPr>
          <w:rStyle w:val="FootnoteReference"/>
        </w:rPr>
        <w:footnoteRef/>
      </w:r>
      <w:r>
        <w:t xml:space="preserve"> </w:t>
      </w:r>
      <w:r>
        <w:t xml:space="preserve">Acts 5:29.</w:t>
      </w:r>
    </w:p>
  </w:footnote>
  <w:footnote w:id="275">
    <w:p>
      <w:pPr>
        <w:pStyle w:val="FootnoteText"/>
      </w:pPr>
      <w:r>
        <w:rPr>
          <w:rStyle w:val="FootnoteReference"/>
        </w:rPr>
        <w:footnoteRef/>
      </w:r>
      <w:r>
        <w:t xml:space="preserve"> </w:t>
      </w:r>
      <w:r>
        <w:t xml:space="preserve">Westminster Confession of Faith, 24.2.</w:t>
      </w:r>
    </w:p>
  </w:footnote>
  <w:footnote w:id="276">
    <w:p>
      <w:pPr>
        <w:pStyle w:val="FootnoteText"/>
      </w:pPr>
      <w:r>
        <w:rPr>
          <w:rStyle w:val="FootnoteReference"/>
        </w:rPr>
        <w:footnoteRef/>
      </w:r>
      <w:r>
        <w:t xml:space="preserve"> </w:t>
      </w:r>
      <w:r>
        <w:t xml:space="preserve">See Declaration of Doctrine on Sexuality,</w:t>
      </w:r>
      <w:r>
        <w:t xml:space="preserve"> </w:t>
      </w:r>
      <w:hyperlink r:id="rId277">
        <w:r>
          <w:rPr>
            <w:rStyle w:val="Hyperlink"/>
          </w:rPr>
          <w:t xml:space="preserve">§§1–4</w:t>
        </w:r>
      </w:hyperlink>
      <w:r>
        <w:t xml:space="preserve">,</w:t>
      </w:r>
      <w:r>
        <w:t xml:space="preserve"> </w:t>
      </w:r>
      <w:hyperlink r:id="rId278">
        <w:r>
          <w:rPr>
            <w:rStyle w:val="Hyperlink"/>
          </w:rPr>
          <w:t xml:space="preserve">10–11</w:t>
        </w:r>
      </w:hyperlink>
      <w:r>
        <w:t xml:space="preserve">.</w:t>
      </w:r>
    </w:p>
  </w:footnote>
  <w:footnote w:id="279">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0">
        <w:r>
          <w:rPr>
            <w:rStyle w:val="Hyperlink"/>
          </w:rPr>
          <w:t xml:space="preserve">section 7</w:t>
        </w:r>
      </w:hyperlink>
      <w:r>
        <w:t xml:space="preserve">.</w:t>
      </w:r>
    </w:p>
  </w:footnote>
  <w:footnote w:id="281">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2">
    <w:p>
      <w:pPr>
        <w:pStyle w:val="FootnoteText"/>
      </w:pPr>
      <w:r>
        <w:rPr>
          <w:rStyle w:val="FootnoteReference"/>
        </w:rPr>
        <w:footnoteRef/>
      </w:r>
      <w:r>
        <w:t xml:space="preserve"> </w:t>
      </w:r>
      <w:r>
        <w:t xml:space="preserve">See Declaration of Doctrine on Sexuality,</w:t>
      </w:r>
      <w:r>
        <w:t xml:space="preserve"> </w:t>
      </w:r>
      <w:hyperlink r:id="rId283">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0">
    <w:p>
      <w:pPr>
        <w:pStyle w:val="FootnoteText"/>
      </w:pPr>
      <w:r>
        <w:rPr>
          <w:rStyle w:val="FootnoteReference"/>
        </w:rPr>
        <w:footnoteRef/>
      </w:r>
      <w:r>
        <w:t xml:space="preserve"> </w:t>
      </w:r>
      <w:r>
        <w:t xml:space="preserve">See Doctrinal Declaration on Sexuality,</w:t>
      </w:r>
      <w:r>
        <w:t xml:space="preserve"> </w:t>
      </w:r>
      <w:hyperlink r:id="rId289">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7">
    <w:p>
      <w:pPr>
        <w:pStyle w:val="FootnoteText"/>
      </w:pPr>
      <w:r>
        <w:rPr>
          <w:rStyle w:val="FootnoteReference"/>
        </w:rPr>
        <w:footnoteRef/>
      </w:r>
      <w:r>
        <w:t xml:space="preserve"> </w:t>
      </w:r>
      <w:r>
        <w:t xml:space="preserve">Matthew 19:6.</w:t>
      </w:r>
    </w:p>
  </w:footnote>
  <w:footnote w:id="300">
    <w:p>
      <w:pPr>
        <w:pStyle w:val="FootnoteText"/>
      </w:pPr>
      <w:r>
        <w:rPr>
          <w:rStyle w:val="FootnoteReference"/>
        </w:rPr>
        <w:footnoteRef/>
      </w:r>
      <w:r>
        <w:t xml:space="preserve"> </w:t>
      </w:r>
      <w:r>
        <w:t xml:space="preserve">John 11:25-26.</w:t>
      </w:r>
    </w:p>
  </w:footnote>
  <w:footnote w:id="301">
    <w:p>
      <w:pPr>
        <w:pStyle w:val="FootnoteText"/>
      </w:pPr>
      <w:r>
        <w:rPr>
          <w:rStyle w:val="FootnoteReference"/>
        </w:rPr>
        <w:footnoteRef/>
      </w:r>
      <w:r>
        <w:t xml:space="preserve"> </w:t>
      </w:r>
      <w:r>
        <w:t xml:space="preserve">Job 14:1-2.</w:t>
      </w:r>
    </w:p>
  </w:footnote>
  <w:footnote w:id="302">
    <w:p>
      <w:pPr>
        <w:pStyle w:val="FootnoteText"/>
      </w:pPr>
      <w:r>
        <w:rPr>
          <w:rStyle w:val="FootnoteReference"/>
        </w:rPr>
        <w:footnoteRef/>
      </w:r>
      <w:r>
        <w:t xml:space="preserve"> </w:t>
      </w:r>
      <w:r>
        <w:t xml:space="preserve">1 Chronicles 29:15.</w:t>
      </w:r>
    </w:p>
  </w:footnote>
  <w:footnote w:id="303">
    <w:p>
      <w:pPr>
        <w:pStyle w:val="FootnoteText"/>
      </w:pPr>
      <w:r>
        <w:rPr>
          <w:rStyle w:val="FootnoteReference"/>
        </w:rPr>
        <w:footnoteRef/>
      </w:r>
      <w:r>
        <w:t xml:space="preserve"> </w:t>
      </w:r>
      <w:r>
        <w:t xml:space="preserve">1 Timothy 6:7.</w:t>
      </w:r>
    </w:p>
  </w:footnote>
  <w:footnote w:id="304">
    <w:p>
      <w:pPr>
        <w:pStyle w:val="FootnoteText"/>
      </w:pPr>
      <w:r>
        <w:rPr>
          <w:rStyle w:val="FootnoteReference"/>
        </w:rPr>
        <w:footnoteRef/>
      </w:r>
      <w:r>
        <w:t xml:space="preserve"> </w:t>
      </w:r>
      <w:r>
        <w:t xml:space="preserve">Job 1:21b.</w:t>
      </w:r>
    </w:p>
  </w:footnote>
  <w:footnote w:id="305">
    <w:p>
      <w:pPr>
        <w:pStyle w:val="FootnoteText"/>
      </w:pPr>
      <w:r>
        <w:rPr>
          <w:rStyle w:val="FootnoteReference"/>
        </w:rPr>
        <w:footnoteRef/>
      </w:r>
      <w:r>
        <w:t xml:space="preserve"> </w:t>
      </w:r>
      <w:r>
        <w:t xml:space="preserve">2 Corinthians 13:14.</w:t>
      </w:r>
    </w:p>
  </w:footnote>
  <w:footnote w:id="308">
    <w:p>
      <w:pPr>
        <w:pStyle w:val="FootnoteText"/>
      </w:pPr>
      <w:r>
        <w:rPr>
          <w:rStyle w:val="FootnoteReference"/>
        </w:rPr>
        <w:footnoteRef/>
      </w:r>
      <w:r>
        <w:t xml:space="preserve"> </w:t>
      </w:r>
      <w:r>
        <w:t xml:space="preserve">Psalm 20:1-2.</w:t>
      </w:r>
    </w:p>
  </w:footnote>
  <w:footnote w:id="309">
    <w:p>
      <w:pPr>
        <w:pStyle w:val="FootnoteText"/>
      </w:pPr>
      <w:r>
        <w:rPr>
          <w:rStyle w:val="FootnoteReference"/>
        </w:rPr>
        <w:footnoteRef/>
      </w:r>
      <w:r>
        <w:t xml:space="preserve"> </w:t>
      </w:r>
      <w:r>
        <w:t xml:space="preserve">Job 14:1-2.</w:t>
      </w:r>
    </w:p>
  </w:footnote>
  <w:footnote w:id="310">
    <w:p>
      <w:pPr>
        <w:pStyle w:val="FootnoteText"/>
      </w:pPr>
      <w:r>
        <w:rPr>
          <w:rStyle w:val="FootnoteReference"/>
        </w:rPr>
        <w:footnoteRef/>
      </w:r>
      <w:r>
        <w:t xml:space="preserve"> </w:t>
      </w:r>
      <w:r>
        <w:t xml:space="preserve">Job 1:21b.</w:t>
      </w:r>
    </w:p>
  </w:footnote>
  <w:footnote w:id="311">
    <w:p>
      <w:pPr>
        <w:pStyle w:val="FootnoteText"/>
      </w:pPr>
      <w:r>
        <w:rPr>
          <w:rStyle w:val="FootnoteReference"/>
        </w:rPr>
        <w:footnoteRef/>
      </w:r>
      <w:r>
        <w:t xml:space="preserve"> </w:t>
      </w:r>
      <w:r>
        <w:t xml:space="preserve">Matthew 11:28.</w:t>
      </w:r>
    </w:p>
  </w:footnote>
  <w:footnote w:id="312">
    <w:p>
      <w:pPr>
        <w:pStyle w:val="FootnoteText"/>
      </w:pPr>
      <w:r>
        <w:rPr>
          <w:rStyle w:val="FootnoteReference"/>
        </w:rPr>
        <w:footnoteRef/>
      </w:r>
      <w:r>
        <w:t xml:space="preserve"> </w:t>
      </w:r>
      <w:r>
        <w:t xml:space="preserve">Matthew 19:14.</w:t>
      </w:r>
    </w:p>
  </w:footnote>
  <w:footnote w:id="313">
    <w:p>
      <w:pPr>
        <w:pStyle w:val="FootnoteText"/>
      </w:pPr>
      <w:r>
        <w:rPr>
          <w:rStyle w:val="FootnoteReference"/>
        </w:rPr>
        <w:footnoteRef/>
      </w:r>
      <w:r>
        <w:t xml:space="preserve"> </w:t>
      </w:r>
      <w:r>
        <w:t xml:space="preserve">2 Corinthians 13:14.</w:t>
      </w:r>
    </w:p>
  </w:footnote>
  <w:footnote w:id="318">
    <w:p>
      <w:pPr>
        <w:pStyle w:val="FootnoteText"/>
      </w:pPr>
      <w:r>
        <w:rPr>
          <w:rStyle w:val="FootnoteReference"/>
        </w:rPr>
        <w:footnoteRef/>
      </w:r>
      <w:r>
        <w:t xml:space="preserve"> </w:t>
      </w:r>
      <w:r>
        <w:t xml:space="preserve">Psalm 127:3-5.</w:t>
      </w:r>
    </w:p>
  </w:footnote>
  <w:footnote w:id="319">
    <w:p>
      <w:pPr>
        <w:pStyle w:val="FootnoteText"/>
      </w:pPr>
      <w:r>
        <w:rPr>
          <w:rStyle w:val="FootnoteReference"/>
        </w:rPr>
        <w:footnoteRef/>
      </w:r>
      <w:r>
        <w:t xml:space="preserve"> </w:t>
      </w:r>
      <w:r>
        <w:t xml:space="preserve">Acts 2:39.</w:t>
      </w:r>
    </w:p>
  </w:footnote>
  <w:footnote w:id="323">
    <w:p>
      <w:pPr>
        <w:pStyle w:val="FootnoteText"/>
      </w:pPr>
      <w:r>
        <w:rPr>
          <w:rStyle w:val="FootnoteReference"/>
        </w:rPr>
        <w:footnoteRef/>
      </w:r>
      <w:r>
        <w:t xml:space="preserve"> </w:t>
      </w:r>
      <w:r>
        <w:t xml:space="preserve">Or,</w:t>
      </w:r>
      <w:r>
        <w:t xml:space="preserve"> </w:t>
      </w:r>
      <w:r>
        <w:t xml:space="preserve">“Holy Spirit.”</w:t>
      </w:r>
    </w:p>
  </w:footnote>
  <w:footnote w:id="324">
    <w:p>
      <w:pPr>
        <w:pStyle w:val="FootnoteText"/>
      </w:pPr>
      <w:r>
        <w:rPr>
          <w:rStyle w:val="FootnoteReference"/>
        </w:rPr>
        <w:footnoteRef/>
      </w:r>
      <w:r>
        <w:t xml:space="preserve"> </w:t>
      </w:r>
      <w:r>
        <w:t xml:space="preserve">Or,</w:t>
      </w:r>
      <w:r>
        <w:t xml:space="preserve"> </w:t>
      </w:r>
      <w:r>
        <w:t xml:space="preserve">“sits.”</w:t>
      </w:r>
    </w:p>
  </w:footnote>
  <w:footnote w:id="325">
    <w:p>
      <w:pPr>
        <w:pStyle w:val="FootnoteText"/>
      </w:pPr>
      <w:r>
        <w:rPr>
          <w:rStyle w:val="FootnoteReference"/>
        </w:rPr>
        <w:footnoteRef/>
      </w:r>
      <w:r>
        <w:t xml:space="preserve"> </w:t>
      </w:r>
      <w:r>
        <w:t xml:space="preserve">Or,</w:t>
      </w:r>
      <w:r>
        <w:t xml:space="preserve"> </w:t>
      </w:r>
      <w:r>
        <w:t xml:space="preserve">“there.”</w:t>
      </w:r>
    </w:p>
  </w:footnote>
  <w:footnote w:id="326">
    <w:p>
      <w:pPr>
        <w:pStyle w:val="FootnoteText"/>
      </w:pPr>
      <w:r>
        <w:rPr>
          <w:rStyle w:val="FootnoteReference"/>
        </w:rPr>
        <w:footnoteRef/>
      </w:r>
      <w:r>
        <w:t xml:space="preserve"> </w:t>
      </w:r>
      <w:r>
        <w:t xml:space="preserve">Or,</w:t>
      </w:r>
      <w:r>
        <w:t xml:space="preserve"> </w:t>
      </w:r>
      <w:r>
        <w:t xml:space="preserve">“living.”</w:t>
      </w:r>
    </w:p>
  </w:footnote>
  <w:footnote w:id="327">
    <w:p>
      <w:pPr>
        <w:pStyle w:val="FootnoteText"/>
      </w:pPr>
      <w:r>
        <w:rPr>
          <w:rStyle w:val="FootnoteReference"/>
        </w:rPr>
        <w:footnoteRef/>
      </w:r>
      <w:r>
        <w:t xml:space="preserve"> </w:t>
      </w:r>
      <w:r>
        <w:t xml:space="preserve">Or,</w:t>
      </w:r>
      <w:r>
        <w:t xml:space="preserve"> </w:t>
      </w:r>
      <w:r>
        <w:t xml:space="preserve">“Holy Spirit.”</w:t>
      </w:r>
    </w:p>
  </w:footnote>
  <w:footnote w:id="328">
    <w:p>
      <w:pPr>
        <w:pStyle w:val="FootnoteText"/>
      </w:pPr>
      <w:r>
        <w:rPr>
          <w:rStyle w:val="FootnoteReference"/>
        </w:rPr>
        <w:footnoteRef/>
      </w:r>
      <w:r>
        <w:t xml:space="preserve"> </w:t>
      </w:r>
      <w:r>
        <w:t xml:space="preserve">Or,</w:t>
      </w:r>
      <w:r>
        <w:t xml:space="preserve"> </w:t>
      </w:r>
      <w:r>
        <w:t xml:space="preserve">“universal.”</w:t>
      </w:r>
    </w:p>
  </w:footnote>
  <w:footnote w:id="331">
    <w:p>
      <w:pPr>
        <w:pStyle w:val="FootnoteText"/>
      </w:pPr>
      <w:r>
        <w:rPr>
          <w:rStyle w:val="FootnoteReference"/>
        </w:rPr>
        <w:footnoteRef/>
      </w:r>
      <w:r>
        <w:t xml:space="preserve"> </w:t>
      </w:r>
      <w:r>
        <w:t xml:space="preserve">Or,</w:t>
      </w:r>
      <w:r>
        <w:t xml:space="preserve"> </w:t>
      </w:r>
      <w:r>
        <w:t xml:space="preserve">“living.”</w:t>
      </w:r>
    </w:p>
  </w:footnote>
  <w:footnote w:id="332">
    <w:p>
      <w:pPr>
        <w:pStyle w:val="FootnoteText"/>
      </w:pPr>
      <w:r>
        <w:rPr>
          <w:rStyle w:val="FootnoteReference"/>
        </w:rPr>
        <w:footnoteRef/>
      </w:r>
      <w:r>
        <w:t xml:space="preserve"> </w:t>
      </w:r>
      <w:r>
        <w:t xml:space="preserve">Or,</w:t>
      </w:r>
      <w:r>
        <w:t xml:space="preserve"> </w:t>
      </w:r>
      <w:r>
        <w:t xml:space="preserve">“universal.”</w:t>
      </w:r>
    </w:p>
  </w:footnote>
  <w:footnote w:id="335">
    <w:p>
      <w:pPr>
        <w:pStyle w:val="FootnoteText"/>
      </w:pPr>
      <w:r>
        <w:rPr>
          <w:rStyle w:val="FootnoteReference"/>
        </w:rPr>
        <w:footnoteRef/>
      </w:r>
      <w:r>
        <w:t xml:space="preserve"> </w:t>
      </w:r>
      <w:r>
        <w:t xml:space="preserve">Or,</w:t>
      </w:r>
      <w:r>
        <w:t xml:space="preserve"> </w:t>
      </w:r>
      <w:r>
        <w:t xml:space="preserve">“universal.”</w:t>
      </w:r>
    </w:p>
  </w:footnote>
  <w:footnote w:id="338">
    <w:p>
      <w:pPr>
        <w:pStyle w:val="FootnoteText"/>
      </w:pPr>
      <w:r>
        <w:rPr>
          <w:rStyle w:val="FootnoteReference"/>
        </w:rPr>
        <w:footnoteRef/>
      </w:r>
      <w:r>
        <w:t xml:space="preserve"> </w:t>
      </w:r>
      <w:r>
        <w:t xml:space="preserve">Or,</w:t>
      </w:r>
      <w:r>
        <w:t xml:space="preserve"> </w:t>
      </w:r>
      <w:r>
        <w:t xml:space="preserve">“rational.”</w:t>
      </w:r>
    </w:p>
  </w:footnote>
  <w:footnote w:id="339">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48">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1">
    <w:p>
      <w:pPr>
        <w:pStyle w:val="FootnoteText"/>
      </w:pPr>
      <w:r>
        <w:rPr>
          <w:rStyle w:val="FootnoteReference"/>
        </w:rPr>
        <w:footnoteRef/>
      </w:r>
      <w:r>
        <w:t xml:space="preserve"> </w:t>
      </w:r>
      <w:r>
        <w:t xml:space="preserve">Original text from the 1549 Book of Common Prayer, with modernized spelling.</w:t>
      </w:r>
    </w:p>
  </w:footnote>
  <w:footnote w:id="354">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ddp.evangelpresbytery.com" TargetMode="External" /><Relationship Type="http://schemas.openxmlformats.org/officeDocument/2006/relationships/hyperlink" Id="rId286" Target="https://ddp.evangelpresbytery.com/01-Declaration-of-Doctrine-on-Sexuality.html" TargetMode="External" /><Relationship Type="http://schemas.openxmlformats.org/officeDocument/2006/relationships/hyperlink" Id="rId277" Target="https://ddp.evangelpresbytery.com/01-Declaration-of-Doctrine-on-Sexuality.html#dds-01" TargetMode="External" /><Relationship Type="http://schemas.openxmlformats.org/officeDocument/2006/relationships/hyperlink" Id="rId287" Target="https://ddp.evangelpresbytery.com/01-Declaration-of-Doctrine-on-Sexuality.html#dds-05" TargetMode="External" /><Relationship Type="http://schemas.openxmlformats.org/officeDocument/2006/relationships/hyperlink" Id="rId288" Target="https://ddp.evangelpresbytery.com/01-Declaration-of-Doctrine-on-Sexuality.html#dds-06" TargetMode="External" /><Relationship Type="http://schemas.openxmlformats.org/officeDocument/2006/relationships/hyperlink" Id="rId280" Target="https://ddp.evangelpresbytery.com/01-Declaration-of-Doctrine-on-Sexuality.html#dds-07" TargetMode="External" /><Relationship Type="http://schemas.openxmlformats.org/officeDocument/2006/relationships/hyperlink" Id="rId289" Target="https://ddp.evangelpresbytery.com/01-Declaration-of-Doctrine-on-Sexuality.html#dds-08" TargetMode="External" /><Relationship Type="http://schemas.openxmlformats.org/officeDocument/2006/relationships/hyperlink" Id="rId278" Target="https://ddp.evangelpresbytery.com/01-Declaration-of-Doctrine-on-Sexuality.html#dds-10" TargetMode="External" /><Relationship Type="http://schemas.openxmlformats.org/officeDocument/2006/relationships/hyperlink" Id="rId283" Target="https://ddp.evangelpresbytery.com/01-Declaration-of-Doctrine-on-Sexuality.html#dds-13" TargetMode="External" /><Relationship Type="http://schemas.openxmlformats.org/officeDocument/2006/relationships/hyperlink" Id="rId27" Target="https://evangelpresbytery.com/westminster-confession-of-faith" TargetMode="External" /><Relationship Type="http://schemas.openxmlformats.org/officeDocument/2006/relationships/hyperlink" Id="rId178" Target="https://evangelpresbytery.com/westminster-confession-of-faith/#1.10" TargetMode="External" /><Relationship Type="http://schemas.openxmlformats.org/officeDocument/2006/relationships/hyperlink" Id="rId180" Target="https://evangelpresbytery.com/westminster-confession-of-faith/#31.3" TargetMode="External" /><Relationship Type="http://schemas.openxmlformats.org/officeDocument/2006/relationships/hyperlink" Id="rId29" Target="https://evangelpresbytery.com/westminster-larger-catechism" TargetMode="External" /><Relationship Type="http://schemas.openxmlformats.org/officeDocument/2006/relationships/hyperlink" Id="rId30" Target="https://evangelpresbytery.com/westminster-shorter-catechism" TargetMode="External" /><Relationship Type="http://schemas.openxmlformats.org/officeDocument/2006/relationships/hyperlink" Id="rId357" Target="https://github.com/Evangel-Presbytery/evangel-bco" TargetMode="External" /><Relationship Type="http://schemas.openxmlformats.org/officeDocument/2006/relationships/hyperlink" Id="rId359" Target="https://www.dropbox.com/sh/67fg23e5sksui6j/AAB6LRjZ2dld47gYz1G0jo-Fa?dl=0" TargetMode="External" /><Relationship Type="http://schemas.openxmlformats.org/officeDocument/2006/relationships/hyperlink" Id="rId362" Target="https://www.dropbox.com/sh/6e1mcd2n8vojvpv/AADWRZsciqNw1xteiuRA0lr3a?dl=0" TargetMode="External" /><Relationship Type="http://schemas.openxmlformats.org/officeDocument/2006/relationships/hyperlink" Id="rId358" Target="https://www.dropbox.com/sh/e5lszl09qec2wy0/AADMEzOS1C1Z7Ao4r4xyddHNa?dl=0" TargetMode="External" /><Relationship Type="http://schemas.openxmlformats.org/officeDocument/2006/relationships/hyperlink" Id="rId363" Target="https://www.dropbox.com/sh/w46pitp7sevpepk/AAAH_HDpb8Qpck42Dkfw661Za?dl=0" TargetMode="External" /><Relationship Type="http://schemas.openxmlformats.org/officeDocument/2006/relationships/hyperlink" Id="rId361" Target="https://www.dropbox.com/sh/yhg7o7s6vlx0jha/AABM5so3BTahNcU7rUWsZHAGa?dl=0" TargetMode="External" /><Relationship Type="http://schemas.openxmlformats.org/officeDocument/2006/relationships/hyperlink" Id="rId360"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1" Target="https://ddp.evangelpresbytery.com" TargetMode="External" /><Relationship Type="http://schemas.openxmlformats.org/officeDocument/2006/relationships/hyperlink" Id="rId286" Target="https://ddp.evangelpresbytery.com/01-Declaration-of-Doctrine-on-Sexuality.html" TargetMode="External" /><Relationship Type="http://schemas.openxmlformats.org/officeDocument/2006/relationships/hyperlink" Id="rId277" Target="https://ddp.evangelpresbytery.com/01-Declaration-of-Doctrine-on-Sexuality.html#dds-01" TargetMode="External" /><Relationship Type="http://schemas.openxmlformats.org/officeDocument/2006/relationships/hyperlink" Id="rId287" Target="https://ddp.evangelpresbytery.com/01-Declaration-of-Doctrine-on-Sexuality.html#dds-05" TargetMode="External" /><Relationship Type="http://schemas.openxmlformats.org/officeDocument/2006/relationships/hyperlink" Id="rId288" Target="https://ddp.evangelpresbytery.com/01-Declaration-of-Doctrine-on-Sexuality.html#dds-06" TargetMode="External" /><Relationship Type="http://schemas.openxmlformats.org/officeDocument/2006/relationships/hyperlink" Id="rId280" Target="https://ddp.evangelpresbytery.com/01-Declaration-of-Doctrine-on-Sexuality.html#dds-07" TargetMode="External" /><Relationship Type="http://schemas.openxmlformats.org/officeDocument/2006/relationships/hyperlink" Id="rId289" Target="https://ddp.evangelpresbytery.com/01-Declaration-of-Doctrine-on-Sexuality.html#dds-08" TargetMode="External" /><Relationship Type="http://schemas.openxmlformats.org/officeDocument/2006/relationships/hyperlink" Id="rId278" Target="https://ddp.evangelpresbytery.com/01-Declaration-of-Doctrine-on-Sexuality.html#dds-10" TargetMode="External" /><Relationship Type="http://schemas.openxmlformats.org/officeDocument/2006/relationships/hyperlink" Id="rId283" Target="https://ddp.evangelpresbytery.com/01-Declaration-of-Doctrine-on-Sexuality.html#dds-13" TargetMode="External" /><Relationship Type="http://schemas.openxmlformats.org/officeDocument/2006/relationships/hyperlink" Id="rId27" Target="https://evangelpresbytery.com/westminster-confession-of-faith" TargetMode="External" /><Relationship Type="http://schemas.openxmlformats.org/officeDocument/2006/relationships/hyperlink" Id="rId178" Target="https://evangelpresbytery.com/westminster-confession-of-faith/#1.10" TargetMode="External" /><Relationship Type="http://schemas.openxmlformats.org/officeDocument/2006/relationships/hyperlink" Id="rId180" Target="https://evangelpresbytery.com/westminster-confession-of-faith/#31.3" TargetMode="External" /><Relationship Type="http://schemas.openxmlformats.org/officeDocument/2006/relationships/hyperlink" Id="rId29" Target="https://evangelpresbytery.com/westminster-larger-catechism" TargetMode="External" /><Relationship Type="http://schemas.openxmlformats.org/officeDocument/2006/relationships/hyperlink" Id="rId30" Target="https://evangelpresbytery.com/westminster-shorter-catechism" TargetMode="External" /><Relationship Type="http://schemas.openxmlformats.org/officeDocument/2006/relationships/hyperlink" Id="rId357" Target="https://github.com/Evangel-Presbytery/evangel-bco" TargetMode="External" /><Relationship Type="http://schemas.openxmlformats.org/officeDocument/2006/relationships/hyperlink" Id="rId359" Target="https://www.dropbox.com/sh/67fg23e5sksui6j/AAB6LRjZ2dld47gYz1G0jo-Fa?dl=0" TargetMode="External" /><Relationship Type="http://schemas.openxmlformats.org/officeDocument/2006/relationships/hyperlink" Id="rId362" Target="https://www.dropbox.com/sh/6e1mcd2n8vojvpv/AADWRZsciqNw1xteiuRA0lr3a?dl=0" TargetMode="External" /><Relationship Type="http://schemas.openxmlformats.org/officeDocument/2006/relationships/hyperlink" Id="rId358" Target="https://www.dropbox.com/sh/e5lszl09qec2wy0/AADMEzOS1C1Z7Ao4r4xyddHNa?dl=0" TargetMode="External" /><Relationship Type="http://schemas.openxmlformats.org/officeDocument/2006/relationships/hyperlink" Id="rId363" Target="https://www.dropbox.com/sh/w46pitp7sevpepk/AAAH_HDpb8Qpck42Dkfw661Za?dl=0" TargetMode="External" /><Relationship Type="http://schemas.openxmlformats.org/officeDocument/2006/relationships/hyperlink" Id="rId361" Target="https://www.dropbox.com/sh/yhg7o7s6vlx0jha/AABM5so3BTahNcU7rUWsZHAGa?dl=0" TargetMode="External" /><Relationship Type="http://schemas.openxmlformats.org/officeDocument/2006/relationships/hyperlink" Id="rId360"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2026-02-12T14:51:21Z</dcterms:created>
  <dcterms:modified xsi:type="dcterms:W3CDTF">2026-02-12T14:51:21Z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