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B2EA" w14:textId="77777777" w:rsidR="007F487A" w:rsidRDefault="007F487A" w:rsidP="007A606D">
      <w:pPr>
        <w:suppressAutoHyphens/>
        <w:spacing w:line="276" w:lineRule="auto"/>
        <w:jc w:val="right"/>
        <w:rPr>
          <w:spacing w:val="-3"/>
          <w:sz w:val="22"/>
          <w:szCs w:val="22"/>
        </w:rPr>
      </w:pPr>
    </w:p>
    <w:p w14:paraId="0A1F255E" w14:textId="7801225E" w:rsidR="00903627" w:rsidRPr="00010532" w:rsidRDefault="00325006" w:rsidP="007A606D">
      <w:pPr>
        <w:suppressAutoHyphens/>
        <w:spacing w:line="276" w:lineRule="auto"/>
        <w:jc w:val="right"/>
        <w:rPr>
          <w:spacing w:val="-3"/>
          <w:sz w:val="22"/>
          <w:szCs w:val="22"/>
        </w:rPr>
      </w:pPr>
      <w:r>
        <w:rPr>
          <w:spacing w:val="-3"/>
          <w:sz w:val="22"/>
          <w:szCs w:val="22"/>
        </w:rPr>
        <w:t>Neuquén</w:t>
      </w:r>
      <w:r w:rsidR="00903627" w:rsidRPr="00010532">
        <w:rPr>
          <w:spacing w:val="-3"/>
          <w:sz w:val="22"/>
          <w:szCs w:val="22"/>
        </w:rPr>
        <w:t xml:space="preserve">, </w:t>
      </w:r>
      <w:r w:rsidR="003D79B7">
        <w:rPr>
          <w:spacing w:val="-3"/>
          <w:sz w:val="22"/>
          <w:szCs w:val="22"/>
        </w:rPr>
        <w:t>2</w:t>
      </w:r>
      <w:r w:rsidR="003B3ACF">
        <w:rPr>
          <w:spacing w:val="-3"/>
          <w:sz w:val="22"/>
          <w:szCs w:val="22"/>
        </w:rPr>
        <w:t>2 de febrero de 2023</w:t>
      </w:r>
    </w:p>
    <w:p w14:paraId="378266C9" w14:textId="45947791" w:rsidR="00315727" w:rsidRDefault="00463DDE" w:rsidP="007A606D">
      <w:pPr>
        <w:tabs>
          <w:tab w:val="left" w:pos="3469"/>
        </w:tabs>
        <w:suppressAutoHyphens/>
        <w:spacing w:line="276" w:lineRule="auto"/>
        <w:jc w:val="both"/>
        <w:rPr>
          <w:rFonts w:cs="Arial"/>
          <w:spacing w:val="-3"/>
          <w:sz w:val="22"/>
        </w:rPr>
      </w:pPr>
      <w:r>
        <w:rPr>
          <w:rFonts w:cs="Arial"/>
          <w:spacing w:val="-3"/>
          <w:sz w:val="22"/>
        </w:rPr>
        <w:tab/>
      </w:r>
    </w:p>
    <w:p w14:paraId="0A605D38" w14:textId="1CD9D613" w:rsidR="00BE7481" w:rsidRPr="007F487A" w:rsidRDefault="00181498" w:rsidP="007A606D">
      <w:pPr>
        <w:suppressAutoHyphens/>
        <w:spacing w:line="276" w:lineRule="auto"/>
        <w:rPr>
          <w:rFonts w:cs="Arial"/>
          <w:b/>
          <w:sz w:val="22"/>
          <w:szCs w:val="22"/>
          <w:lang w:val="es-AR"/>
        </w:rPr>
      </w:pPr>
      <w:r>
        <w:rPr>
          <w:rFonts w:cs="Arial"/>
          <w:b/>
          <w:sz w:val="22"/>
          <w:szCs w:val="22"/>
          <w:lang w:val="es-AR"/>
        </w:rPr>
        <w:t>Pluspetrol S.A.</w:t>
      </w:r>
    </w:p>
    <w:p w14:paraId="41D14C86" w14:textId="77777777" w:rsidR="002E77AC" w:rsidRPr="007F487A" w:rsidRDefault="002E77AC" w:rsidP="007A606D">
      <w:pPr>
        <w:suppressAutoHyphens/>
        <w:spacing w:line="276" w:lineRule="auto"/>
        <w:rPr>
          <w:rFonts w:cs="Arial"/>
          <w:b/>
          <w:sz w:val="22"/>
          <w:szCs w:val="22"/>
          <w:lang w:val="es-AR"/>
        </w:rPr>
      </w:pPr>
    </w:p>
    <w:p w14:paraId="15BA1581" w14:textId="25D6E9F2" w:rsidR="008528DC" w:rsidRPr="007F487A" w:rsidRDefault="008528DC" w:rsidP="007A606D">
      <w:pPr>
        <w:suppressAutoHyphens/>
        <w:spacing w:line="276" w:lineRule="auto"/>
        <w:rPr>
          <w:rFonts w:cs="Arial"/>
          <w:b/>
          <w:sz w:val="22"/>
          <w:szCs w:val="22"/>
          <w:lang w:val="es-AR"/>
        </w:rPr>
      </w:pPr>
    </w:p>
    <w:p w14:paraId="0EB2E9CC" w14:textId="4E62D0A0" w:rsidR="00903627" w:rsidRDefault="00875DA5" w:rsidP="007A606D">
      <w:pPr>
        <w:spacing w:line="276" w:lineRule="auto"/>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7326F2">
        <w:rPr>
          <w:rFonts w:cs="Arial"/>
          <w:sz w:val="22"/>
          <w:szCs w:val="22"/>
        </w:rPr>
        <w:t>Gustavo Barrera</w:t>
      </w:r>
    </w:p>
    <w:p w14:paraId="27EDA7C2" w14:textId="7C332AEE" w:rsidR="00325006" w:rsidRPr="0094444D" w:rsidRDefault="00325006" w:rsidP="007A606D">
      <w:pPr>
        <w:spacing w:line="276" w:lineRule="auto"/>
        <w:rPr>
          <w:rFonts w:cs="Arial"/>
          <w:bCs/>
          <w:spacing w:val="-3"/>
          <w:sz w:val="22"/>
          <w:szCs w:val="22"/>
          <w:lang w:val="es-AR"/>
        </w:rPr>
      </w:pPr>
      <w:r>
        <w:rPr>
          <w:rFonts w:cs="Arial"/>
          <w:bCs/>
          <w:spacing w:val="-3"/>
          <w:sz w:val="22"/>
          <w:szCs w:val="22"/>
          <w:lang w:val="es-AR"/>
        </w:rPr>
        <w:t>E-mail:</w:t>
      </w:r>
      <w:r w:rsidR="00C92E71">
        <w:rPr>
          <w:rFonts w:cs="Arial"/>
          <w:bCs/>
          <w:spacing w:val="-3"/>
          <w:sz w:val="22"/>
          <w:szCs w:val="22"/>
          <w:lang w:val="es-AR"/>
        </w:rPr>
        <w:t xml:space="preserve"> </w:t>
      </w:r>
      <w:r w:rsidR="00087561" w:rsidRPr="00087561">
        <w:rPr>
          <w:rFonts w:cs="Arial"/>
          <w:bCs/>
          <w:spacing w:val="-3"/>
          <w:sz w:val="22"/>
          <w:szCs w:val="22"/>
          <w:lang w:val="es-AR"/>
        </w:rPr>
        <w:t>gbarrera@pluspetrol.net</w:t>
      </w:r>
    </w:p>
    <w:p w14:paraId="37E603F6" w14:textId="77777777" w:rsidR="00A66A00" w:rsidRPr="0094444D" w:rsidRDefault="00A66A00" w:rsidP="007A606D">
      <w:pPr>
        <w:spacing w:line="276" w:lineRule="auto"/>
        <w:rPr>
          <w:rFonts w:cs="Arial"/>
          <w:bCs/>
          <w:sz w:val="22"/>
          <w:szCs w:val="22"/>
          <w:lang w:val="es-AR" w:eastAsia="es-AR"/>
        </w:rPr>
      </w:pPr>
    </w:p>
    <w:p w14:paraId="25E66A02" w14:textId="12A2B275" w:rsidR="00346820" w:rsidRPr="0094444D" w:rsidRDefault="00346820" w:rsidP="007A606D">
      <w:pPr>
        <w:spacing w:line="276" w:lineRule="auto"/>
        <w:rPr>
          <w:rFonts w:cs="Arial"/>
          <w:color w:val="242424"/>
          <w:sz w:val="22"/>
          <w:szCs w:val="22"/>
          <w:shd w:val="clear" w:color="auto" w:fill="FFFFFF"/>
          <w:lang w:val="es-AR"/>
        </w:rPr>
      </w:pPr>
    </w:p>
    <w:p w14:paraId="24985D8D" w14:textId="3E97AB44" w:rsidR="00315727" w:rsidRDefault="00072F0F" w:rsidP="007A606D">
      <w:pPr>
        <w:spacing w:line="276" w:lineRule="auto"/>
        <w:rPr>
          <w:rFonts w:cs="Arial"/>
          <w:b/>
          <w:bCs/>
          <w:sz w:val="22"/>
          <w:szCs w:val="22"/>
          <w:lang w:val="es-AR"/>
        </w:rPr>
      </w:pPr>
      <w:r w:rsidRPr="00A66A00">
        <w:rPr>
          <w:rFonts w:cs="Arial"/>
          <w:spacing w:val="-3"/>
          <w:sz w:val="22"/>
          <w:szCs w:val="22"/>
          <w:lang w:val="es-AR"/>
        </w:rPr>
        <w:t xml:space="preserve">Ref.: </w:t>
      </w:r>
      <w:r w:rsidR="00181498" w:rsidRPr="00181498">
        <w:rPr>
          <w:rFonts w:cs="Arial"/>
          <w:spacing w:val="-3"/>
          <w:sz w:val="22"/>
          <w:szCs w:val="22"/>
          <w:lang w:val="es-AR"/>
        </w:rPr>
        <w:t>RFI - Provisi</w:t>
      </w:r>
      <w:r w:rsidR="00181498">
        <w:rPr>
          <w:rFonts w:cs="Arial"/>
          <w:spacing w:val="-3"/>
          <w:sz w:val="22"/>
          <w:szCs w:val="22"/>
          <w:lang w:val="es-AR"/>
        </w:rPr>
        <w:t>ó</w:t>
      </w:r>
      <w:r w:rsidR="00181498" w:rsidRPr="00181498">
        <w:rPr>
          <w:rFonts w:cs="Arial"/>
          <w:spacing w:val="-3"/>
          <w:sz w:val="22"/>
          <w:szCs w:val="22"/>
          <w:lang w:val="es-AR"/>
        </w:rPr>
        <w:t>n Productos qu</w:t>
      </w:r>
      <w:r w:rsidR="00181498">
        <w:rPr>
          <w:rFonts w:cs="Arial"/>
          <w:spacing w:val="-3"/>
          <w:sz w:val="22"/>
          <w:szCs w:val="22"/>
          <w:lang w:val="es-AR"/>
        </w:rPr>
        <w:t>í</w:t>
      </w:r>
      <w:r w:rsidR="00181498" w:rsidRPr="00181498">
        <w:rPr>
          <w:rFonts w:cs="Arial"/>
          <w:spacing w:val="-3"/>
          <w:sz w:val="22"/>
          <w:szCs w:val="22"/>
          <w:lang w:val="es-AR"/>
        </w:rPr>
        <w:t xml:space="preserve">micos - La Calera / Centenario / </w:t>
      </w:r>
      <w:proofErr w:type="spellStart"/>
      <w:r w:rsidR="00181498" w:rsidRPr="00181498">
        <w:rPr>
          <w:rFonts w:cs="Arial"/>
          <w:spacing w:val="-3"/>
          <w:sz w:val="22"/>
          <w:szCs w:val="22"/>
          <w:lang w:val="es-AR"/>
        </w:rPr>
        <w:t>Corcobo</w:t>
      </w:r>
      <w:proofErr w:type="spellEnd"/>
    </w:p>
    <w:p w14:paraId="0449BE99" w14:textId="77777777" w:rsidR="00315727" w:rsidRPr="000A48F6" w:rsidRDefault="00315727" w:rsidP="007A606D">
      <w:pPr>
        <w:suppressAutoHyphens/>
        <w:spacing w:line="276" w:lineRule="auto"/>
        <w:jc w:val="both"/>
        <w:rPr>
          <w:rFonts w:cs="Arial"/>
          <w:spacing w:val="-3"/>
          <w:sz w:val="22"/>
          <w:szCs w:val="22"/>
          <w:lang w:val="es-AR"/>
        </w:rPr>
      </w:pPr>
    </w:p>
    <w:p w14:paraId="1C2194ED" w14:textId="77777777" w:rsidR="00315727" w:rsidRPr="0009065C" w:rsidRDefault="00315727" w:rsidP="007A606D">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7A606D">
      <w:pPr>
        <w:suppressAutoHyphens/>
        <w:spacing w:line="276" w:lineRule="auto"/>
        <w:jc w:val="both"/>
        <w:rPr>
          <w:rFonts w:cs="Arial"/>
          <w:spacing w:val="-3"/>
          <w:sz w:val="22"/>
          <w:szCs w:val="22"/>
        </w:rPr>
      </w:pPr>
    </w:p>
    <w:p w14:paraId="50F1E2D4" w14:textId="77777777" w:rsidR="00AB73F7" w:rsidRPr="003D5BF8" w:rsidRDefault="00AB73F7" w:rsidP="007A606D">
      <w:pPr>
        <w:suppressAutoHyphens/>
        <w:spacing w:line="276" w:lineRule="auto"/>
        <w:jc w:val="both"/>
        <w:rPr>
          <w:rFonts w:cs="Arial"/>
          <w:sz w:val="22"/>
          <w:szCs w:val="22"/>
        </w:rPr>
      </w:pPr>
      <w:r w:rsidRPr="003D5BF8">
        <w:rPr>
          <w:rFonts w:cs="Arial"/>
          <w:sz w:val="22"/>
          <w:szCs w:val="22"/>
        </w:rPr>
        <w:t>Tenemos el agrado de presentarles la planilla de cotización adjunta por la provisión del servicio solicitado en el RFI/Q.</w:t>
      </w:r>
    </w:p>
    <w:p w14:paraId="7A2F88C6" w14:textId="77777777" w:rsidR="00CA5A90" w:rsidRPr="00AB73F7" w:rsidRDefault="00CA5A90" w:rsidP="007A606D">
      <w:pPr>
        <w:pStyle w:val="Prrafodelista"/>
        <w:suppressAutoHyphens/>
        <w:spacing w:line="276" w:lineRule="auto"/>
        <w:ind w:left="0"/>
        <w:jc w:val="both"/>
        <w:rPr>
          <w:rFonts w:cs="Arial"/>
          <w:sz w:val="22"/>
          <w:szCs w:val="22"/>
        </w:rPr>
      </w:pPr>
    </w:p>
    <w:p w14:paraId="2F5923CC" w14:textId="1D9A5F63" w:rsidR="00315727" w:rsidRPr="0009065C" w:rsidRDefault="00315727" w:rsidP="007A606D">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7A606D">
      <w:pPr>
        <w:suppressAutoHyphens/>
        <w:spacing w:line="276" w:lineRule="auto"/>
        <w:jc w:val="both"/>
        <w:rPr>
          <w:rFonts w:cs="Arial"/>
          <w:sz w:val="22"/>
          <w:szCs w:val="22"/>
        </w:rPr>
      </w:pPr>
    </w:p>
    <w:p w14:paraId="049596FD" w14:textId="77777777" w:rsidR="00315727" w:rsidRDefault="00315727" w:rsidP="007A606D">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4F7B64B7" w:rsidR="00315727" w:rsidRDefault="00315727" w:rsidP="00315727">
      <w:pPr>
        <w:suppressAutoHyphens/>
        <w:jc w:val="both"/>
        <w:rPr>
          <w:sz w:val="22"/>
        </w:rPr>
      </w:pPr>
    </w:p>
    <w:p w14:paraId="721D40B9" w14:textId="5967F451" w:rsidR="00315727" w:rsidRDefault="00315727" w:rsidP="00E75AC1">
      <w:pPr>
        <w:suppressAutoHyphens/>
        <w:jc w:val="center"/>
        <w:rPr>
          <w:sz w:val="22"/>
        </w:rPr>
      </w:pPr>
    </w:p>
    <w:p w14:paraId="6748E121" w14:textId="697724D8" w:rsidR="00904E18" w:rsidRDefault="00904E18" w:rsidP="00315727">
      <w:pPr>
        <w:suppressAutoHyphens/>
        <w:jc w:val="both"/>
        <w:rPr>
          <w:sz w:val="22"/>
        </w:rPr>
      </w:pPr>
    </w:p>
    <w:p w14:paraId="71F1ACCA" w14:textId="1325C458" w:rsidR="00315727" w:rsidRPr="000A48F6" w:rsidRDefault="00315727" w:rsidP="0087139B">
      <w:pPr>
        <w:suppressAutoHyphens/>
        <w:ind w:left="3828"/>
        <w:jc w:val="center"/>
        <w:rPr>
          <w:rFonts w:cs="Arial"/>
          <w:sz w:val="22"/>
        </w:rPr>
      </w:pPr>
    </w:p>
    <w:p w14:paraId="28A2A8D0" w14:textId="09D24205"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7A606D" w:rsidRDefault="00C36A0D" w:rsidP="007D3D35">
      <w:pPr>
        <w:pStyle w:val="Prrafodelista"/>
        <w:suppressAutoHyphens/>
        <w:spacing w:line="276" w:lineRule="auto"/>
        <w:ind w:left="426"/>
        <w:jc w:val="both"/>
        <w:rPr>
          <w:rFonts w:cs="Arial"/>
          <w:b/>
          <w:spacing w:val="-3"/>
          <w:sz w:val="20"/>
        </w:rPr>
      </w:pPr>
    </w:p>
    <w:p w14:paraId="54E164C4" w14:textId="77777777" w:rsidR="00315727" w:rsidRPr="007A606D" w:rsidRDefault="00B11593" w:rsidP="007D3D35">
      <w:pPr>
        <w:suppressAutoHyphens/>
        <w:spacing w:line="276" w:lineRule="auto"/>
        <w:jc w:val="both"/>
        <w:rPr>
          <w:rFonts w:cs="Arial"/>
          <w:spacing w:val="-3"/>
          <w:sz w:val="20"/>
        </w:rPr>
      </w:pPr>
      <w:r w:rsidRPr="007A606D">
        <w:rPr>
          <w:rFonts w:cs="Arial"/>
          <w:spacing w:val="-3"/>
          <w:sz w:val="20"/>
        </w:rPr>
        <w:t>A l</w:t>
      </w:r>
      <w:r w:rsidR="00315727" w:rsidRPr="007A606D">
        <w:rPr>
          <w:rFonts w:cs="Arial"/>
          <w:spacing w:val="-3"/>
          <w:sz w:val="20"/>
        </w:rPr>
        <w:t xml:space="preserve">os precios que se detallan en la presente les corresponden las siguientes condiciones comerciales:  </w:t>
      </w:r>
    </w:p>
    <w:p w14:paraId="65E39DD4" w14:textId="77777777" w:rsidR="00315727" w:rsidRPr="007A606D" w:rsidRDefault="00315727" w:rsidP="007D3D35">
      <w:pPr>
        <w:suppressAutoHyphens/>
        <w:spacing w:line="276" w:lineRule="auto"/>
        <w:jc w:val="both"/>
        <w:rPr>
          <w:rFonts w:cs="Arial"/>
          <w:spacing w:val="-3"/>
          <w:sz w:val="20"/>
        </w:rPr>
      </w:pPr>
    </w:p>
    <w:p w14:paraId="3BDF54BB" w14:textId="2830C545" w:rsidR="00BE7481" w:rsidRPr="007A606D" w:rsidRDefault="00315727" w:rsidP="007D3D35">
      <w:pPr>
        <w:suppressAutoHyphens/>
        <w:spacing w:line="276" w:lineRule="auto"/>
        <w:ind w:left="2835" w:hanging="2835"/>
        <w:jc w:val="both"/>
        <w:rPr>
          <w:rFonts w:cs="Arial"/>
          <w:spacing w:val="-3"/>
          <w:sz w:val="20"/>
        </w:rPr>
      </w:pPr>
      <w:r w:rsidRPr="007A606D">
        <w:rPr>
          <w:rFonts w:cs="Arial"/>
          <w:spacing w:val="-3"/>
          <w:sz w:val="20"/>
        </w:rPr>
        <w:t>Precio:</w:t>
      </w:r>
      <w:r w:rsidRPr="007A606D">
        <w:rPr>
          <w:rFonts w:cs="Arial"/>
          <w:spacing w:val="-3"/>
          <w:sz w:val="20"/>
        </w:rPr>
        <w:tab/>
      </w:r>
      <w:r w:rsidR="0017339A" w:rsidRPr="007A606D">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7A606D" w:rsidRDefault="00315727" w:rsidP="007D3D35">
      <w:pPr>
        <w:suppressAutoHyphens/>
        <w:spacing w:line="276" w:lineRule="auto"/>
        <w:ind w:left="2835" w:hanging="2835"/>
        <w:jc w:val="both"/>
        <w:rPr>
          <w:rFonts w:cs="Arial"/>
          <w:spacing w:val="-3"/>
          <w:sz w:val="20"/>
        </w:rPr>
      </w:pPr>
    </w:p>
    <w:p w14:paraId="7F17BEAA" w14:textId="77777777" w:rsidR="00315727" w:rsidRPr="007A606D" w:rsidRDefault="00315727" w:rsidP="007D3D35">
      <w:pPr>
        <w:suppressAutoHyphens/>
        <w:spacing w:line="276" w:lineRule="auto"/>
        <w:ind w:left="2835" w:hanging="2835"/>
        <w:jc w:val="both"/>
        <w:rPr>
          <w:rFonts w:cs="Arial"/>
          <w:spacing w:val="-3"/>
          <w:sz w:val="20"/>
        </w:rPr>
      </w:pPr>
      <w:r w:rsidRPr="007A606D">
        <w:rPr>
          <w:rFonts w:cs="Arial"/>
          <w:spacing w:val="-3"/>
          <w:sz w:val="20"/>
        </w:rPr>
        <w:t>Facturación:</w:t>
      </w:r>
      <w:r w:rsidRPr="007A606D">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7A606D" w:rsidRDefault="00315727" w:rsidP="007D3D35">
      <w:pPr>
        <w:suppressAutoHyphens/>
        <w:spacing w:line="276" w:lineRule="auto"/>
        <w:ind w:left="2835" w:hanging="2835"/>
        <w:jc w:val="both"/>
        <w:rPr>
          <w:rFonts w:cs="Arial"/>
          <w:spacing w:val="-3"/>
          <w:sz w:val="20"/>
        </w:rPr>
      </w:pPr>
    </w:p>
    <w:p w14:paraId="41706DAA" w14:textId="77777777" w:rsidR="00315727" w:rsidRPr="007A606D" w:rsidRDefault="00315727" w:rsidP="007D3D35">
      <w:pPr>
        <w:suppressAutoHyphens/>
        <w:spacing w:line="276" w:lineRule="auto"/>
        <w:ind w:left="2835" w:hanging="2835"/>
        <w:jc w:val="both"/>
        <w:rPr>
          <w:rFonts w:cs="Arial"/>
          <w:spacing w:val="-3"/>
          <w:sz w:val="20"/>
        </w:rPr>
      </w:pPr>
      <w:r w:rsidRPr="007A606D">
        <w:rPr>
          <w:rFonts w:cs="Arial"/>
          <w:spacing w:val="-3"/>
          <w:sz w:val="20"/>
        </w:rPr>
        <w:t>Diferencia de Cambio:</w:t>
      </w:r>
      <w:r w:rsidRPr="007A606D">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7A606D" w:rsidRDefault="00315727" w:rsidP="007D3D35">
      <w:pPr>
        <w:suppressAutoHyphens/>
        <w:spacing w:line="276" w:lineRule="auto"/>
        <w:ind w:left="2835" w:hanging="2835"/>
        <w:jc w:val="both"/>
        <w:rPr>
          <w:rFonts w:cs="Arial"/>
          <w:spacing w:val="-3"/>
          <w:sz w:val="20"/>
        </w:rPr>
      </w:pPr>
    </w:p>
    <w:p w14:paraId="2B5A6C74" w14:textId="77777777" w:rsidR="00F866D9" w:rsidRPr="00F866D9" w:rsidRDefault="00F866D9" w:rsidP="007D3D35">
      <w:pPr>
        <w:suppressAutoHyphens/>
        <w:spacing w:line="276" w:lineRule="auto"/>
        <w:ind w:left="2835" w:hanging="2835"/>
        <w:jc w:val="both"/>
        <w:rPr>
          <w:rFonts w:cs="Arial"/>
          <w:spacing w:val="-3"/>
          <w:sz w:val="20"/>
        </w:rPr>
      </w:pPr>
      <w:r w:rsidRPr="007A606D">
        <w:rPr>
          <w:rFonts w:cs="Arial"/>
          <w:spacing w:val="-3"/>
          <w:sz w:val="20"/>
        </w:rPr>
        <w:t>Forma de Pago:</w:t>
      </w:r>
      <w:r w:rsidRPr="007A606D">
        <w:rPr>
          <w:rFonts w:cs="Arial"/>
          <w:spacing w:val="-3"/>
          <w:sz w:val="20"/>
        </w:rPr>
        <w:tab/>
        <w:t>Las facturas deberán ser pagadas dentro de los 30 días de su presentación. Las notas de débito emitidas por las diferencias de cambio deberán ser abonadas</w:t>
      </w:r>
      <w:r w:rsidRPr="00F866D9">
        <w:rPr>
          <w:rFonts w:cs="Arial"/>
          <w:spacing w:val="-3"/>
          <w:sz w:val="20"/>
        </w:rPr>
        <w:t xml:space="preserve"> dentro de los 7 (siete) días de su presentación.</w:t>
      </w:r>
    </w:p>
    <w:p w14:paraId="46FF6C37" w14:textId="77777777" w:rsidR="00F866D9" w:rsidRPr="00F866D9" w:rsidRDefault="00F866D9" w:rsidP="007D3D35">
      <w:pPr>
        <w:suppressAutoHyphens/>
        <w:spacing w:line="276" w:lineRule="auto"/>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7D3D35">
      <w:pPr>
        <w:suppressAutoHyphens/>
        <w:spacing w:line="276" w:lineRule="auto"/>
        <w:ind w:left="2835" w:hanging="2835"/>
        <w:jc w:val="both"/>
        <w:rPr>
          <w:rFonts w:cs="Arial"/>
          <w:spacing w:val="-3"/>
          <w:sz w:val="20"/>
        </w:rPr>
      </w:pPr>
    </w:p>
    <w:p w14:paraId="3921723A" w14:textId="7A141F1C" w:rsidR="00483728" w:rsidRDefault="00F866D9" w:rsidP="007D3D35">
      <w:pPr>
        <w:suppressAutoHyphens/>
        <w:spacing w:line="276" w:lineRule="auto"/>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347EEEF" w14:textId="77777777" w:rsidR="00F51D79" w:rsidRPr="00C37772" w:rsidRDefault="00F51D79" w:rsidP="007D3D35">
      <w:pPr>
        <w:suppressAutoHyphens/>
        <w:spacing w:line="276" w:lineRule="auto"/>
        <w:ind w:left="2835" w:hanging="2835"/>
        <w:jc w:val="both"/>
        <w:rPr>
          <w:rFonts w:cs="Arial"/>
          <w:spacing w:val="-3"/>
          <w:sz w:val="20"/>
        </w:rPr>
      </w:pPr>
    </w:p>
    <w:p w14:paraId="64EB52A5" w14:textId="0C94BEC5" w:rsidR="00315727" w:rsidRDefault="00315727" w:rsidP="007D3D35">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323BE6">
        <w:rPr>
          <w:rFonts w:cs="Arial"/>
          <w:spacing w:val="-3"/>
          <w:sz w:val="20"/>
        </w:rPr>
        <w:t xml:space="preserve">A acordar entre las partes </w:t>
      </w:r>
      <w:r w:rsidR="00920E1E">
        <w:rPr>
          <w:rFonts w:cs="Arial"/>
          <w:spacing w:val="-3"/>
          <w:sz w:val="20"/>
        </w:rPr>
        <w:t>(Pluspetrol y PECOM)</w:t>
      </w:r>
      <w:r w:rsidR="007A606D">
        <w:rPr>
          <w:rFonts w:cs="Arial"/>
          <w:spacing w:val="-3"/>
          <w:sz w:val="20"/>
        </w:rPr>
        <w:t>.</w:t>
      </w:r>
    </w:p>
    <w:p w14:paraId="32CE73CF" w14:textId="77777777" w:rsidR="00315727" w:rsidRPr="00C37772" w:rsidRDefault="00315727" w:rsidP="007D3D35">
      <w:pPr>
        <w:suppressAutoHyphens/>
        <w:spacing w:line="276" w:lineRule="auto"/>
        <w:ind w:left="2835" w:hanging="2835"/>
        <w:jc w:val="both"/>
        <w:rPr>
          <w:rFonts w:cs="Arial"/>
          <w:spacing w:val="-3"/>
          <w:sz w:val="20"/>
        </w:rPr>
      </w:pPr>
    </w:p>
    <w:p w14:paraId="1A2E72C3" w14:textId="3E53411C" w:rsidR="00315727" w:rsidRDefault="00315727" w:rsidP="007D3D35">
      <w:pPr>
        <w:suppressAutoHyphens/>
        <w:spacing w:line="276" w:lineRule="auto"/>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006F3064">
        <w:rPr>
          <w:rFonts w:cs="Arial"/>
          <w:spacing w:val="-3"/>
          <w:sz w:val="20"/>
        </w:rPr>
        <w:t>-Ejecución</w:t>
      </w:r>
      <w:r w:rsidRPr="00C37772">
        <w:rPr>
          <w:rFonts w:cs="Arial"/>
          <w:spacing w:val="-3"/>
          <w:sz w:val="20"/>
        </w:rPr>
        <w:t>:</w:t>
      </w:r>
      <w:r w:rsidRPr="00C37772">
        <w:rPr>
          <w:rFonts w:cs="Arial"/>
          <w:spacing w:val="-3"/>
          <w:sz w:val="20"/>
        </w:rPr>
        <w:tab/>
      </w:r>
      <w:r w:rsidR="008B4792" w:rsidRPr="008B4792">
        <w:rPr>
          <w:rFonts w:cs="Arial"/>
          <w:spacing w:val="-3"/>
          <w:sz w:val="20"/>
        </w:rPr>
        <w:t>A acordar entre las partes en función de la necesidad</w:t>
      </w:r>
      <w:r w:rsidR="00B31CF7">
        <w:rPr>
          <w:rFonts w:cs="Arial"/>
          <w:spacing w:val="-3"/>
          <w:sz w:val="20"/>
        </w:rPr>
        <w:t xml:space="preserve"> (</w:t>
      </w:r>
      <w:r w:rsidR="00920E1E">
        <w:rPr>
          <w:rFonts w:cs="Arial"/>
          <w:spacing w:val="-3"/>
          <w:sz w:val="20"/>
        </w:rPr>
        <w:t>Pluspetrol</w:t>
      </w:r>
      <w:r w:rsidR="00B31CF7">
        <w:rPr>
          <w:rFonts w:cs="Arial"/>
          <w:spacing w:val="-3"/>
          <w:sz w:val="20"/>
        </w:rPr>
        <w:t xml:space="preserve"> y PECOM).</w:t>
      </w:r>
    </w:p>
    <w:p w14:paraId="2B6AF014" w14:textId="77777777" w:rsidR="00F866D9" w:rsidRPr="00C37772" w:rsidRDefault="00F866D9" w:rsidP="007D3D35">
      <w:pPr>
        <w:suppressAutoHyphens/>
        <w:spacing w:line="276" w:lineRule="auto"/>
        <w:ind w:left="2835" w:hanging="2835"/>
        <w:jc w:val="both"/>
        <w:rPr>
          <w:rFonts w:cs="Arial"/>
          <w:spacing w:val="-3"/>
          <w:sz w:val="20"/>
        </w:rPr>
      </w:pPr>
    </w:p>
    <w:p w14:paraId="1C41AD77" w14:textId="3279E8B1" w:rsidR="00315727" w:rsidRPr="00C37772" w:rsidRDefault="00315727" w:rsidP="007D3D35">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extenderla a nombre de:</w:t>
      </w:r>
    </w:p>
    <w:p w14:paraId="40E97531" w14:textId="527B78F6" w:rsidR="0092342E" w:rsidRPr="00C37772" w:rsidRDefault="0092342E" w:rsidP="007D3D35">
      <w:pPr>
        <w:spacing w:line="276" w:lineRule="auto"/>
        <w:rPr>
          <w:rFonts w:cs="Arial"/>
          <w:spacing w:val="-3"/>
          <w:sz w:val="20"/>
        </w:rPr>
      </w:pPr>
    </w:p>
    <w:p w14:paraId="5741A680" w14:textId="2600A144" w:rsidR="0092342E" w:rsidRPr="00C37772" w:rsidRDefault="0092342E" w:rsidP="007D3D35">
      <w:pPr>
        <w:suppressAutoHyphens/>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7D3D35">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7D3D35">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7D3D35">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410F2B50" w:rsidR="0092342E" w:rsidRPr="00BD625A" w:rsidRDefault="0092342E" w:rsidP="007D3D35">
      <w:pPr>
        <w:suppressAutoHyphens/>
        <w:ind w:left="7089" w:hanging="3544"/>
        <w:jc w:val="both"/>
        <w:rPr>
          <w:rFonts w:cs="Arial"/>
          <w:b/>
          <w:spacing w:val="-3"/>
          <w:sz w:val="20"/>
          <w:lang w:val="es-AR"/>
        </w:rPr>
      </w:pPr>
      <w:proofErr w:type="spellStart"/>
      <w:r w:rsidRPr="00BD625A">
        <w:rPr>
          <w:rFonts w:cs="Arial"/>
          <w:b/>
          <w:bCs/>
          <w:spacing w:val="-3"/>
          <w:sz w:val="20"/>
          <w:lang w:val="es-AR"/>
        </w:rPr>
        <w:t>At’n</w:t>
      </w:r>
      <w:proofErr w:type="spellEnd"/>
      <w:r w:rsidRPr="00BD625A">
        <w:rPr>
          <w:rFonts w:cs="Arial"/>
          <w:b/>
          <w:bCs/>
          <w:spacing w:val="-3"/>
          <w:sz w:val="20"/>
          <w:lang w:val="es-AR"/>
        </w:rPr>
        <w:t xml:space="preserve">:  </w:t>
      </w:r>
      <w:r w:rsidR="00AB73F7" w:rsidRPr="00BD625A">
        <w:rPr>
          <w:rFonts w:cs="Arial"/>
          <w:b/>
          <w:bCs/>
          <w:spacing w:val="-3"/>
          <w:sz w:val="20"/>
          <w:lang w:val="es-AR"/>
        </w:rPr>
        <w:t>Rodolfo Soto</w:t>
      </w:r>
    </w:p>
    <w:p w14:paraId="3F30D6D9" w14:textId="6846D280" w:rsidR="00EB340B" w:rsidRPr="00BD625A" w:rsidRDefault="0092342E" w:rsidP="007D3D35">
      <w:pPr>
        <w:suppressAutoHyphens/>
        <w:ind w:left="2835" w:firstLine="709"/>
        <w:jc w:val="both"/>
        <w:rPr>
          <w:rFonts w:cs="Arial"/>
          <w:b/>
          <w:iCs/>
          <w:spacing w:val="-3"/>
          <w:sz w:val="20"/>
          <w:lang w:val="es-AR"/>
        </w:rPr>
      </w:pPr>
      <w:r w:rsidRPr="00BD625A">
        <w:rPr>
          <w:rFonts w:cs="Arial"/>
          <w:b/>
          <w:sz w:val="20"/>
          <w:lang w:val="es-AR"/>
        </w:rPr>
        <w:t xml:space="preserve">Email: </w:t>
      </w:r>
      <w:r w:rsidR="005214C4" w:rsidRPr="00BD625A">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BD625A">
        <w:rPr>
          <w:rFonts w:cs="Arial"/>
          <w:b/>
          <w:iCs/>
          <w:sz w:val="20"/>
          <w:lang w:val="es-AR"/>
        </w:rPr>
        <w:t xml:space="preserve"> </w:t>
      </w:r>
    </w:p>
    <w:p w14:paraId="2E75213E" w14:textId="78F1FDBE" w:rsidR="00315727" w:rsidRPr="00BD625A" w:rsidRDefault="00AB73F7" w:rsidP="007D3D35">
      <w:pPr>
        <w:suppressAutoHyphens/>
        <w:ind w:left="4253" w:firstLine="1"/>
        <w:jc w:val="both"/>
        <w:rPr>
          <w:rFonts w:cs="Arial"/>
          <w:b/>
          <w:color w:val="000080"/>
          <w:sz w:val="20"/>
          <w:u w:val="single"/>
          <w:lang w:val="es-AR"/>
        </w:rPr>
      </w:pPr>
      <w:r w:rsidRPr="00BD625A">
        <w:rPr>
          <w:rFonts w:cs="Arial"/>
          <w:b/>
          <w:color w:val="000080"/>
          <w:sz w:val="20"/>
          <w:u w:val="single"/>
          <w:lang w:val="es-AR"/>
        </w:rPr>
        <w:t>Rodolfo.soto@pecomenergia.com.ar</w:t>
      </w:r>
    </w:p>
    <w:p w14:paraId="0208E91C" w14:textId="32FD2C0C" w:rsidR="00315727" w:rsidRPr="00BD625A" w:rsidRDefault="00315727" w:rsidP="007D3D35">
      <w:pPr>
        <w:suppressAutoHyphens/>
        <w:spacing w:line="276" w:lineRule="auto"/>
        <w:jc w:val="both"/>
        <w:rPr>
          <w:rFonts w:cs="Arial"/>
          <w:spacing w:val="-3"/>
          <w:sz w:val="20"/>
          <w:lang w:val="es-AR"/>
        </w:rPr>
      </w:pPr>
    </w:p>
    <w:p w14:paraId="2AE39BA8" w14:textId="6964D31C" w:rsidR="00315727" w:rsidRPr="00C37772" w:rsidRDefault="00315727" w:rsidP="007D3D35">
      <w:pPr>
        <w:suppressAutoHyphens/>
        <w:spacing w:line="276" w:lineRule="auto"/>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910A31">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7A606D" w:rsidRPr="00C37772" w:rsidRDefault="007A606D" w:rsidP="007D3D35">
      <w:pPr>
        <w:suppressAutoHyphens/>
        <w:spacing w:line="276" w:lineRule="auto"/>
        <w:jc w:val="both"/>
        <w:rPr>
          <w:rFonts w:cs="Arial"/>
          <w:sz w:val="20"/>
          <w:u w:val="single"/>
          <w:lang w:val="es-AR"/>
        </w:rPr>
      </w:pPr>
    </w:p>
    <w:p w14:paraId="7822F364" w14:textId="15366A0A" w:rsidR="00315727" w:rsidRDefault="00315727" w:rsidP="007D3D35">
      <w:pPr>
        <w:suppressAutoHyphens/>
        <w:spacing w:line="276" w:lineRule="auto"/>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7D3D35">
      <w:pPr>
        <w:suppressAutoHyphens/>
        <w:spacing w:line="276" w:lineRule="auto"/>
        <w:ind w:left="2835" w:hanging="2835"/>
        <w:jc w:val="both"/>
        <w:rPr>
          <w:rFonts w:cs="Arial"/>
          <w:sz w:val="20"/>
        </w:rPr>
      </w:pPr>
    </w:p>
    <w:p w14:paraId="7E957E38" w14:textId="77777777" w:rsidR="00C37772" w:rsidRPr="00C37772" w:rsidRDefault="00C37772" w:rsidP="007D3D35">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7D3D35">
      <w:pPr>
        <w:suppressAutoHyphens/>
        <w:spacing w:line="276" w:lineRule="auto"/>
        <w:ind w:left="2835" w:hanging="2835"/>
        <w:jc w:val="both"/>
        <w:rPr>
          <w:rFonts w:cs="Arial"/>
          <w:sz w:val="20"/>
          <w:lang w:val="es-AR"/>
        </w:rPr>
      </w:pPr>
    </w:p>
    <w:p w14:paraId="62DD0654" w14:textId="2936C62F" w:rsidR="00C37772" w:rsidRPr="00C37772" w:rsidRDefault="00C37772" w:rsidP="007D3D35">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7A606D">
        <w:rPr>
          <w:rFonts w:cs="Arial"/>
          <w:sz w:val="20"/>
          <w:lang w:val="es-AR"/>
        </w:rPr>
        <w:t>.</w:t>
      </w:r>
    </w:p>
    <w:tbl>
      <w:tblPr>
        <w:tblStyle w:val="Tablaconcuadrcula"/>
        <w:tblW w:w="0" w:type="auto"/>
        <w:tblLook w:val="04A0" w:firstRow="1" w:lastRow="0" w:firstColumn="1" w:lastColumn="0" w:noHBand="0" w:noVBand="1"/>
      </w:tblPr>
      <w:tblGrid>
        <w:gridCol w:w="4253"/>
        <w:gridCol w:w="2934"/>
        <w:gridCol w:w="2452"/>
      </w:tblGrid>
      <w:tr w:rsidR="00315727" w14:paraId="4D9D63B3" w14:textId="77777777" w:rsidTr="007A606D">
        <w:trPr>
          <w:trHeight w:val="3347"/>
        </w:trPr>
        <w:tc>
          <w:tcPr>
            <w:tcW w:w="4253" w:type="dxa"/>
            <w:tcBorders>
              <w:top w:val="nil"/>
              <w:left w:val="nil"/>
              <w:right w:val="nil"/>
            </w:tcBorders>
            <w:vAlign w:val="center"/>
          </w:tcPr>
          <w:p w14:paraId="75E90B28" w14:textId="0414B739" w:rsidR="00266289" w:rsidRDefault="00266289" w:rsidP="00315727">
            <w:pPr>
              <w:jc w:val="center"/>
              <w:rPr>
                <w:b/>
                <w:sz w:val="22"/>
                <w:szCs w:val="22"/>
              </w:rPr>
            </w:pPr>
          </w:p>
        </w:tc>
        <w:tc>
          <w:tcPr>
            <w:tcW w:w="2934" w:type="dxa"/>
            <w:tcBorders>
              <w:top w:val="nil"/>
              <w:left w:val="nil"/>
              <w:bottom w:val="nil"/>
              <w:right w:val="nil"/>
            </w:tcBorders>
            <w:vAlign w:val="center"/>
          </w:tcPr>
          <w:p w14:paraId="52903AF0" w14:textId="77777777" w:rsidR="00266289" w:rsidRDefault="00266289" w:rsidP="00266289">
            <w:pPr>
              <w:rPr>
                <w:b/>
                <w:sz w:val="22"/>
                <w:szCs w:val="22"/>
              </w:rPr>
            </w:pPr>
          </w:p>
        </w:tc>
        <w:tc>
          <w:tcPr>
            <w:tcW w:w="2452"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7A606D">
        <w:trPr>
          <w:trHeight w:val="575"/>
        </w:trPr>
        <w:tc>
          <w:tcPr>
            <w:tcW w:w="4253"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2934"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2452"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tbl>
      <w:tblPr>
        <w:tblStyle w:val="Tablaconcuadrculaclara"/>
        <w:tblW w:w="8670" w:type="dxa"/>
        <w:jc w:val="center"/>
        <w:tblLook w:val="04A0" w:firstRow="1" w:lastRow="0" w:firstColumn="1" w:lastColumn="0" w:noHBand="0" w:noVBand="1"/>
      </w:tblPr>
      <w:tblGrid>
        <w:gridCol w:w="710"/>
        <w:gridCol w:w="3538"/>
        <w:gridCol w:w="1870"/>
        <w:gridCol w:w="851"/>
        <w:gridCol w:w="1701"/>
      </w:tblGrid>
      <w:tr w:rsidR="00F10EB1" w:rsidRPr="00F10EB1" w14:paraId="32573991" w14:textId="77777777" w:rsidTr="00B01972">
        <w:trPr>
          <w:trHeight w:val="655"/>
          <w:jc w:val="center"/>
        </w:trPr>
        <w:tc>
          <w:tcPr>
            <w:tcW w:w="710" w:type="dxa"/>
            <w:tcBorders>
              <w:left w:val="nil"/>
              <w:right w:val="nil"/>
            </w:tcBorders>
            <w:shd w:val="clear" w:color="auto" w:fill="002060"/>
            <w:noWrap/>
            <w:vAlign w:val="center"/>
            <w:hideMark/>
          </w:tcPr>
          <w:p w14:paraId="5C7915A0"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Ítem</w:t>
            </w:r>
          </w:p>
        </w:tc>
        <w:tc>
          <w:tcPr>
            <w:tcW w:w="3538" w:type="dxa"/>
            <w:tcBorders>
              <w:left w:val="nil"/>
              <w:right w:val="nil"/>
            </w:tcBorders>
            <w:shd w:val="clear" w:color="auto" w:fill="002060"/>
            <w:noWrap/>
            <w:vAlign w:val="center"/>
            <w:hideMark/>
          </w:tcPr>
          <w:p w14:paraId="2C3F756A"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Descripción</w:t>
            </w:r>
          </w:p>
        </w:tc>
        <w:tc>
          <w:tcPr>
            <w:tcW w:w="1870" w:type="dxa"/>
            <w:tcBorders>
              <w:left w:val="nil"/>
              <w:right w:val="nil"/>
            </w:tcBorders>
            <w:shd w:val="clear" w:color="auto" w:fill="002060"/>
            <w:noWrap/>
            <w:vAlign w:val="center"/>
            <w:hideMark/>
          </w:tcPr>
          <w:p w14:paraId="198838A1"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Denominación comercial</w:t>
            </w:r>
          </w:p>
        </w:tc>
        <w:tc>
          <w:tcPr>
            <w:tcW w:w="851" w:type="dxa"/>
            <w:tcBorders>
              <w:left w:val="nil"/>
              <w:right w:val="nil"/>
            </w:tcBorders>
            <w:shd w:val="clear" w:color="auto" w:fill="002060"/>
            <w:noWrap/>
            <w:vAlign w:val="center"/>
            <w:hideMark/>
          </w:tcPr>
          <w:p w14:paraId="19F13927"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UM</w:t>
            </w:r>
          </w:p>
        </w:tc>
        <w:tc>
          <w:tcPr>
            <w:tcW w:w="1701" w:type="dxa"/>
            <w:tcBorders>
              <w:left w:val="nil"/>
              <w:right w:val="nil"/>
            </w:tcBorders>
            <w:shd w:val="clear" w:color="auto" w:fill="002060"/>
            <w:noWrap/>
            <w:vAlign w:val="center"/>
            <w:hideMark/>
          </w:tcPr>
          <w:p w14:paraId="562A5DA4" w14:textId="77777777" w:rsidR="00F10EB1" w:rsidRPr="00F10EB1" w:rsidRDefault="00F10EB1" w:rsidP="00B01972">
            <w:pPr>
              <w:jc w:val="center"/>
              <w:rPr>
                <w:rFonts w:cs="Arial"/>
                <w:b/>
                <w:bCs/>
                <w:color w:val="FFFFFF" w:themeColor="background1"/>
                <w:szCs w:val="24"/>
                <w:lang w:val="es-AR" w:eastAsia="es-AR"/>
              </w:rPr>
            </w:pPr>
            <w:r w:rsidRPr="00F10EB1">
              <w:rPr>
                <w:rFonts w:cs="Arial"/>
                <w:b/>
                <w:bCs/>
                <w:color w:val="FFFFFF" w:themeColor="background1"/>
                <w:szCs w:val="24"/>
                <w:lang w:val="es-AR" w:eastAsia="es-AR"/>
              </w:rPr>
              <w:t>Precio [USD/UM]</w:t>
            </w:r>
          </w:p>
        </w:tc>
      </w:tr>
      <w:tr w:rsidR="00F10EB1" w:rsidRPr="00F10EB1" w14:paraId="2D8CCF2F"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5748331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w:t>
            </w:r>
          </w:p>
        </w:tc>
        <w:tc>
          <w:tcPr>
            <w:tcW w:w="3538" w:type="dxa"/>
            <w:tcBorders>
              <w:left w:val="nil"/>
              <w:right w:val="nil"/>
            </w:tcBorders>
            <w:shd w:val="clear" w:color="auto" w:fill="F2F2F2" w:themeFill="background1" w:themeFillShade="F2"/>
            <w:noWrap/>
            <w:vAlign w:val="center"/>
            <w:hideMark/>
          </w:tcPr>
          <w:p w14:paraId="07DDA54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incrustaciones</w:t>
            </w:r>
          </w:p>
        </w:tc>
        <w:tc>
          <w:tcPr>
            <w:tcW w:w="1870" w:type="dxa"/>
            <w:tcBorders>
              <w:left w:val="nil"/>
              <w:right w:val="nil"/>
            </w:tcBorders>
            <w:shd w:val="clear" w:color="auto" w:fill="F2F2F2" w:themeFill="background1" w:themeFillShade="F2"/>
            <w:noWrap/>
            <w:vAlign w:val="center"/>
            <w:hideMark/>
          </w:tcPr>
          <w:p w14:paraId="5D1B0C3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IC5400</w:t>
            </w:r>
          </w:p>
        </w:tc>
        <w:tc>
          <w:tcPr>
            <w:tcW w:w="851" w:type="dxa"/>
            <w:tcBorders>
              <w:left w:val="nil"/>
              <w:right w:val="nil"/>
            </w:tcBorders>
            <w:shd w:val="clear" w:color="auto" w:fill="F2F2F2" w:themeFill="background1" w:themeFillShade="F2"/>
            <w:noWrap/>
            <w:vAlign w:val="center"/>
            <w:hideMark/>
          </w:tcPr>
          <w:p w14:paraId="71B01E8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0C90E42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3,13</w:t>
            </w:r>
          </w:p>
        </w:tc>
      </w:tr>
      <w:tr w:rsidR="00F10EB1" w:rsidRPr="00F10EB1" w14:paraId="34C94591"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0DF507F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2</w:t>
            </w:r>
          </w:p>
        </w:tc>
        <w:tc>
          <w:tcPr>
            <w:tcW w:w="3538" w:type="dxa"/>
            <w:tcBorders>
              <w:left w:val="nil"/>
              <w:right w:val="nil"/>
            </w:tcBorders>
            <w:shd w:val="clear" w:color="auto" w:fill="F2F2F2" w:themeFill="background1" w:themeFillShade="F2"/>
            <w:noWrap/>
            <w:vAlign w:val="center"/>
            <w:hideMark/>
          </w:tcPr>
          <w:p w14:paraId="0C3EF93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Biocida</w:t>
            </w:r>
          </w:p>
        </w:tc>
        <w:tc>
          <w:tcPr>
            <w:tcW w:w="1870" w:type="dxa"/>
            <w:tcBorders>
              <w:left w:val="nil"/>
              <w:right w:val="nil"/>
            </w:tcBorders>
            <w:shd w:val="clear" w:color="auto" w:fill="F2F2F2" w:themeFill="background1" w:themeFillShade="F2"/>
            <w:noWrap/>
            <w:vAlign w:val="center"/>
            <w:hideMark/>
          </w:tcPr>
          <w:p w14:paraId="66EBFAE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BXC3234</w:t>
            </w:r>
          </w:p>
        </w:tc>
        <w:tc>
          <w:tcPr>
            <w:tcW w:w="851" w:type="dxa"/>
            <w:tcBorders>
              <w:left w:val="nil"/>
              <w:right w:val="nil"/>
            </w:tcBorders>
            <w:shd w:val="clear" w:color="auto" w:fill="F2F2F2" w:themeFill="background1" w:themeFillShade="F2"/>
            <w:noWrap/>
            <w:vAlign w:val="center"/>
            <w:hideMark/>
          </w:tcPr>
          <w:p w14:paraId="0604C7F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0078C92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7,01</w:t>
            </w:r>
          </w:p>
        </w:tc>
      </w:tr>
      <w:tr w:rsidR="00F10EB1" w:rsidRPr="00F10EB1" w14:paraId="74FBB0AB"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287E9D3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w:t>
            </w:r>
          </w:p>
        </w:tc>
        <w:tc>
          <w:tcPr>
            <w:tcW w:w="3538" w:type="dxa"/>
            <w:tcBorders>
              <w:left w:val="nil"/>
              <w:right w:val="nil"/>
            </w:tcBorders>
            <w:shd w:val="clear" w:color="auto" w:fill="F2F2F2" w:themeFill="background1" w:themeFillShade="F2"/>
            <w:noWrap/>
            <w:vAlign w:val="center"/>
            <w:hideMark/>
          </w:tcPr>
          <w:p w14:paraId="1C61847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Dispersante de parafinas</w:t>
            </w:r>
          </w:p>
        </w:tc>
        <w:tc>
          <w:tcPr>
            <w:tcW w:w="1870" w:type="dxa"/>
            <w:tcBorders>
              <w:left w:val="nil"/>
              <w:right w:val="nil"/>
            </w:tcBorders>
            <w:shd w:val="clear" w:color="auto" w:fill="F2F2F2" w:themeFill="background1" w:themeFillShade="F2"/>
            <w:noWrap/>
            <w:vAlign w:val="center"/>
            <w:hideMark/>
          </w:tcPr>
          <w:p w14:paraId="642447C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DPA7367S</w:t>
            </w:r>
          </w:p>
        </w:tc>
        <w:tc>
          <w:tcPr>
            <w:tcW w:w="851" w:type="dxa"/>
            <w:tcBorders>
              <w:left w:val="nil"/>
              <w:right w:val="nil"/>
            </w:tcBorders>
            <w:shd w:val="clear" w:color="auto" w:fill="F2F2F2" w:themeFill="background1" w:themeFillShade="F2"/>
            <w:noWrap/>
            <w:vAlign w:val="center"/>
            <w:hideMark/>
          </w:tcPr>
          <w:p w14:paraId="5EE34EE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515640A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7,16</w:t>
            </w:r>
          </w:p>
        </w:tc>
      </w:tr>
      <w:tr w:rsidR="00F10EB1" w:rsidRPr="00F10EB1" w14:paraId="36D4BCCD"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76B5741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4</w:t>
            </w:r>
          </w:p>
        </w:tc>
        <w:tc>
          <w:tcPr>
            <w:tcW w:w="3538" w:type="dxa"/>
            <w:tcBorders>
              <w:left w:val="nil"/>
              <w:right w:val="nil"/>
            </w:tcBorders>
            <w:shd w:val="clear" w:color="auto" w:fill="F2F2F2" w:themeFill="background1" w:themeFillShade="F2"/>
            <w:noWrap/>
            <w:vAlign w:val="center"/>
            <w:hideMark/>
          </w:tcPr>
          <w:p w14:paraId="2A32E2B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halita</w:t>
            </w:r>
          </w:p>
        </w:tc>
        <w:tc>
          <w:tcPr>
            <w:tcW w:w="1870" w:type="dxa"/>
            <w:tcBorders>
              <w:left w:val="nil"/>
              <w:right w:val="nil"/>
            </w:tcBorders>
            <w:shd w:val="clear" w:color="auto" w:fill="F2F2F2" w:themeFill="background1" w:themeFillShade="F2"/>
            <w:noWrap/>
            <w:vAlign w:val="center"/>
            <w:hideMark/>
          </w:tcPr>
          <w:p w14:paraId="7D30F41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IC108</w:t>
            </w:r>
          </w:p>
        </w:tc>
        <w:tc>
          <w:tcPr>
            <w:tcW w:w="851" w:type="dxa"/>
            <w:tcBorders>
              <w:left w:val="nil"/>
              <w:right w:val="nil"/>
            </w:tcBorders>
            <w:shd w:val="clear" w:color="auto" w:fill="F2F2F2" w:themeFill="background1" w:themeFillShade="F2"/>
            <w:noWrap/>
            <w:vAlign w:val="center"/>
            <w:hideMark/>
          </w:tcPr>
          <w:p w14:paraId="5A107C6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458267C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4,95</w:t>
            </w:r>
          </w:p>
        </w:tc>
      </w:tr>
      <w:tr w:rsidR="00F10EB1" w:rsidRPr="00F10EB1" w14:paraId="7A368011"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A5BC71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5</w:t>
            </w:r>
          </w:p>
        </w:tc>
        <w:tc>
          <w:tcPr>
            <w:tcW w:w="3538" w:type="dxa"/>
            <w:tcBorders>
              <w:left w:val="nil"/>
              <w:right w:val="nil"/>
            </w:tcBorders>
            <w:shd w:val="clear" w:color="auto" w:fill="F2F2F2" w:themeFill="background1" w:themeFillShade="F2"/>
            <w:noWrap/>
            <w:vAlign w:val="center"/>
            <w:hideMark/>
          </w:tcPr>
          <w:p w14:paraId="4DF15CD3"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Espumante</w:t>
            </w:r>
          </w:p>
        </w:tc>
        <w:tc>
          <w:tcPr>
            <w:tcW w:w="1870" w:type="dxa"/>
            <w:tcBorders>
              <w:left w:val="nil"/>
              <w:right w:val="nil"/>
            </w:tcBorders>
            <w:shd w:val="clear" w:color="auto" w:fill="F2F2F2" w:themeFill="background1" w:themeFillShade="F2"/>
            <w:noWrap/>
            <w:vAlign w:val="center"/>
            <w:hideMark/>
          </w:tcPr>
          <w:p w14:paraId="3F82EF9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ESB1090</w:t>
            </w:r>
          </w:p>
        </w:tc>
        <w:tc>
          <w:tcPr>
            <w:tcW w:w="851" w:type="dxa"/>
            <w:tcBorders>
              <w:left w:val="nil"/>
              <w:right w:val="nil"/>
            </w:tcBorders>
            <w:shd w:val="clear" w:color="auto" w:fill="F2F2F2" w:themeFill="background1" w:themeFillShade="F2"/>
            <w:noWrap/>
            <w:vAlign w:val="center"/>
            <w:hideMark/>
          </w:tcPr>
          <w:p w14:paraId="1D2DF44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070231A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4,12</w:t>
            </w:r>
          </w:p>
        </w:tc>
      </w:tr>
      <w:tr w:rsidR="00F10EB1" w:rsidRPr="00F10EB1" w14:paraId="44DF7795"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7DC0E2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6</w:t>
            </w:r>
          </w:p>
        </w:tc>
        <w:tc>
          <w:tcPr>
            <w:tcW w:w="3538" w:type="dxa"/>
            <w:tcBorders>
              <w:left w:val="nil"/>
              <w:right w:val="nil"/>
            </w:tcBorders>
            <w:shd w:val="clear" w:color="auto" w:fill="F2F2F2" w:themeFill="background1" w:themeFillShade="F2"/>
            <w:noWrap/>
            <w:vAlign w:val="center"/>
            <w:hideMark/>
          </w:tcPr>
          <w:p w14:paraId="7018B3E1"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Antiespumante</w:t>
            </w:r>
          </w:p>
        </w:tc>
        <w:tc>
          <w:tcPr>
            <w:tcW w:w="1870" w:type="dxa"/>
            <w:tcBorders>
              <w:left w:val="nil"/>
              <w:right w:val="nil"/>
            </w:tcBorders>
            <w:shd w:val="clear" w:color="auto" w:fill="F2F2F2" w:themeFill="background1" w:themeFillShade="F2"/>
            <w:noWrap/>
            <w:vAlign w:val="center"/>
            <w:hideMark/>
          </w:tcPr>
          <w:p w14:paraId="7EB9AF4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ABC15</w:t>
            </w:r>
          </w:p>
        </w:tc>
        <w:tc>
          <w:tcPr>
            <w:tcW w:w="851" w:type="dxa"/>
            <w:tcBorders>
              <w:left w:val="nil"/>
              <w:right w:val="nil"/>
            </w:tcBorders>
            <w:shd w:val="clear" w:color="auto" w:fill="F2F2F2" w:themeFill="background1" w:themeFillShade="F2"/>
            <w:noWrap/>
            <w:vAlign w:val="center"/>
            <w:hideMark/>
          </w:tcPr>
          <w:p w14:paraId="3486306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1AFBB1C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3,67</w:t>
            </w:r>
          </w:p>
        </w:tc>
      </w:tr>
      <w:tr w:rsidR="00F10EB1" w:rsidRPr="00F10EB1" w14:paraId="1FA23183"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4BFB5EA1"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w:t>
            </w:r>
          </w:p>
        </w:tc>
        <w:tc>
          <w:tcPr>
            <w:tcW w:w="3538" w:type="dxa"/>
            <w:tcBorders>
              <w:left w:val="nil"/>
              <w:right w:val="nil"/>
            </w:tcBorders>
            <w:shd w:val="clear" w:color="auto" w:fill="F2F2F2" w:themeFill="background1" w:themeFillShade="F2"/>
            <w:noWrap/>
            <w:vAlign w:val="center"/>
            <w:hideMark/>
          </w:tcPr>
          <w:p w14:paraId="056A159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Hidratos Cinético</w:t>
            </w:r>
          </w:p>
        </w:tc>
        <w:tc>
          <w:tcPr>
            <w:tcW w:w="1870" w:type="dxa"/>
            <w:tcBorders>
              <w:left w:val="nil"/>
              <w:right w:val="nil"/>
            </w:tcBorders>
            <w:shd w:val="clear" w:color="auto" w:fill="F2F2F2" w:themeFill="background1" w:themeFillShade="F2"/>
            <w:noWrap/>
            <w:vAlign w:val="center"/>
            <w:hideMark/>
          </w:tcPr>
          <w:p w14:paraId="51CBFAA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BHI30</w:t>
            </w:r>
          </w:p>
        </w:tc>
        <w:tc>
          <w:tcPr>
            <w:tcW w:w="851" w:type="dxa"/>
            <w:tcBorders>
              <w:left w:val="nil"/>
              <w:right w:val="nil"/>
            </w:tcBorders>
            <w:shd w:val="clear" w:color="auto" w:fill="F2F2F2" w:themeFill="background1" w:themeFillShade="F2"/>
            <w:noWrap/>
            <w:vAlign w:val="center"/>
            <w:hideMark/>
          </w:tcPr>
          <w:p w14:paraId="195CCC7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181CB03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2,84</w:t>
            </w:r>
          </w:p>
        </w:tc>
      </w:tr>
      <w:tr w:rsidR="00F10EB1" w:rsidRPr="00F10EB1" w14:paraId="2A0B916A"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2C52332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8</w:t>
            </w:r>
          </w:p>
        </w:tc>
        <w:tc>
          <w:tcPr>
            <w:tcW w:w="3538" w:type="dxa"/>
            <w:tcBorders>
              <w:left w:val="nil"/>
              <w:right w:val="nil"/>
            </w:tcBorders>
            <w:shd w:val="clear" w:color="auto" w:fill="F2F2F2" w:themeFill="background1" w:themeFillShade="F2"/>
            <w:noWrap/>
            <w:vAlign w:val="center"/>
            <w:hideMark/>
          </w:tcPr>
          <w:p w14:paraId="68811A5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Biocida</w:t>
            </w:r>
          </w:p>
        </w:tc>
        <w:tc>
          <w:tcPr>
            <w:tcW w:w="1870" w:type="dxa"/>
            <w:tcBorders>
              <w:left w:val="nil"/>
              <w:right w:val="nil"/>
            </w:tcBorders>
            <w:shd w:val="clear" w:color="auto" w:fill="F2F2F2" w:themeFill="background1" w:themeFillShade="F2"/>
            <w:noWrap/>
            <w:vAlign w:val="center"/>
            <w:hideMark/>
          </w:tcPr>
          <w:p w14:paraId="3BDD284B"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BX989</w:t>
            </w:r>
          </w:p>
        </w:tc>
        <w:tc>
          <w:tcPr>
            <w:tcW w:w="851" w:type="dxa"/>
            <w:tcBorders>
              <w:left w:val="nil"/>
              <w:right w:val="nil"/>
            </w:tcBorders>
            <w:shd w:val="clear" w:color="auto" w:fill="F2F2F2" w:themeFill="background1" w:themeFillShade="F2"/>
            <w:noWrap/>
            <w:vAlign w:val="center"/>
            <w:hideMark/>
          </w:tcPr>
          <w:p w14:paraId="2E5F9C2A"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24F6C5B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6,55</w:t>
            </w:r>
          </w:p>
        </w:tc>
      </w:tr>
      <w:tr w:rsidR="00F10EB1" w:rsidRPr="00F10EB1" w14:paraId="772DC908"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8D64F2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9</w:t>
            </w:r>
          </w:p>
        </w:tc>
        <w:tc>
          <w:tcPr>
            <w:tcW w:w="3538" w:type="dxa"/>
            <w:tcBorders>
              <w:left w:val="nil"/>
              <w:right w:val="nil"/>
            </w:tcBorders>
            <w:shd w:val="clear" w:color="auto" w:fill="F2F2F2" w:themeFill="background1" w:themeFillShade="F2"/>
            <w:noWrap/>
            <w:vAlign w:val="center"/>
            <w:hideMark/>
          </w:tcPr>
          <w:p w14:paraId="70A63A4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Biocida</w:t>
            </w:r>
          </w:p>
        </w:tc>
        <w:tc>
          <w:tcPr>
            <w:tcW w:w="1870" w:type="dxa"/>
            <w:tcBorders>
              <w:left w:val="nil"/>
              <w:right w:val="nil"/>
            </w:tcBorders>
            <w:shd w:val="clear" w:color="auto" w:fill="F2F2F2" w:themeFill="background1" w:themeFillShade="F2"/>
            <w:noWrap/>
            <w:vAlign w:val="center"/>
            <w:hideMark/>
          </w:tcPr>
          <w:p w14:paraId="3416330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BX936</w:t>
            </w:r>
          </w:p>
        </w:tc>
        <w:tc>
          <w:tcPr>
            <w:tcW w:w="851" w:type="dxa"/>
            <w:tcBorders>
              <w:left w:val="nil"/>
              <w:right w:val="nil"/>
            </w:tcBorders>
            <w:shd w:val="clear" w:color="auto" w:fill="F2F2F2" w:themeFill="background1" w:themeFillShade="F2"/>
            <w:noWrap/>
            <w:vAlign w:val="center"/>
            <w:hideMark/>
          </w:tcPr>
          <w:p w14:paraId="52B02B72"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4B7F8C1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8,68</w:t>
            </w:r>
          </w:p>
        </w:tc>
      </w:tr>
      <w:tr w:rsidR="00F10EB1" w:rsidRPr="00F10EB1" w14:paraId="710650F7"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32863C1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10</w:t>
            </w:r>
          </w:p>
        </w:tc>
        <w:tc>
          <w:tcPr>
            <w:tcW w:w="3538" w:type="dxa"/>
            <w:tcBorders>
              <w:left w:val="nil"/>
              <w:right w:val="nil"/>
            </w:tcBorders>
            <w:shd w:val="clear" w:color="auto" w:fill="F2F2F2" w:themeFill="background1" w:themeFillShade="F2"/>
            <w:noWrap/>
            <w:vAlign w:val="center"/>
            <w:hideMark/>
          </w:tcPr>
          <w:p w14:paraId="62BBB4FD"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Inhibidor de corrosión</w:t>
            </w:r>
          </w:p>
        </w:tc>
        <w:tc>
          <w:tcPr>
            <w:tcW w:w="1870" w:type="dxa"/>
            <w:tcBorders>
              <w:left w:val="nil"/>
              <w:right w:val="nil"/>
            </w:tcBorders>
            <w:shd w:val="clear" w:color="auto" w:fill="F2F2F2" w:themeFill="background1" w:themeFillShade="F2"/>
            <w:noWrap/>
            <w:vAlign w:val="center"/>
            <w:hideMark/>
          </w:tcPr>
          <w:p w14:paraId="561B331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CY802</w:t>
            </w:r>
          </w:p>
        </w:tc>
        <w:tc>
          <w:tcPr>
            <w:tcW w:w="851" w:type="dxa"/>
            <w:tcBorders>
              <w:left w:val="nil"/>
              <w:right w:val="nil"/>
            </w:tcBorders>
            <w:shd w:val="clear" w:color="auto" w:fill="F2F2F2" w:themeFill="background1" w:themeFillShade="F2"/>
            <w:noWrap/>
            <w:vAlign w:val="center"/>
            <w:hideMark/>
          </w:tcPr>
          <w:p w14:paraId="6C82CEE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7147F81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3,62</w:t>
            </w:r>
          </w:p>
        </w:tc>
      </w:tr>
      <w:tr w:rsidR="00F10EB1" w:rsidRPr="00F10EB1" w14:paraId="70744744"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1A5D0B3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11</w:t>
            </w:r>
          </w:p>
        </w:tc>
        <w:tc>
          <w:tcPr>
            <w:tcW w:w="3538" w:type="dxa"/>
            <w:tcBorders>
              <w:left w:val="nil"/>
              <w:right w:val="nil"/>
            </w:tcBorders>
            <w:shd w:val="clear" w:color="auto" w:fill="F2F2F2" w:themeFill="background1" w:themeFillShade="F2"/>
            <w:noWrap/>
            <w:vAlign w:val="center"/>
            <w:hideMark/>
          </w:tcPr>
          <w:p w14:paraId="7E851892"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Secuestrante de SH2</w:t>
            </w:r>
          </w:p>
        </w:tc>
        <w:tc>
          <w:tcPr>
            <w:tcW w:w="1870" w:type="dxa"/>
            <w:tcBorders>
              <w:left w:val="nil"/>
              <w:right w:val="nil"/>
            </w:tcBorders>
            <w:shd w:val="clear" w:color="auto" w:fill="F2F2F2" w:themeFill="background1" w:themeFillShade="F2"/>
            <w:noWrap/>
            <w:vAlign w:val="center"/>
            <w:hideMark/>
          </w:tcPr>
          <w:p w14:paraId="530C8B14"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BSH507</w:t>
            </w:r>
          </w:p>
        </w:tc>
        <w:tc>
          <w:tcPr>
            <w:tcW w:w="851" w:type="dxa"/>
            <w:tcBorders>
              <w:left w:val="nil"/>
              <w:right w:val="nil"/>
            </w:tcBorders>
            <w:shd w:val="clear" w:color="auto" w:fill="F2F2F2" w:themeFill="background1" w:themeFillShade="F2"/>
            <w:noWrap/>
            <w:vAlign w:val="center"/>
            <w:hideMark/>
          </w:tcPr>
          <w:p w14:paraId="234069CA"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792736F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3,52</w:t>
            </w:r>
          </w:p>
        </w:tc>
      </w:tr>
      <w:tr w:rsidR="00F10EB1" w:rsidRPr="00F10EB1" w14:paraId="10A0241F"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37DEFC0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12</w:t>
            </w:r>
          </w:p>
        </w:tc>
        <w:tc>
          <w:tcPr>
            <w:tcW w:w="3538" w:type="dxa"/>
            <w:tcBorders>
              <w:left w:val="nil"/>
              <w:right w:val="nil"/>
            </w:tcBorders>
            <w:shd w:val="clear" w:color="auto" w:fill="F2F2F2" w:themeFill="background1" w:themeFillShade="F2"/>
            <w:noWrap/>
            <w:vAlign w:val="center"/>
            <w:hideMark/>
          </w:tcPr>
          <w:p w14:paraId="007884C6"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Reductor de fricción</w:t>
            </w:r>
          </w:p>
        </w:tc>
        <w:tc>
          <w:tcPr>
            <w:tcW w:w="1870" w:type="dxa"/>
            <w:tcBorders>
              <w:left w:val="nil"/>
              <w:right w:val="nil"/>
            </w:tcBorders>
            <w:shd w:val="clear" w:color="auto" w:fill="F2F2F2" w:themeFill="background1" w:themeFillShade="F2"/>
            <w:noWrap/>
            <w:vAlign w:val="center"/>
            <w:hideMark/>
          </w:tcPr>
          <w:p w14:paraId="2A8A51A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RFB671</w:t>
            </w:r>
          </w:p>
        </w:tc>
        <w:tc>
          <w:tcPr>
            <w:tcW w:w="851" w:type="dxa"/>
            <w:tcBorders>
              <w:left w:val="nil"/>
              <w:right w:val="nil"/>
            </w:tcBorders>
            <w:shd w:val="clear" w:color="auto" w:fill="F2F2F2" w:themeFill="background1" w:themeFillShade="F2"/>
            <w:noWrap/>
            <w:vAlign w:val="center"/>
            <w:hideMark/>
          </w:tcPr>
          <w:p w14:paraId="176C716E"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3648598C"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3,60</w:t>
            </w:r>
          </w:p>
        </w:tc>
      </w:tr>
      <w:tr w:rsidR="00F10EB1" w:rsidRPr="00F10EB1" w14:paraId="0E00C0AD"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6A96635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13</w:t>
            </w:r>
          </w:p>
        </w:tc>
        <w:tc>
          <w:tcPr>
            <w:tcW w:w="3538" w:type="dxa"/>
            <w:tcBorders>
              <w:left w:val="nil"/>
              <w:right w:val="nil"/>
            </w:tcBorders>
            <w:shd w:val="clear" w:color="auto" w:fill="F2F2F2" w:themeFill="background1" w:themeFillShade="F2"/>
            <w:noWrap/>
            <w:vAlign w:val="center"/>
            <w:hideMark/>
          </w:tcPr>
          <w:p w14:paraId="266F108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Floculante</w:t>
            </w:r>
          </w:p>
        </w:tc>
        <w:tc>
          <w:tcPr>
            <w:tcW w:w="1870" w:type="dxa"/>
            <w:tcBorders>
              <w:left w:val="nil"/>
              <w:right w:val="nil"/>
            </w:tcBorders>
            <w:shd w:val="clear" w:color="auto" w:fill="F2F2F2" w:themeFill="background1" w:themeFillShade="F2"/>
            <w:noWrap/>
            <w:vAlign w:val="center"/>
            <w:hideMark/>
          </w:tcPr>
          <w:p w14:paraId="0DD8C1F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FBS1401</w:t>
            </w:r>
          </w:p>
        </w:tc>
        <w:tc>
          <w:tcPr>
            <w:tcW w:w="851" w:type="dxa"/>
            <w:tcBorders>
              <w:left w:val="nil"/>
              <w:right w:val="nil"/>
            </w:tcBorders>
            <w:shd w:val="clear" w:color="auto" w:fill="F2F2F2" w:themeFill="background1" w:themeFillShade="F2"/>
            <w:noWrap/>
            <w:vAlign w:val="center"/>
            <w:hideMark/>
          </w:tcPr>
          <w:p w14:paraId="4F94D9F2"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1C79F6E0"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7,12</w:t>
            </w:r>
          </w:p>
        </w:tc>
      </w:tr>
      <w:tr w:rsidR="00F10EB1" w:rsidRPr="00F10EB1" w14:paraId="3D72091F" w14:textId="77777777" w:rsidTr="00B01972">
        <w:trPr>
          <w:trHeight w:val="454"/>
          <w:jc w:val="center"/>
        </w:trPr>
        <w:tc>
          <w:tcPr>
            <w:tcW w:w="710" w:type="dxa"/>
            <w:tcBorders>
              <w:left w:val="nil"/>
              <w:right w:val="nil"/>
            </w:tcBorders>
            <w:shd w:val="clear" w:color="auto" w:fill="F2F2F2" w:themeFill="background1" w:themeFillShade="F2"/>
            <w:noWrap/>
            <w:vAlign w:val="center"/>
            <w:hideMark/>
          </w:tcPr>
          <w:p w14:paraId="4DEC6365"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14</w:t>
            </w:r>
          </w:p>
        </w:tc>
        <w:tc>
          <w:tcPr>
            <w:tcW w:w="3538" w:type="dxa"/>
            <w:tcBorders>
              <w:left w:val="nil"/>
              <w:right w:val="nil"/>
            </w:tcBorders>
            <w:shd w:val="clear" w:color="auto" w:fill="F2F2F2" w:themeFill="background1" w:themeFillShade="F2"/>
            <w:noWrap/>
            <w:vAlign w:val="center"/>
            <w:hideMark/>
          </w:tcPr>
          <w:p w14:paraId="00ADFC8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Clarificante</w:t>
            </w:r>
          </w:p>
        </w:tc>
        <w:tc>
          <w:tcPr>
            <w:tcW w:w="1870" w:type="dxa"/>
            <w:tcBorders>
              <w:left w:val="nil"/>
              <w:right w:val="nil"/>
            </w:tcBorders>
            <w:shd w:val="clear" w:color="auto" w:fill="F2F2F2" w:themeFill="background1" w:themeFillShade="F2"/>
            <w:noWrap/>
            <w:vAlign w:val="center"/>
            <w:hideMark/>
          </w:tcPr>
          <w:p w14:paraId="2DBD6A8F"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FBS2000</w:t>
            </w:r>
          </w:p>
        </w:tc>
        <w:tc>
          <w:tcPr>
            <w:tcW w:w="851" w:type="dxa"/>
            <w:tcBorders>
              <w:left w:val="nil"/>
              <w:right w:val="nil"/>
            </w:tcBorders>
            <w:shd w:val="clear" w:color="auto" w:fill="F2F2F2" w:themeFill="background1" w:themeFillShade="F2"/>
            <w:noWrap/>
            <w:vAlign w:val="center"/>
            <w:hideMark/>
          </w:tcPr>
          <w:p w14:paraId="56ADCD89"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Litro</w:t>
            </w:r>
          </w:p>
        </w:tc>
        <w:tc>
          <w:tcPr>
            <w:tcW w:w="1701" w:type="dxa"/>
            <w:tcBorders>
              <w:left w:val="nil"/>
              <w:right w:val="nil"/>
            </w:tcBorders>
            <w:shd w:val="clear" w:color="auto" w:fill="F2F2F2" w:themeFill="background1" w:themeFillShade="F2"/>
            <w:noWrap/>
            <w:vAlign w:val="center"/>
            <w:hideMark/>
          </w:tcPr>
          <w:p w14:paraId="64B2E117" w14:textId="77777777" w:rsidR="00F10EB1" w:rsidRPr="00F10EB1" w:rsidRDefault="00F10EB1" w:rsidP="00B01972">
            <w:pPr>
              <w:jc w:val="center"/>
              <w:rPr>
                <w:rFonts w:cs="Arial"/>
                <w:color w:val="000000"/>
                <w:szCs w:val="24"/>
                <w:lang w:val="es-AR" w:eastAsia="es-AR"/>
              </w:rPr>
            </w:pPr>
            <w:r w:rsidRPr="00F10EB1">
              <w:rPr>
                <w:rFonts w:cs="Arial"/>
                <w:color w:val="000000"/>
                <w:szCs w:val="24"/>
                <w:lang w:val="es-AR" w:eastAsia="es-AR"/>
              </w:rPr>
              <w:t>2,45</w:t>
            </w:r>
          </w:p>
        </w:tc>
      </w:tr>
    </w:tbl>
    <w:p w14:paraId="300AB980" w14:textId="77777777" w:rsidR="002C3064" w:rsidRDefault="002C3064" w:rsidP="002C3064">
      <w:pPr>
        <w:autoSpaceDE w:val="0"/>
        <w:autoSpaceDN w:val="0"/>
        <w:adjustRightInd w:val="0"/>
        <w:jc w:val="both"/>
        <w:rPr>
          <w:b/>
          <w:bCs/>
          <w:sz w:val="22"/>
          <w:lang w:val="es-ES_tradnl"/>
        </w:rPr>
      </w:pPr>
    </w:p>
    <w:p w14:paraId="267B40CA" w14:textId="29C5B97C" w:rsidR="00BA3A7C" w:rsidRDefault="00BA3A7C">
      <w:pPr>
        <w:rPr>
          <w:sz w:val="22"/>
          <w:lang w:val="es-ES_tradnl"/>
        </w:rPr>
      </w:pPr>
      <w:r>
        <w:rPr>
          <w:sz w:val="22"/>
          <w:lang w:val="es-ES_tradnl"/>
        </w:rPr>
        <w:br w:type="page"/>
      </w:r>
    </w:p>
    <w:p w14:paraId="0CACDE08" w14:textId="737B2D52" w:rsidR="007E1A2E" w:rsidRPr="002F559F" w:rsidRDefault="007E1A2E" w:rsidP="007E1A2E">
      <w:pPr>
        <w:pStyle w:val="Prrafodelista"/>
        <w:numPr>
          <w:ilvl w:val="0"/>
          <w:numId w:val="24"/>
        </w:numPr>
        <w:suppressAutoHyphens/>
        <w:spacing w:after="120"/>
        <w:ind w:left="426" w:hanging="426"/>
        <w:jc w:val="both"/>
        <w:rPr>
          <w:rFonts w:cs="Arial"/>
          <w:b/>
          <w:bCs/>
          <w:sz w:val="22"/>
          <w:lang w:val="es-AR"/>
        </w:rPr>
      </w:pPr>
      <w:r>
        <w:rPr>
          <w:rFonts w:cs="Arial"/>
          <w:b/>
          <w:sz w:val="22"/>
          <w:lang w:val="es-AR"/>
        </w:rPr>
        <w:lastRenderedPageBreak/>
        <w:t>MONITOREO DE PRECIOS</w:t>
      </w:r>
      <w:r w:rsidR="00525035">
        <w:rPr>
          <w:rFonts w:cs="Arial"/>
          <w:b/>
          <w:sz w:val="22"/>
          <w:lang w:val="es-AR"/>
        </w:rPr>
        <w:t xml:space="preserve"> Y AJUSTE DE TARIFAS</w:t>
      </w:r>
    </w:p>
    <w:p w14:paraId="5ECE8749" w14:textId="77777777" w:rsidR="007E1A2E" w:rsidRPr="002F559F" w:rsidRDefault="007E1A2E" w:rsidP="007A606D">
      <w:pPr>
        <w:pStyle w:val="Prrafodelista"/>
        <w:suppressAutoHyphens/>
        <w:spacing w:line="276" w:lineRule="auto"/>
        <w:ind w:left="426"/>
        <w:jc w:val="both"/>
        <w:rPr>
          <w:rFonts w:cs="Arial"/>
          <w:b/>
          <w:bCs/>
          <w:sz w:val="22"/>
          <w:lang w:val="es-AR"/>
        </w:rPr>
      </w:pPr>
    </w:p>
    <w:p w14:paraId="3428E612" w14:textId="36BDD574" w:rsidR="007E1A2E" w:rsidRPr="00AF2E72" w:rsidRDefault="003A664E" w:rsidP="007A606D">
      <w:pPr>
        <w:spacing w:line="276" w:lineRule="auto"/>
        <w:jc w:val="both"/>
        <w:rPr>
          <w:sz w:val="22"/>
          <w:szCs w:val="22"/>
          <w:lang w:val="es-AR"/>
        </w:rPr>
      </w:pPr>
      <w:r w:rsidRPr="00AF2E72">
        <w:rPr>
          <w:sz w:val="22"/>
          <w:szCs w:val="22"/>
          <w:lang w:val="es-AR"/>
        </w:rPr>
        <w:t>El</w:t>
      </w:r>
      <w:r w:rsidR="00525035" w:rsidRPr="00AF2E72">
        <w:rPr>
          <w:sz w:val="22"/>
          <w:szCs w:val="22"/>
          <w:lang w:val="es-AR"/>
        </w:rPr>
        <w:t xml:space="preserve"> monitoreo de precios y ajuste de tarifas </w:t>
      </w:r>
      <w:r w:rsidRPr="00AF2E72">
        <w:rPr>
          <w:sz w:val="22"/>
          <w:szCs w:val="22"/>
          <w:lang w:val="es-AR"/>
        </w:rPr>
        <w:t xml:space="preserve">se realizará </w:t>
      </w:r>
      <w:r w:rsidR="00525035" w:rsidRPr="00AF2E72">
        <w:rPr>
          <w:sz w:val="22"/>
          <w:szCs w:val="22"/>
          <w:lang w:val="es-AR"/>
        </w:rPr>
        <w:t>de acuerdo con la siguiente f</w:t>
      </w:r>
      <w:r w:rsidRPr="00AF2E72">
        <w:rPr>
          <w:sz w:val="22"/>
          <w:szCs w:val="22"/>
          <w:lang w:val="es-AR"/>
        </w:rPr>
        <w:t>ó</w:t>
      </w:r>
      <w:r w:rsidR="00525035" w:rsidRPr="00AF2E72">
        <w:rPr>
          <w:sz w:val="22"/>
          <w:szCs w:val="22"/>
          <w:lang w:val="es-AR"/>
        </w:rPr>
        <w:t>rmula polinómica:</w:t>
      </w:r>
    </w:p>
    <w:p w14:paraId="200EFF42" w14:textId="77777777" w:rsidR="007E1A2E" w:rsidRDefault="007E1A2E" w:rsidP="007A606D">
      <w:pPr>
        <w:spacing w:line="276" w:lineRule="auto"/>
        <w:rPr>
          <w:lang w:val="es-AR"/>
        </w:rPr>
      </w:pPr>
    </w:p>
    <w:p w14:paraId="4433DCAA" w14:textId="669918B2" w:rsidR="007E1A2E" w:rsidRDefault="009B7BF2" w:rsidP="007A606D">
      <w:pPr>
        <w:spacing w:line="276" w:lineRule="auto"/>
        <w:jc w:val="center"/>
        <w:rPr>
          <w:sz w:val="22"/>
          <w:lang w:val="es-AR"/>
        </w:rPr>
      </w:pPr>
      <w:r>
        <w:rPr>
          <w:noProof/>
          <w:sz w:val="22"/>
          <w:lang w:val="es-AR"/>
        </w:rPr>
        <w:drawing>
          <wp:inline distT="0" distB="0" distL="0" distR="0" wp14:anchorId="4C56FC5B" wp14:editId="5EC0EA8B">
            <wp:extent cx="5721350" cy="304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1" r="12778" b="-2128"/>
                    <a:stretch/>
                  </pic:blipFill>
                  <pic:spPr bwMode="auto">
                    <a:xfrm>
                      <a:off x="0" y="0"/>
                      <a:ext cx="5721350" cy="304800"/>
                    </a:xfrm>
                    <a:prstGeom prst="rect">
                      <a:avLst/>
                    </a:prstGeom>
                    <a:noFill/>
                    <a:ln>
                      <a:noFill/>
                    </a:ln>
                    <a:extLst>
                      <a:ext uri="{53640926-AAD7-44D8-BBD7-CCE9431645EC}">
                        <a14:shadowObscured xmlns:a14="http://schemas.microsoft.com/office/drawing/2010/main"/>
                      </a:ext>
                    </a:extLst>
                  </pic:spPr>
                </pic:pic>
              </a:graphicData>
            </a:graphic>
          </wp:inline>
        </w:drawing>
      </w:r>
    </w:p>
    <w:p w14:paraId="76F73CBF" w14:textId="77777777" w:rsidR="006B20C7" w:rsidRDefault="006B20C7" w:rsidP="007A606D">
      <w:pPr>
        <w:spacing w:line="276" w:lineRule="auto"/>
        <w:jc w:val="center"/>
        <w:rPr>
          <w:sz w:val="22"/>
          <w:lang w:val="es-AR"/>
        </w:rPr>
      </w:pPr>
    </w:p>
    <w:p w14:paraId="30A93506" w14:textId="77777777" w:rsidR="006B20C7" w:rsidRDefault="006B20C7" w:rsidP="007A606D">
      <w:pPr>
        <w:spacing w:line="276" w:lineRule="auto"/>
        <w:jc w:val="center"/>
        <w:rPr>
          <w:sz w:val="22"/>
          <w:lang w:val="es-AR"/>
        </w:rPr>
      </w:pPr>
    </w:p>
    <w:tbl>
      <w:tblPr>
        <w:tblW w:w="4168" w:type="pct"/>
        <w:jc w:val="center"/>
        <w:tblCellMar>
          <w:left w:w="70" w:type="dxa"/>
          <w:right w:w="70" w:type="dxa"/>
        </w:tblCellMar>
        <w:tblLook w:val="04A0" w:firstRow="1" w:lastRow="0" w:firstColumn="1" w:lastColumn="0" w:noHBand="0" w:noVBand="1"/>
      </w:tblPr>
      <w:tblGrid>
        <w:gridCol w:w="1486"/>
        <w:gridCol w:w="3335"/>
        <w:gridCol w:w="1551"/>
        <w:gridCol w:w="1663"/>
      </w:tblGrid>
      <w:tr w:rsidR="00030F6E" w:rsidRPr="006B0C6B" w14:paraId="4D890E64" w14:textId="328E81B3" w:rsidTr="00030F6E">
        <w:trPr>
          <w:trHeight w:val="666"/>
          <w:tblHeader/>
          <w:jc w:val="center"/>
        </w:trPr>
        <w:tc>
          <w:tcPr>
            <w:tcW w:w="925" w:type="pct"/>
            <w:shd w:val="clear" w:color="000000" w:fill="0D0D0D" w:themeFill="text1" w:themeFillTint="F2"/>
            <w:vAlign w:val="center"/>
            <w:hideMark/>
          </w:tcPr>
          <w:p w14:paraId="1480EC6E"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Índice en formula</w:t>
            </w:r>
          </w:p>
        </w:tc>
        <w:tc>
          <w:tcPr>
            <w:tcW w:w="2075" w:type="pct"/>
            <w:shd w:val="clear" w:color="000000" w:fill="0D0D0D" w:themeFill="text1" w:themeFillTint="F2"/>
            <w:vAlign w:val="center"/>
            <w:hideMark/>
          </w:tcPr>
          <w:p w14:paraId="30FB06A3"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Fuente de datos</w:t>
            </w:r>
          </w:p>
        </w:tc>
        <w:tc>
          <w:tcPr>
            <w:tcW w:w="965" w:type="pct"/>
            <w:shd w:val="clear" w:color="000000" w:fill="0D0D0D" w:themeFill="text1" w:themeFillTint="F2"/>
            <w:vAlign w:val="center"/>
            <w:hideMark/>
          </w:tcPr>
          <w:p w14:paraId="293A6A6A"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Mes base</w:t>
            </w:r>
          </w:p>
        </w:tc>
        <w:tc>
          <w:tcPr>
            <w:tcW w:w="1035" w:type="pct"/>
            <w:shd w:val="clear" w:color="000000" w:fill="0D0D0D" w:themeFill="text1" w:themeFillTint="F2"/>
            <w:noWrap/>
            <w:vAlign w:val="center"/>
            <w:hideMark/>
          </w:tcPr>
          <w:p w14:paraId="41113E1F" w14:textId="77777777" w:rsidR="00030F6E" w:rsidRPr="006B0C6B" w:rsidRDefault="00030F6E" w:rsidP="003E057B">
            <w:pPr>
              <w:jc w:val="center"/>
              <w:rPr>
                <w:rFonts w:cs="Arial"/>
                <w:color w:val="FFFFFF"/>
                <w:sz w:val="20"/>
                <w:lang w:val="es-AR" w:eastAsia="es-AR"/>
              </w:rPr>
            </w:pPr>
            <w:r w:rsidRPr="006B0C6B">
              <w:rPr>
                <w:rFonts w:cs="Arial"/>
                <w:color w:val="FFFFFF"/>
                <w:sz w:val="20"/>
                <w:lang w:val="es-AR" w:eastAsia="es-AR"/>
              </w:rPr>
              <w:t>Incidencia</w:t>
            </w:r>
          </w:p>
        </w:tc>
      </w:tr>
      <w:tr w:rsidR="00030F6E" w:rsidRPr="006B0C6B" w14:paraId="1C63702C" w14:textId="5D4A1B4C" w:rsidTr="00030F6E">
        <w:trPr>
          <w:trHeight w:val="839"/>
          <w:jc w:val="center"/>
        </w:trPr>
        <w:tc>
          <w:tcPr>
            <w:tcW w:w="925" w:type="pct"/>
            <w:shd w:val="clear" w:color="auto" w:fill="auto"/>
            <w:vAlign w:val="center"/>
            <w:hideMark/>
          </w:tcPr>
          <w:p w14:paraId="0EEB9AD0" w14:textId="3C7ABDE1" w:rsidR="00030F6E" w:rsidRPr="006B0C6B" w:rsidRDefault="00030F6E" w:rsidP="003E057B">
            <w:pPr>
              <w:jc w:val="center"/>
              <w:rPr>
                <w:rFonts w:cs="Arial"/>
                <w:b/>
                <w:bCs/>
                <w:sz w:val="20"/>
                <w:lang w:val="es-AR" w:eastAsia="es-AR"/>
              </w:rPr>
            </w:pPr>
            <w:r w:rsidRPr="006B0C6B">
              <w:rPr>
                <w:rFonts w:cs="Arial"/>
                <w:b/>
                <w:bCs/>
                <w:sz w:val="20"/>
                <w:lang w:val="es-AR" w:eastAsia="es-AR"/>
              </w:rPr>
              <w:t>WPU06</w:t>
            </w:r>
          </w:p>
        </w:tc>
        <w:tc>
          <w:tcPr>
            <w:tcW w:w="2075" w:type="pct"/>
            <w:shd w:val="clear" w:color="auto" w:fill="auto"/>
            <w:vAlign w:val="center"/>
            <w:hideMark/>
          </w:tcPr>
          <w:p w14:paraId="7F9ECAE4" w14:textId="2D027927" w:rsidR="00030F6E" w:rsidRPr="00983FDF" w:rsidRDefault="00030F6E" w:rsidP="003E057B">
            <w:pPr>
              <w:jc w:val="center"/>
              <w:rPr>
                <w:rFonts w:cs="Arial"/>
                <w:sz w:val="20"/>
                <w:lang w:val="en-US" w:eastAsia="es-AR"/>
              </w:rPr>
            </w:pPr>
            <w:r w:rsidRPr="00983FDF">
              <w:rPr>
                <w:rFonts w:cs="Arial"/>
                <w:sz w:val="20"/>
                <w:lang w:val="en-US" w:eastAsia="es-AR"/>
              </w:rPr>
              <w:t>Producer Price Index by Commodity: Chemicals and Allied Products</w:t>
            </w:r>
          </w:p>
        </w:tc>
        <w:tc>
          <w:tcPr>
            <w:tcW w:w="965" w:type="pct"/>
            <w:shd w:val="clear" w:color="auto" w:fill="auto"/>
            <w:vAlign w:val="center"/>
            <w:hideMark/>
          </w:tcPr>
          <w:p w14:paraId="09DA88EA" w14:textId="7A67B3B5"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hideMark/>
          </w:tcPr>
          <w:p w14:paraId="1FC324B1" w14:textId="6C260856" w:rsidR="00030F6E" w:rsidRPr="006B0C6B" w:rsidRDefault="005B1D34" w:rsidP="003E057B">
            <w:pPr>
              <w:jc w:val="center"/>
              <w:rPr>
                <w:rFonts w:cs="Arial"/>
                <w:color w:val="000000"/>
                <w:sz w:val="20"/>
                <w:lang w:val="es-AR" w:eastAsia="es-AR"/>
              </w:rPr>
            </w:pPr>
            <w:r>
              <w:rPr>
                <w:rFonts w:cs="Arial"/>
                <w:color w:val="000000"/>
                <w:sz w:val="20"/>
                <w:lang w:val="es-AR" w:eastAsia="es-AR"/>
              </w:rPr>
              <w:t>6</w:t>
            </w:r>
            <w:r w:rsidR="00507419">
              <w:rPr>
                <w:rFonts w:cs="Arial"/>
                <w:color w:val="000000"/>
                <w:sz w:val="20"/>
                <w:lang w:val="es-AR" w:eastAsia="es-AR"/>
              </w:rPr>
              <w:t>5</w:t>
            </w:r>
            <w:r w:rsidR="00030F6E" w:rsidRPr="006B0C6B">
              <w:rPr>
                <w:rFonts w:cs="Arial"/>
                <w:color w:val="000000"/>
                <w:sz w:val="20"/>
                <w:lang w:val="es-AR" w:eastAsia="es-AR"/>
              </w:rPr>
              <w:t>%</w:t>
            </w:r>
          </w:p>
        </w:tc>
      </w:tr>
      <w:tr w:rsidR="00030F6E" w:rsidRPr="006B0C6B" w14:paraId="4605104B" w14:textId="25A56EA0" w:rsidTr="00030F6E">
        <w:trPr>
          <w:trHeight w:val="839"/>
          <w:jc w:val="center"/>
        </w:trPr>
        <w:tc>
          <w:tcPr>
            <w:tcW w:w="925" w:type="pct"/>
            <w:shd w:val="clear" w:color="auto" w:fill="auto"/>
            <w:vAlign w:val="center"/>
            <w:hideMark/>
          </w:tcPr>
          <w:p w14:paraId="2DD3019B" w14:textId="77777777" w:rsidR="00030F6E" w:rsidRPr="006B0C6B" w:rsidRDefault="00030F6E" w:rsidP="003E057B">
            <w:pPr>
              <w:jc w:val="center"/>
              <w:rPr>
                <w:rFonts w:cs="Arial"/>
                <w:b/>
                <w:bCs/>
                <w:sz w:val="20"/>
                <w:lang w:val="es-AR" w:eastAsia="es-AR"/>
              </w:rPr>
            </w:pPr>
            <w:r w:rsidRPr="006B0C6B">
              <w:rPr>
                <w:rFonts w:cs="Arial"/>
                <w:b/>
                <w:bCs/>
                <w:sz w:val="20"/>
                <w:lang w:val="es-AR" w:eastAsia="es-AR"/>
              </w:rPr>
              <w:t>GO</w:t>
            </w:r>
          </w:p>
        </w:tc>
        <w:tc>
          <w:tcPr>
            <w:tcW w:w="2075" w:type="pct"/>
            <w:shd w:val="clear" w:color="auto" w:fill="auto"/>
            <w:vAlign w:val="center"/>
            <w:hideMark/>
          </w:tcPr>
          <w:p w14:paraId="12F164F0" w14:textId="2B950501" w:rsidR="00030F6E" w:rsidRPr="006B0C6B" w:rsidRDefault="00030F6E" w:rsidP="003E057B">
            <w:pPr>
              <w:jc w:val="center"/>
              <w:rPr>
                <w:rFonts w:cs="Arial"/>
                <w:sz w:val="20"/>
                <w:lang w:val="es-AR" w:eastAsia="es-AR"/>
              </w:rPr>
            </w:pPr>
            <w:r w:rsidRPr="006B0C6B">
              <w:rPr>
                <w:rFonts w:cs="Arial"/>
                <w:sz w:val="20"/>
                <w:lang w:val="es-AR" w:eastAsia="es-AR"/>
              </w:rPr>
              <w:t>Secretaría de energía de la nación - Gasoil Grado 3 - Precio Venta al Público - Estación de servicio Petro Oeste SRL (http://res1104.se.gob.ar/)</w:t>
            </w:r>
          </w:p>
        </w:tc>
        <w:tc>
          <w:tcPr>
            <w:tcW w:w="965" w:type="pct"/>
            <w:shd w:val="clear" w:color="auto" w:fill="auto"/>
            <w:vAlign w:val="center"/>
            <w:hideMark/>
          </w:tcPr>
          <w:p w14:paraId="51BA058E" w14:textId="55643209"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hideMark/>
          </w:tcPr>
          <w:p w14:paraId="68740588" w14:textId="36954A24" w:rsidR="00030F6E" w:rsidRPr="006B0C6B" w:rsidRDefault="00507419" w:rsidP="003E057B">
            <w:pPr>
              <w:jc w:val="center"/>
              <w:rPr>
                <w:rFonts w:cs="Arial"/>
                <w:color w:val="000000"/>
                <w:sz w:val="20"/>
                <w:lang w:val="es-AR" w:eastAsia="es-AR"/>
              </w:rPr>
            </w:pPr>
            <w:r>
              <w:rPr>
                <w:rFonts w:cs="Arial"/>
                <w:color w:val="000000"/>
                <w:sz w:val="20"/>
                <w:lang w:val="es-AR" w:eastAsia="es-AR"/>
              </w:rPr>
              <w:t>25</w:t>
            </w:r>
            <w:r w:rsidR="00030F6E" w:rsidRPr="006B0C6B">
              <w:rPr>
                <w:rFonts w:cs="Arial"/>
                <w:color w:val="000000"/>
                <w:sz w:val="20"/>
                <w:lang w:val="es-AR" w:eastAsia="es-AR"/>
              </w:rPr>
              <w:t>%</w:t>
            </w:r>
          </w:p>
        </w:tc>
      </w:tr>
      <w:tr w:rsidR="00030F6E" w:rsidRPr="006B0C6B" w14:paraId="7C6AAC46" w14:textId="2DE7897A" w:rsidTr="00030F6E">
        <w:trPr>
          <w:trHeight w:val="839"/>
          <w:jc w:val="center"/>
        </w:trPr>
        <w:tc>
          <w:tcPr>
            <w:tcW w:w="925" w:type="pct"/>
            <w:shd w:val="clear" w:color="auto" w:fill="auto"/>
            <w:vAlign w:val="center"/>
            <w:hideMark/>
          </w:tcPr>
          <w:p w14:paraId="4B4ED793" w14:textId="77777777" w:rsidR="00030F6E" w:rsidRPr="006B0C6B" w:rsidRDefault="00030F6E" w:rsidP="003E057B">
            <w:pPr>
              <w:jc w:val="center"/>
              <w:rPr>
                <w:rFonts w:cs="Arial"/>
                <w:b/>
                <w:bCs/>
                <w:sz w:val="20"/>
                <w:lang w:val="es-AR" w:eastAsia="es-AR"/>
              </w:rPr>
            </w:pPr>
            <w:r w:rsidRPr="006B0C6B">
              <w:rPr>
                <w:rFonts w:cs="Arial"/>
                <w:b/>
                <w:bCs/>
                <w:sz w:val="20"/>
                <w:lang w:val="es-AR" w:eastAsia="es-AR"/>
              </w:rPr>
              <w:t>IPIM</w:t>
            </w:r>
          </w:p>
        </w:tc>
        <w:tc>
          <w:tcPr>
            <w:tcW w:w="2075" w:type="pct"/>
            <w:shd w:val="clear" w:color="auto" w:fill="auto"/>
            <w:vAlign w:val="center"/>
            <w:hideMark/>
          </w:tcPr>
          <w:p w14:paraId="2AB10370" w14:textId="77777777" w:rsidR="00030F6E" w:rsidRPr="006B0C6B" w:rsidRDefault="00030F6E" w:rsidP="003E057B">
            <w:pPr>
              <w:jc w:val="center"/>
              <w:rPr>
                <w:rFonts w:cs="Arial"/>
                <w:sz w:val="20"/>
                <w:lang w:val="es-AR" w:eastAsia="es-AR"/>
              </w:rPr>
            </w:pPr>
            <w:proofErr w:type="spellStart"/>
            <w:r w:rsidRPr="006B0C6B">
              <w:rPr>
                <w:rFonts w:cs="Arial"/>
                <w:sz w:val="20"/>
                <w:lang w:val="es-AR" w:eastAsia="es-AR"/>
              </w:rPr>
              <w:t>Indec</w:t>
            </w:r>
            <w:proofErr w:type="spellEnd"/>
          </w:p>
        </w:tc>
        <w:tc>
          <w:tcPr>
            <w:tcW w:w="965" w:type="pct"/>
            <w:shd w:val="clear" w:color="auto" w:fill="auto"/>
            <w:vAlign w:val="center"/>
            <w:hideMark/>
          </w:tcPr>
          <w:p w14:paraId="63DD9BC7" w14:textId="56A0C7E0"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hideMark/>
          </w:tcPr>
          <w:p w14:paraId="47AE150F" w14:textId="77777777" w:rsidR="00030F6E" w:rsidRPr="006B0C6B" w:rsidRDefault="00030F6E" w:rsidP="003E057B">
            <w:pPr>
              <w:jc w:val="center"/>
              <w:rPr>
                <w:rFonts w:cs="Arial"/>
                <w:color w:val="000000"/>
                <w:sz w:val="20"/>
                <w:lang w:val="es-AR" w:eastAsia="es-AR"/>
              </w:rPr>
            </w:pPr>
            <w:r w:rsidRPr="006B0C6B">
              <w:rPr>
                <w:rFonts w:cs="Arial"/>
                <w:color w:val="000000"/>
                <w:sz w:val="20"/>
                <w:lang w:val="es-AR" w:eastAsia="es-AR"/>
              </w:rPr>
              <w:t>10%</w:t>
            </w:r>
          </w:p>
        </w:tc>
      </w:tr>
      <w:tr w:rsidR="00030F6E" w:rsidRPr="006B0C6B" w14:paraId="104F5049" w14:textId="77777777" w:rsidTr="00030F6E">
        <w:trPr>
          <w:trHeight w:val="839"/>
          <w:jc w:val="center"/>
        </w:trPr>
        <w:tc>
          <w:tcPr>
            <w:tcW w:w="925" w:type="pct"/>
            <w:shd w:val="clear" w:color="auto" w:fill="auto"/>
            <w:vAlign w:val="center"/>
          </w:tcPr>
          <w:p w14:paraId="7193B398" w14:textId="0281C19B" w:rsidR="00030F6E" w:rsidRPr="006B0C6B" w:rsidRDefault="00030F6E" w:rsidP="003E057B">
            <w:pPr>
              <w:jc w:val="center"/>
              <w:rPr>
                <w:rFonts w:cs="Arial"/>
                <w:b/>
                <w:bCs/>
                <w:sz w:val="20"/>
                <w:lang w:val="es-AR" w:eastAsia="es-AR"/>
              </w:rPr>
            </w:pPr>
            <w:r>
              <w:rPr>
                <w:rFonts w:cs="Arial"/>
                <w:b/>
                <w:bCs/>
                <w:sz w:val="20"/>
                <w:lang w:val="es-AR" w:eastAsia="es-AR"/>
              </w:rPr>
              <w:t>TC</w:t>
            </w:r>
          </w:p>
        </w:tc>
        <w:tc>
          <w:tcPr>
            <w:tcW w:w="2075" w:type="pct"/>
            <w:shd w:val="clear" w:color="auto" w:fill="auto"/>
            <w:vAlign w:val="center"/>
          </w:tcPr>
          <w:p w14:paraId="243090D0" w14:textId="03BC6887" w:rsidR="00030F6E" w:rsidRDefault="00030F6E" w:rsidP="003E057B">
            <w:pPr>
              <w:jc w:val="center"/>
              <w:rPr>
                <w:rFonts w:cs="Arial"/>
                <w:sz w:val="20"/>
                <w:lang w:val="es-AR" w:eastAsia="es-AR"/>
              </w:rPr>
            </w:pPr>
            <w:r>
              <w:rPr>
                <w:rFonts w:cs="Arial"/>
                <w:sz w:val="20"/>
                <w:lang w:val="es-AR" w:eastAsia="es-AR"/>
              </w:rPr>
              <w:t>Cotización Billetes Dólar U.S.A</w:t>
            </w:r>
          </w:p>
          <w:p w14:paraId="4A5DD52A" w14:textId="0291D316" w:rsidR="00030F6E" w:rsidRPr="006B0C6B" w:rsidRDefault="00030F6E" w:rsidP="003E057B">
            <w:pPr>
              <w:jc w:val="center"/>
              <w:rPr>
                <w:rFonts w:cs="Arial"/>
                <w:sz w:val="20"/>
                <w:lang w:val="es-AR" w:eastAsia="es-AR"/>
              </w:rPr>
            </w:pPr>
            <w:r>
              <w:rPr>
                <w:rFonts w:cs="Arial"/>
                <w:sz w:val="20"/>
                <w:lang w:val="es-AR" w:eastAsia="es-AR"/>
              </w:rPr>
              <w:t>BNA Venta</w:t>
            </w:r>
          </w:p>
        </w:tc>
        <w:tc>
          <w:tcPr>
            <w:tcW w:w="965" w:type="pct"/>
            <w:shd w:val="clear" w:color="auto" w:fill="auto"/>
            <w:vAlign w:val="center"/>
          </w:tcPr>
          <w:p w14:paraId="0CC78B58" w14:textId="72019C4A" w:rsidR="00030F6E" w:rsidRPr="006B0C6B" w:rsidRDefault="001C2709" w:rsidP="003E057B">
            <w:pPr>
              <w:jc w:val="center"/>
              <w:rPr>
                <w:rFonts w:cs="Arial"/>
                <w:sz w:val="20"/>
                <w:lang w:val="es-AR" w:eastAsia="es-AR"/>
              </w:rPr>
            </w:pPr>
            <w:r>
              <w:rPr>
                <w:rFonts w:cs="Arial"/>
                <w:sz w:val="20"/>
                <w:lang w:val="es-AR" w:eastAsia="es-AR"/>
              </w:rPr>
              <w:t>Ene</w:t>
            </w:r>
            <w:r w:rsidR="00030F6E" w:rsidRPr="006B0C6B">
              <w:rPr>
                <w:rFonts w:cs="Arial"/>
                <w:sz w:val="20"/>
                <w:lang w:val="es-AR" w:eastAsia="es-AR"/>
              </w:rPr>
              <w:t>-2</w:t>
            </w:r>
            <w:r w:rsidR="00030F6E">
              <w:rPr>
                <w:rFonts w:cs="Arial"/>
                <w:sz w:val="20"/>
                <w:lang w:val="es-AR" w:eastAsia="es-AR"/>
              </w:rPr>
              <w:t>3</w:t>
            </w:r>
          </w:p>
        </w:tc>
        <w:tc>
          <w:tcPr>
            <w:tcW w:w="1035" w:type="pct"/>
            <w:shd w:val="clear" w:color="auto" w:fill="auto"/>
            <w:vAlign w:val="center"/>
          </w:tcPr>
          <w:p w14:paraId="5E3975B3" w14:textId="6AD544CE" w:rsidR="00030F6E" w:rsidRPr="006B0C6B" w:rsidRDefault="00030F6E" w:rsidP="003E057B">
            <w:pPr>
              <w:jc w:val="center"/>
              <w:rPr>
                <w:rFonts w:cs="Arial"/>
                <w:color w:val="000000"/>
                <w:sz w:val="20"/>
                <w:lang w:val="es-AR" w:eastAsia="es-AR"/>
              </w:rPr>
            </w:pPr>
            <w:r>
              <w:rPr>
                <w:rFonts w:cs="Arial"/>
                <w:color w:val="000000"/>
                <w:sz w:val="20"/>
                <w:lang w:val="es-AR" w:eastAsia="es-AR"/>
              </w:rPr>
              <w:t>-</w:t>
            </w:r>
          </w:p>
        </w:tc>
      </w:tr>
    </w:tbl>
    <w:p w14:paraId="23D03362" w14:textId="77777777" w:rsidR="007E1A2E" w:rsidRDefault="007E1A2E" w:rsidP="007E1A2E">
      <w:pPr>
        <w:rPr>
          <w:sz w:val="22"/>
          <w:lang w:val="es-AR"/>
        </w:rPr>
      </w:pPr>
    </w:p>
    <w:p w14:paraId="0448F989" w14:textId="4145A734" w:rsidR="007A606D" w:rsidRPr="00AF2E72" w:rsidRDefault="007A606D" w:rsidP="0077601D">
      <w:pPr>
        <w:rPr>
          <w:sz w:val="22"/>
          <w:szCs w:val="22"/>
          <w:lang w:val="es-AR"/>
        </w:rPr>
      </w:pPr>
    </w:p>
    <w:p w14:paraId="4D76C42B" w14:textId="06D5B0D7" w:rsidR="006F7045" w:rsidRPr="0077601D" w:rsidRDefault="006F7045" w:rsidP="003938BB">
      <w:pPr>
        <w:jc w:val="center"/>
        <w:rPr>
          <w:sz w:val="22"/>
          <w:lang w:val="es-AR"/>
        </w:rPr>
      </w:pPr>
    </w:p>
    <w:sectPr w:rsidR="006F7045" w:rsidRPr="0077601D" w:rsidSect="00ED3494">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AC69B" w14:textId="77777777" w:rsidR="00BD130A" w:rsidRDefault="00BD130A">
      <w:r>
        <w:separator/>
      </w:r>
    </w:p>
  </w:endnote>
  <w:endnote w:type="continuationSeparator" w:id="0">
    <w:p w14:paraId="2C32CB72" w14:textId="77777777" w:rsidR="00BD130A" w:rsidRDefault="00BD130A">
      <w:r>
        <w:continuationSeparator/>
      </w:r>
    </w:p>
  </w:endnote>
  <w:endnote w:type="continuationNotice" w:id="1">
    <w:p w14:paraId="0CD52072" w14:textId="77777777" w:rsidR="00BD130A" w:rsidRDefault="00BD13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3A0CEF1E" w:rsidR="0009065C" w:rsidRPr="003E6CCA" w:rsidRDefault="000977A2" w:rsidP="0009065C">
    <w:pPr>
      <w:pStyle w:val="Piedepgina"/>
      <w:tabs>
        <w:tab w:val="clear" w:pos="4419"/>
        <w:tab w:val="clear" w:pos="8838"/>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0AAC6BB7">
              <wp:simplePos x="0" y="0"/>
              <wp:positionH relativeFrom="margin">
                <wp:align>right</wp:align>
              </wp:positionH>
              <wp:positionV relativeFrom="paragraph">
                <wp:posOffset>147025</wp:posOffset>
              </wp:positionV>
              <wp:extent cx="6174178"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78"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9E2820" id="Conector recto 2" o:spid="_x0000_s1026" style="position:absolute;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34.95pt,11.6pt" to="921.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" strokecolor="#002060" strokeweight="2pt">
              <w10:wrap anchorx="margin"/>
            </v:line>
          </w:pict>
        </mc:Fallback>
      </mc:AlternateContent>
    </w:r>
    <w:r w:rsidR="00C92E71">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3B3ACF">
      <w:rPr>
        <w:rFonts w:ascii="HelveticaNeueLT Std" w:hAnsi="HelveticaNeueLT Std" w:cs="Helvetica"/>
        <w:i/>
        <w:sz w:val="18"/>
        <w:lang w:val="es-ES_tradnl"/>
      </w:rPr>
      <w:t xml:space="preserve">22 de febrero de 2023   </w:t>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09065C">
      <w:rPr>
        <w:rFonts w:ascii="HelveticaNeueLT Std" w:hAnsi="HelveticaNeueLT Std" w:cs="Helvetica"/>
        <w:i/>
        <w:sz w:val="18"/>
        <w:lang w:val="es-ES_tradnl"/>
      </w:rPr>
      <w:tab/>
    </w:r>
    <w:r w:rsidR="007C009C">
      <w:rPr>
        <w:rFonts w:ascii="HelveticaNeueLT Std" w:hAnsi="HelveticaNeueLT Std" w:cs="Helvetica"/>
        <w:i/>
        <w:sz w:val="18"/>
        <w:lang w:val="es-ES_tradnl"/>
      </w:rPr>
      <w:tab/>
    </w:r>
    <w:r w:rsidR="007C009C">
      <w:rPr>
        <w:rFonts w:ascii="HelveticaNeueLT Std" w:hAnsi="HelveticaNeueLT Std" w:cs="Helvetica"/>
        <w:i/>
        <w:sz w:val="18"/>
        <w:lang w:val="es-ES_tradnl"/>
      </w:rPr>
      <w:tab/>
    </w:r>
    <w:r w:rsidR="007C009C">
      <w:rPr>
        <w:rFonts w:ascii="HelveticaNeueLT Std" w:hAnsi="HelveticaNeueLT Std" w:cs="Helvetica"/>
        <w:i/>
        <w:sz w:val="18"/>
        <w:lang w:val="es-ES_tradnl"/>
      </w:rPr>
      <w:tab/>
    </w:r>
    <w:r w:rsidR="003B3ACF">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06161B">
      <w:rPr>
        <w:rStyle w:val="Nmerodepgina"/>
        <w:rFonts w:ascii="HelveticaNeueLT Std" w:hAnsi="HelveticaNeueLT Std" w:cs="Helvetica"/>
        <w:i/>
        <w:noProof/>
        <w:sz w:val="18"/>
        <w:lang w:val="es-AR"/>
      </w:rPr>
      <w:t>5</w:t>
    </w:r>
    <w:r w:rsidR="0009065C" w:rsidRPr="003E6CCA">
      <w:rPr>
        <w:rStyle w:val="Nmerodepgina"/>
        <w:rFonts w:ascii="HelveticaNeueLT Std" w:hAnsi="HelveticaNeueLT Std" w:cs="Helvetica"/>
        <w:i/>
        <w:sz w:val="18"/>
      </w:rPr>
      <w:fldChar w:fldCharType="end"/>
    </w:r>
  </w:p>
  <w:p w14:paraId="7358C1BA" w14:textId="7D35DD57" w:rsidR="0009065C" w:rsidRPr="006758B9" w:rsidRDefault="0009065C" w:rsidP="0009065C">
    <w:pPr>
      <w:pStyle w:val="Piedepgina"/>
      <w:tabs>
        <w:tab w:val="right" w:pos="8931"/>
      </w:tabs>
      <w:ind w:right="-143"/>
      <w:rPr>
        <w:rFonts w:ascii="HelveticaNeueLT Std" w:hAnsi="HelveticaNeueLT Std" w:cs="Helvetica"/>
        <w:sz w:val="16"/>
        <w:lang w:val="es-ES_tradnl"/>
      </w:rPr>
    </w:pP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3089B" w14:textId="77777777" w:rsidR="00BD130A" w:rsidRDefault="00BD130A">
      <w:r>
        <w:separator/>
      </w:r>
    </w:p>
  </w:footnote>
  <w:footnote w:type="continuationSeparator" w:id="0">
    <w:p w14:paraId="5DDC5B1D" w14:textId="77777777" w:rsidR="00BD130A" w:rsidRDefault="00BD130A">
      <w:r>
        <w:continuationSeparator/>
      </w:r>
    </w:p>
  </w:footnote>
  <w:footnote w:type="continuationNotice" w:id="1">
    <w:p w14:paraId="47BEA618" w14:textId="77777777" w:rsidR="00BD130A" w:rsidRDefault="00BD13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Default="0009065C" w:rsidP="007A606D">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76973138" w14:textId="43192A1D" w:rsidR="00B443AC" w:rsidRPr="00B443AC" w:rsidRDefault="0009065C" w:rsidP="007A606D">
    <w:pPr>
      <w:spacing w:before="240"/>
      <w:rPr>
        <w:rFonts w:ascii="HelveticaNeueLT Std" w:hAnsi="HelveticaNeueLT Std" w:cs="Helvetica"/>
        <w:bCs/>
        <w:noProof/>
        <w:sz w:val="18"/>
        <w:szCs w:val="18"/>
        <w:lang w:val="pt-BR"/>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3B5EAA86">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3CA80"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r w:rsidR="007C009C">
      <w:rPr>
        <w:rFonts w:ascii="HelveticaNeueLT Std" w:hAnsi="HelveticaNeueLT Std" w:cs="Helvetica"/>
        <w:bCs/>
        <w:noProof/>
        <w:sz w:val="18"/>
        <w:szCs w:val="18"/>
        <w:lang w:val="pt-BR"/>
      </w:rPr>
      <w:t xml:space="preserve">Cliente </w:t>
    </w:r>
    <w:r w:rsidR="007744F2">
      <w:rPr>
        <w:rFonts w:ascii="HelveticaNeueLT Std" w:hAnsi="HelveticaNeueLT Std" w:cs="Helvetica"/>
        <w:bCs/>
        <w:noProof/>
        <w:sz w:val="18"/>
        <w:szCs w:val="18"/>
        <w:lang w:val="pt-BR"/>
      </w:rPr>
      <w:t>P</w:t>
    </w:r>
    <w:r w:rsidR="005D187C">
      <w:rPr>
        <w:rFonts w:ascii="HelveticaNeueLT Std" w:hAnsi="HelveticaNeueLT Std" w:cs="Helvetica"/>
        <w:bCs/>
        <w:noProof/>
        <w:sz w:val="18"/>
        <w:szCs w:val="18"/>
        <w:lang w:val="pt-BR"/>
      </w:rPr>
      <w:t>luspetrol S.A</w:t>
    </w:r>
    <w:r w:rsidR="00095D88">
      <w:rPr>
        <w:rFonts w:ascii="HelveticaNeueLT Std" w:hAnsi="HelveticaNeueLT Std" w:cs="Helvetica"/>
        <w:bCs/>
        <w:noProof/>
        <w:sz w:val="18"/>
        <w:szCs w:val="18"/>
        <w:lang w:val="pt-BR"/>
      </w:rPr>
      <w:t>.</w:t>
    </w:r>
  </w:p>
  <w:p w14:paraId="38238606" w14:textId="30A89453" w:rsidR="005D0B56" w:rsidRPr="00A952A0" w:rsidRDefault="003230A2" w:rsidP="007A606D">
    <w:pPr>
      <w:spacing w:after="240"/>
      <w:rPr>
        <w:rFonts w:ascii="HelveticaNeueLT Std" w:hAnsi="HelveticaNeueLT Std" w:cs="Helvetica"/>
        <w:sz w:val="18"/>
        <w:szCs w:val="16"/>
        <w:lang w:val="pt-BR"/>
      </w:rPr>
    </w:pPr>
    <w:bookmarkStart w:id="0" w:name="_Hlk109735449"/>
    <w:bookmarkStart w:id="1" w:name="_Hlk109735450"/>
    <w:r>
      <w:rPr>
        <w:rFonts w:ascii="HelveticaNeueLT Std" w:hAnsi="HelveticaNeueLT Std" w:cs="Helvetica"/>
        <w:bCs/>
        <w:noProof/>
        <w:sz w:val="18"/>
        <w:szCs w:val="18"/>
        <w:lang w:val="pt-BR"/>
      </w:rPr>
      <w:t>“</w:t>
    </w:r>
    <w:r w:rsidR="00181498" w:rsidRPr="00181498">
      <w:rPr>
        <w:rFonts w:ascii="HelveticaNeueLT Std" w:hAnsi="HelveticaNeueLT Std" w:cs="Helvetica"/>
        <w:bCs/>
        <w:noProof/>
        <w:sz w:val="18"/>
        <w:szCs w:val="18"/>
        <w:lang w:val="pt-BR"/>
      </w:rPr>
      <w:t>RFI - Provision Productos quimicos - La Calera / Centenario / Corcobo</w:t>
    </w:r>
    <w:r w:rsidR="00AD03D5">
      <w:rPr>
        <w:rFonts w:ascii="HelveticaNeueLT Std" w:hAnsi="HelveticaNeueLT Std" w:cs="Helvetica"/>
        <w:bCs/>
        <w:noProof/>
        <w:sz w:val="18"/>
        <w:szCs w:val="18"/>
        <w:lang w:val="pt-BR"/>
      </w:rPr>
      <w:t>”</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0DA"/>
    <w:multiLevelType w:val="hybridMultilevel"/>
    <w:tmpl w:val="2FF403F2"/>
    <w:lvl w:ilvl="0" w:tplc="E24CFFF0">
      <w:start w:val="5"/>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09726E"/>
    <w:multiLevelType w:val="hybridMultilevel"/>
    <w:tmpl w:val="6AF265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9931062">
    <w:abstractNumId w:val="22"/>
  </w:num>
  <w:num w:numId="2" w16cid:durableId="1676372241">
    <w:abstractNumId w:val="1"/>
  </w:num>
  <w:num w:numId="3" w16cid:durableId="838620342">
    <w:abstractNumId w:val="19"/>
  </w:num>
  <w:num w:numId="4" w16cid:durableId="1734694980">
    <w:abstractNumId w:val="14"/>
  </w:num>
  <w:num w:numId="5" w16cid:durableId="2045711800">
    <w:abstractNumId w:val="25"/>
  </w:num>
  <w:num w:numId="6" w16cid:durableId="1631280171">
    <w:abstractNumId w:val="24"/>
  </w:num>
  <w:num w:numId="7" w16cid:durableId="1874685415">
    <w:abstractNumId w:val="18"/>
  </w:num>
  <w:num w:numId="8" w16cid:durableId="2080059756">
    <w:abstractNumId w:val="10"/>
  </w:num>
  <w:num w:numId="9" w16cid:durableId="580869141">
    <w:abstractNumId w:val="31"/>
  </w:num>
  <w:num w:numId="10" w16cid:durableId="735279008">
    <w:abstractNumId w:val="2"/>
  </w:num>
  <w:num w:numId="11" w16cid:durableId="1307663192">
    <w:abstractNumId w:val="20"/>
  </w:num>
  <w:num w:numId="12" w16cid:durableId="792138446">
    <w:abstractNumId w:val="3"/>
  </w:num>
  <w:num w:numId="13" w16cid:durableId="17394615">
    <w:abstractNumId w:val="15"/>
  </w:num>
  <w:num w:numId="14" w16cid:durableId="954755598">
    <w:abstractNumId w:val="30"/>
  </w:num>
  <w:num w:numId="15" w16cid:durableId="191040120">
    <w:abstractNumId w:val="6"/>
  </w:num>
  <w:num w:numId="16" w16cid:durableId="1352296343">
    <w:abstractNumId w:val="16"/>
  </w:num>
  <w:num w:numId="17" w16cid:durableId="1753505381">
    <w:abstractNumId w:val="8"/>
  </w:num>
  <w:num w:numId="18" w16cid:durableId="520438941">
    <w:abstractNumId w:val="28"/>
  </w:num>
  <w:num w:numId="19" w16cid:durableId="1252470979">
    <w:abstractNumId w:val="4"/>
  </w:num>
  <w:num w:numId="20" w16cid:durableId="1841313017">
    <w:abstractNumId w:val="11"/>
  </w:num>
  <w:num w:numId="21" w16cid:durableId="2138181869">
    <w:abstractNumId w:val="12"/>
  </w:num>
  <w:num w:numId="22" w16cid:durableId="999696685">
    <w:abstractNumId w:val="33"/>
  </w:num>
  <w:num w:numId="23" w16cid:durableId="1687634513">
    <w:abstractNumId w:val="7"/>
  </w:num>
  <w:num w:numId="24" w16cid:durableId="291787855">
    <w:abstractNumId w:val="17"/>
  </w:num>
  <w:num w:numId="25" w16cid:durableId="1708337196">
    <w:abstractNumId w:val="23"/>
  </w:num>
  <w:num w:numId="26" w16cid:durableId="1268539631">
    <w:abstractNumId w:val="13"/>
  </w:num>
  <w:num w:numId="27" w16cid:durableId="774596283">
    <w:abstractNumId w:val="29"/>
  </w:num>
  <w:num w:numId="28" w16cid:durableId="1068304703">
    <w:abstractNumId w:val="27"/>
  </w:num>
  <w:num w:numId="29" w16cid:durableId="1388383466">
    <w:abstractNumId w:val="32"/>
  </w:num>
  <w:num w:numId="30" w16cid:durableId="822698732">
    <w:abstractNumId w:val="9"/>
  </w:num>
  <w:num w:numId="31" w16cid:durableId="1376125396">
    <w:abstractNumId w:val="26"/>
  </w:num>
  <w:num w:numId="32" w16cid:durableId="1999453340">
    <w:abstractNumId w:val="5"/>
  </w:num>
  <w:num w:numId="33" w16cid:durableId="1602106934">
    <w:abstractNumId w:val="0"/>
  </w:num>
  <w:num w:numId="34" w16cid:durableId="8013907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0F6E"/>
    <w:rsid w:val="0003386A"/>
    <w:rsid w:val="00056E24"/>
    <w:rsid w:val="00060CF6"/>
    <w:rsid w:val="0006161B"/>
    <w:rsid w:val="00064607"/>
    <w:rsid w:val="000701CC"/>
    <w:rsid w:val="00071CEC"/>
    <w:rsid w:val="0007218D"/>
    <w:rsid w:val="00072F0F"/>
    <w:rsid w:val="00087561"/>
    <w:rsid w:val="0009065C"/>
    <w:rsid w:val="00095D88"/>
    <w:rsid w:val="000977A2"/>
    <w:rsid w:val="000A2DF2"/>
    <w:rsid w:val="000A48F6"/>
    <w:rsid w:val="000D2DFC"/>
    <w:rsid w:val="000D5D50"/>
    <w:rsid w:val="000D6F4A"/>
    <w:rsid w:val="000E1A85"/>
    <w:rsid w:val="000E2185"/>
    <w:rsid w:val="000F6A2E"/>
    <w:rsid w:val="001230BD"/>
    <w:rsid w:val="00130F48"/>
    <w:rsid w:val="0013260B"/>
    <w:rsid w:val="00135FF6"/>
    <w:rsid w:val="00140BFD"/>
    <w:rsid w:val="0014435F"/>
    <w:rsid w:val="001642CD"/>
    <w:rsid w:val="0017339A"/>
    <w:rsid w:val="00180837"/>
    <w:rsid w:val="00181498"/>
    <w:rsid w:val="001822C7"/>
    <w:rsid w:val="001936A2"/>
    <w:rsid w:val="00193BCD"/>
    <w:rsid w:val="001A588E"/>
    <w:rsid w:val="001B054A"/>
    <w:rsid w:val="001B18F5"/>
    <w:rsid w:val="001B3976"/>
    <w:rsid w:val="001B6A43"/>
    <w:rsid w:val="001C2709"/>
    <w:rsid w:val="001D2DC5"/>
    <w:rsid w:val="001E0968"/>
    <w:rsid w:val="0022085D"/>
    <w:rsid w:val="00227E85"/>
    <w:rsid w:val="002309CF"/>
    <w:rsid w:val="00232E15"/>
    <w:rsid w:val="002474DD"/>
    <w:rsid w:val="0025519D"/>
    <w:rsid w:val="002633BA"/>
    <w:rsid w:val="002642B7"/>
    <w:rsid w:val="00266289"/>
    <w:rsid w:val="00275CCD"/>
    <w:rsid w:val="00283602"/>
    <w:rsid w:val="00285780"/>
    <w:rsid w:val="002B63E4"/>
    <w:rsid w:val="002C3064"/>
    <w:rsid w:val="002D543D"/>
    <w:rsid w:val="002E2232"/>
    <w:rsid w:val="002E77AC"/>
    <w:rsid w:val="00315372"/>
    <w:rsid w:val="00315727"/>
    <w:rsid w:val="003177FB"/>
    <w:rsid w:val="003230A2"/>
    <w:rsid w:val="00323BE6"/>
    <w:rsid w:val="00325006"/>
    <w:rsid w:val="00331151"/>
    <w:rsid w:val="003314F2"/>
    <w:rsid w:val="00337168"/>
    <w:rsid w:val="00346820"/>
    <w:rsid w:val="00357B06"/>
    <w:rsid w:val="003938BB"/>
    <w:rsid w:val="003A664E"/>
    <w:rsid w:val="003B1CDF"/>
    <w:rsid w:val="003B3ACF"/>
    <w:rsid w:val="003D2F14"/>
    <w:rsid w:val="003D79B7"/>
    <w:rsid w:val="003E057B"/>
    <w:rsid w:val="003E0585"/>
    <w:rsid w:val="003E0B49"/>
    <w:rsid w:val="003F505C"/>
    <w:rsid w:val="004014AE"/>
    <w:rsid w:val="0040162B"/>
    <w:rsid w:val="00413B55"/>
    <w:rsid w:val="004522FE"/>
    <w:rsid w:val="00453E4D"/>
    <w:rsid w:val="00463DDE"/>
    <w:rsid w:val="00475098"/>
    <w:rsid w:val="0048317A"/>
    <w:rsid w:val="00483728"/>
    <w:rsid w:val="004919DE"/>
    <w:rsid w:val="00492022"/>
    <w:rsid w:val="0049228C"/>
    <w:rsid w:val="00495237"/>
    <w:rsid w:val="004A395D"/>
    <w:rsid w:val="004A4FFF"/>
    <w:rsid w:val="0050667E"/>
    <w:rsid w:val="00507419"/>
    <w:rsid w:val="005074D8"/>
    <w:rsid w:val="005207F6"/>
    <w:rsid w:val="005214C4"/>
    <w:rsid w:val="00525035"/>
    <w:rsid w:val="00530312"/>
    <w:rsid w:val="00531F96"/>
    <w:rsid w:val="00540378"/>
    <w:rsid w:val="00541EA5"/>
    <w:rsid w:val="005511B5"/>
    <w:rsid w:val="005518A0"/>
    <w:rsid w:val="00560E10"/>
    <w:rsid w:val="00562A75"/>
    <w:rsid w:val="00563F31"/>
    <w:rsid w:val="0057375C"/>
    <w:rsid w:val="00577426"/>
    <w:rsid w:val="00577F94"/>
    <w:rsid w:val="00590C78"/>
    <w:rsid w:val="005B1D34"/>
    <w:rsid w:val="005B6A22"/>
    <w:rsid w:val="005D0B56"/>
    <w:rsid w:val="005D187C"/>
    <w:rsid w:val="005D3D80"/>
    <w:rsid w:val="005D59A3"/>
    <w:rsid w:val="005F09EA"/>
    <w:rsid w:val="00607999"/>
    <w:rsid w:val="00611725"/>
    <w:rsid w:val="00614FB3"/>
    <w:rsid w:val="00650004"/>
    <w:rsid w:val="0065352B"/>
    <w:rsid w:val="00662289"/>
    <w:rsid w:val="00665895"/>
    <w:rsid w:val="006828B4"/>
    <w:rsid w:val="00682AD5"/>
    <w:rsid w:val="006A2823"/>
    <w:rsid w:val="006A31F0"/>
    <w:rsid w:val="006A4D77"/>
    <w:rsid w:val="006A5FB2"/>
    <w:rsid w:val="006B0C6B"/>
    <w:rsid w:val="006B20C7"/>
    <w:rsid w:val="006C28C9"/>
    <w:rsid w:val="006C56A9"/>
    <w:rsid w:val="006D710E"/>
    <w:rsid w:val="006E116B"/>
    <w:rsid w:val="006E1532"/>
    <w:rsid w:val="006E2264"/>
    <w:rsid w:val="006F3064"/>
    <w:rsid w:val="006F4D3D"/>
    <w:rsid w:val="006F7045"/>
    <w:rsid w:val="007017CC"/>
    <w:rsid w:val="00714F12"/>
    <w:rsid w:val="00721735"/>
    <w:rsid w:val="0072179C"/>
    <w:rsid w:val="00721A28"/>
    <w:rsid w:val="007326F2"/>
    <w:rsid w:val="00751E9A"/>
    <w:rsid w:val="00761889"/>
    <w:rsid w:val="00764D20"/>
    <w:rsid w:val="0076737A"/>
    <w:rsid w:val="00772E59"/>
    <w:rsid w:val="0077405F"/>
    <w:rsid w:val="007744F2"/>
    <w:rsid w:val="0077601D"/>
    <w:rsid w:val="00783B94"/>
    <w:rsid w:val="007855AC"/>
    <w:rsid w:val="007959CD"/>
    <w:rsid w:val="007A2C9A"/>
    <w:rsid w:val="007A51E5"/>
    <w:rsid w:val="007A606D"/>
    <w:rsid w:val="007B0E80"/>
    <w:rsid w:val="007B53D6"/>
    <w:rsid w:val="007B6E09"/>
    <w:rsid w:val="007C009C"/>
    <w:rsid w:val="007C253D"/>
    <w:rsid w:val="007D3D35"/>
    <w:rsid w:val="007E1A2E"/>
    <w:rsid w:val="007F1DEC"/>
    <w:rsid w:val="007F31E7"/>
    <w:rsid w:val="007F487A"/>
    <w:rsid w:val="00807F04"/>
    <w:rsid w:val="00823076"/>
    <w:rsid w:val="0082355C"/>
    <w:rsid w:val="0083384F"/>
    <w:rsid w:val="008528DC"/>
    <w:rsid w:val="00854305"/>
    <w:rsid w:val="00865F71"/>
    <w:rsid w:val="0087139B"/>
    <w:rsid w:val="00875DA5"/>
    <w:rsid w:val="00883129"/>
    <w:rsid w:val="00886A87"/>
    <w:rsid w:val="00887000"/>
    <w:rsid w:val="008A07FF"/>
    <w:rsid w:val="008A2896"/>
    <w:rsid w:val="008A5446"/>
    <w:rsid w:val="008B4792"/>
    <w:rsid w:val="008E12B9"/>
    <w:rsid w:val="008F1192"/>
    <w:rsid w:val="008F6370"/>
    <w:rsid w:val="00900B85"/>
    <w:rsid w:val="00903627"/>
    <w:rsid w:val="00904E18"/>
    <w:rsid w:val="00905E82"/>
    <w:rsid w:val="00910A31"/>
    <w:rsid w:val="00920E1E"/>
    <w:rsid w:val="0092342E"/>
    <w:rsid w:val="00927A66"/>
    <w:rsid w:val="0094444D"/>
    <w:rsid w:val="00953CFA"/>
    <w:rsid w:val="00983FDF"/>
    <w:rsid w:val="009875FE"/>
    <w:rsid w:val="009939B0"/>
    <w:rsid w:val="00993C83"/>
    <w:rsid w:val="009B7BF2"/>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85AF9"/>
    <w:rsid w:val="00A952A0"/>
    <w:rsid w:val="00AA1FB4"/>
    <w:rsid w:val="00AA7AF1"/>
    <w:rsid w:val="00AB40B0"/>
    <w:rsid w:val="00AB73F7"/>
    <w:rsid w:val="00AC17D5"/>
    <w:rsid w:val="00AD03D5"/>
    <w:rsid w:val="00AF0DBF"/>
    <w:rsid w:val="00AF0E13"/>
    <w:rsid w:val="00AF2E72"/>
    <w:rsid w:val="00AF3305"/>
    <w:rsid w:val="00AF36E9"/>
    <w:rsid w:val="00B014E3"/>
    <w:rsid w:val="00B01972"/>
    <w:rsid w:val="00B11593"/>
    <w:rsid w:val="00B17D6F"/>
    <w:rsid w:val="00B31CF7"/>
    <w:rsid w:val="00B36627"/>
    <w:rsid w:val="00B37EAB"/>
    <w:rsid w:val="00B42876"/>
    <w:rsid w:val="00B443AC"/>
    <w:rsid w:val="00B540EE"/>
    <w:rsid w:val="00B6299D"/>
    <w:rsid w:val="00B64B5B"/>
    <w:rsid w:val="00B854CC"/>
    <w:rsid w:val="00B95E21"/>
    <w:rsid w:val="00BA2780"/>
    <w:rsid w:val="00BA2853"/>
    <w:rsid w:val="00BA3A7C"/>
    <w:rsid w:val="00BA6645"/>
    <w:rsid w:val="00BB0601"/>
    <w:rsid w:val="00BB34AB"/>
    <w:rsid w:val="00BD130A"/>
    <w:rsid w:val="00BD1B94"/>
    <w:rsid w:val="00BD625A"/>
    <w:rsid w:val="00BE107D"/>
    <w:rsid w:val="00BE672C"/>
    <w:rsid w:val="00BE7481"/>
    <w:rsid w:val="00BF633D"/>
    <w:rsid w:val="00C02762"/>
    <w:rsid w:val="00C10737"/>
    <w:rsid w:val="00C10C10"/>
    <w:rsid w:val="00C20112"/>
    <w:rsid w:val="00C32387"/>
    <w:rsid w:val="00C36A0D"/>
    <w:rsid w:val="00C37772"/>
    <w:rsid w:val="00C405A7"/>
    <w:rsid w:val="00C43DD2"/>
    <w:rsid w:val="00C47B3D"/>
    <w:rsid w:val="00C5705E"/>
    <w:rsid w:val="00C61E8C"/>
    <w:rsid w:val="00C70D2D"/>
    <w:rsid w:val="00C92E71"/>
    <w:rsid w:val="00CA0C26"/>
    <w:rsid w:val="00CA5A90"/>
    <w:rsid w:val="00CC3814"/>
    <w:rsid w:val="00CC6B74"/>
    <w:rsid w:val="00CE6BA6"/>
    <w:rsid w:val="00CF42D3"/>
    <w:rsid w:val="00CF6112"/>
    <w:rsid w:val="00D05611"/>
    <w:rsid w:val="00D1283D"/>
    <w:rsid w:val="00D16093"/>
    <w:rsid w:val="00D160BC"/>
    <w:rsid w:val="00D17441"/>
    <w:rsid w:val="00D207E3"/>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D29CE"/>
    <w:rsid w:val="00DD5E6B"/>
    <w:rsid w:val="00DE49F4"/>
    <w:rsid w:val="00DE7FDE"/>
    <w:rsid w:val="00DF0DFB"/>
    <w:rsid w:val="00E15460"/>
    <w:rsid w:val="00E2237F"/>
    <w:rsid w:val="00E24FBF"/>
    <w:rsid w:val="00E3345A"/>
    <w:rsid w:val="00E50FA3"/>
    <w:rsid w:val="00E57108"/>
    <w:rsid w:val="00E74BC3"/>
    <w:rsid w:val="00E75AC1"/>
    <w:rsid w:val="00E81EF5"/>
    <w:rsid w:val="00E935C5"/>
    <w:rsid w:val="00E93732"/>
    <w:rsid w:val="00E93925"/>
    <w:rsid w:val="00EA3EC7"/>
    <w:rsid w:val="00EA401F"/>
    <w:rsid w:val="00EA4625"/>
    <w:rsid w:val="00EB17B9"/>
    <w:rsid w:val="00EB340B"/>
    <w:rsid w:val="00ED3494"/>
    <w:rsid w:val="00EE3945"/>
    <w:rsid w:val="00F10EB1"/>
    <w:rsid w:val="00F137D8"/>
    <w:rsid w:val="00F16B05"/>
    <w:rsid w:val="00F20490"/>
    <w:rsid w:val="00F36308"/>
    <w:rsid w:val="00F51D79"/>
    <w:rsid w:val="00F65860"/>
    <w:rsid w:val="00F67283"/>
    <w:rsid w:val="00F77651"/>
    <w:rsid w:val="00F866D9"/>
    <w:rsid w:val="00F870D1"/>
    <w:rsid w:val="00F96110"/>
    <w:rsid w:val="00FA0505"/>
    <w:rsid w:val="00FA0A11"/>
    <w:rsid w:val="00FA5B3B"/>
    <w:rsid w:val="00FB12A6"/>
    <w:rsid w:val="00FB4922"/>
    <w:rsid w:val="00FC4B5A"/>
    <w:rsid w:val="00FD23BC"/>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A2A21688-32A6-4C25-9171-4017969D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table" w:styleId="Tablanormal3">
    <w:name w:val="Plain Table 3"/>
    <w:basedOn w:val="Tablanormal"/>
    <w:uiPriority w:val="43"/>
    <w:rsid w:val="00F10E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10E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F10E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028930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892301942">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0A4FD0-52EA-402D-99AD-C7B6DA950626}">
  <ds:schemaRefs>
    <ds:schemaRef ds:uri="http://schemas.openxmlformats.org/officeDocument/2006/bibliography"/>
  </ds:schemaRefs>
</ds:datastoreItem>
</file>

<file path=customXml/itemProps2.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6d08bc8-de8e-4ec5-99d2-4f8e444a0a2f"/>
    <ds:schemaRef ds:uri="97536d07-3373-42ea-9c9b-d1005648cf61"/>
    <ds:schemaRef ds:uri="730269a7-69c5-483f-a552-e74dab880ae2"/>
    <ds:schemaRef ds:uri="40de77e2-37bb-4c7a-ab4d-547915d99553"/>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5AE05FEA-FE0D-4504-87E5-F7879F2A4158}"/>
</file>

<file path=docProps/app.xml><?xml version="1.0" encoding="utf-8"?>
<Properties xmlns="http://schemas.openxmlformats.org/officeDocument/2006/extended-properties" xmlns:vt="http://schemas.openxmlformats.org/officeDocument/2006/docPropsVTypes">
  <Template>Normal</Template>
  <TotalTime>54</TotalTime>
  <Pages>5</Pages>
  <Words>774</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5203</CharactersWithSpaces>
  <SharedDoc>false</SharedDoc>
  <HLinks>
    <vt:vector size="12" baseType="variant">
      <vt:variant>
        <vt:i4>852065</vt:i4>
      </vt:variant>
      <vt:variant>
        <vt:i4>0</vt:i4>
      </vt:variant>
      <vt:variant>
        <vt:i4>0</vt:i4>
      </vt:variant>
      <vt:variant>
        <vt:i4>5</vt:i4>
      </vt:variant>
      <vt:variant>
        <vt:lpwstr>mailto:Comercial@pecomenergia.com.ar</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Rodriguez, Paula Ariana</cp:lastModifiedBy>
  <cp:revision>53</cp:revision>
  <cp:lastPrinted>2023-02-22T15:44:00Z</cp:lastPrinted>
  <dcterms:created xsi:type="dcterms:W3CDTF">2022-07-28T00:04:00Z</dcterms:created>
  <dcterms:modified xsi:type="dcterms:W3CDTF">2023-02-22T15:45:00Z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