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A601ADF"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426DDC">
        <w:rPr>
          <w:spacing w:val="-3"/>
          <w:sz w:val="22"/>
          <w:szCs w:val="22"/>
        </w:rPr>
        <w:t>26</w:t>
      </w:r>
      <w:r w:rsidR="003C282E">
        <w:rPr>
          <w:spacing w:val="-3"/>
          <w:sz w:val="22"/>
          <w:szCs w:val="22"/>
        </w:rPr>
        <w:t xml:space="preserve"> de enero</w:t>
      </w:r>
      <w:r w:rsidR="004919DE">
        <w:rPr>
          <w:spacing w:val="-3"/>
          <w:sz w:val="22"/>
          <w:szCs w:val="22"/>
        </w:rPr>
        <w:t xml:space="preserve"> de 202</w:t>
      </w:r>
      <w:r w:rsidR="003C282E">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6FB8BBF1" w:rsidR="00BE7481" w:rsidRDefault="001A719B" w:rsidP="00072F0F">
      <w:pPr>
        <w:suppressAutoHyphens/>
        <w:rPr>
          <w:rFonts w:cs="Arial"/>
          <w:b/>
          <w:sz w:val="22"/>
          <w:szCs w:val="22"/>
        </w:rPr>
      </w:pPr>
      <w:r>
        <w:rPr>
          <w:rFonts w:cs="Arial"/>
          <w:b/>
          <w:sz w:val="22"/>
          <w:szCs w:val="22"/>
        </w:rPr>
        <w:t xml:space="preserve">Phoenix Global </w:t>
      </w:r>
      <w:proofErr w:type="spellStart"/>
      <w:r>
        <w:rPr>
          <w:rFonts w:cs="Arial"/>
          <w:b/>
          <w:sz w:val="22"/>
          <w:szCs w:val="22"/>
        </w:rPr>
        <w:t>Resources</w:t>
      </w:r>
      <w:proofErr w:type="spellEnd"/>
      <w:r w:rsidR="005E1974">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rPr>
      </w:pPr>
    </w:p>
    <w:p w14:paraId="0EB2E9CC" w14:textId="7305FC15" w:rsidR="00903627" w:rsidRDefault="00875DA5" w:rsidP="00A952A0">
      <w:pPr>
        <w:rPr>
          <w:rFonts w:cs="Arial"/>
          <w:bCs/>
          <w:spacing w:val="-3"/>
          <w:sz w:val="22"/>
          <w:szCs w:val="22"/>
        </w:rPr>
      </w:pPr>
      <w:proofErr w:type="spellStart"/>
      <w:r w:rsidRPr="0094444D">
        <w:rPr>
          <w:rFonts w:cs="Arial"/>
          <w:bCs/>
          <w:spacing w:val="-3"/>
          <w:sz w:val="22"/>
          <w:szCs w:val="22"/>
        </w:rPr>
        <w:t>At’n</w:t>
      </w:r>
      <w:proofErr w:type="spellEnd"/>
      <w:r w:rsidRPr="0094444D">
        <w:rPr>
          <w:rFonts w:cs="Arial"/>
          <w:bCs/>
          <w:spacing w:val="-3"/>
          <w:sz w:val="22"/>
          <w:szCs w:val="22"/>
        </w:rPr>
        <w:t xml:space="preserve">.: </w:t>
      </w:r>
      <w:r w:rsidR="00384BBE">
        <w:rPr>
          <w:rFonts w:cs="Arial"/>
          <w:bCs/>
          <w:spacing w:val="-3"/>
          <w:sz w:val="22"/>
          <w:szCs w:val="22"/>
        </w:rPr>
        <w:t>Silvia Maldonado</w:t>
      </w:r>
    </w:p>
    <w:p w14:paraId="27EDA7C2" w14:textId="14B0A416" w:rsidR="00325006" w:rsidRPr="00B50524" w:rsidRDefault="00325006" w:rsidP="00A952A0">
      <w:pPr>
        <w:rPr>
          <w:rFonts w:cs="Arial"/>
          <w:bCs/>
          <w:spacing w:val="-3"/>
          <w:sz w:val="22"/>
          <w:szCs w:val="22"/>
        </w:rPr>
      </w:pPr>
      <w:r w:rsidRPr="00B50524">
        <w:rPr>
          <w:rFonts w:cs="Arial"/>
          <w:bCs/>
          <w:spacing w:val="-3"/>
          <w:sz w:val="22"/>
          <w:szCs w:val="22"/>
        </w:rPr>
        <w:t>E-mail:</w:t>
      </w:r>
      <w:r w:rsidR="00C92E71" w:rsidRPr="00B50524">
        <w:rPr>
          <w:rFonts w:cs="Arial"/>
          <w:bCs/>
          <w:spacing w:val="-3"/>
          <w:sz w:val="22"/>
          <w:szCs w:val="22"/>
        </w:rPr>
        <w:t xml:space="preserve"> </w:t>
      </w:r>
      <w:r w:rsidR="00384BBE" w:rsidRPr="00384BBE">
        <w:rPr>
          <w:rFonts w:cs="Arial"/>
          <w:bCs/>
          <w:spacing w:val="-3"/>
          <w:sz w:val="22"/>
          <w:szCs w:val="22"/>
        </w:rPr>
        <w:t>s.maldonado@phoenixgr.com</w:t>
      </w:r>
    </w:p>
    <w:p w14:paraId="37E603F6" w14:textId="77777777" w:rsidR="00A66A00" w:rsidRPr="00B50524" w:rsidRDefault="00A66A00" w:rsidP="00A952A0">
      <w:pPr>
        <w:rPr>
          <w:rFonts w:cs="Arial"/>
          <w:bCs/>
          <w:sz w:val="22"/>
          <w:szCs w:val="22"/>
          <w:lang w:eastAsia="es-AR"/>
        </w:rPr>
      </w:pPr>
    </w:p>
    <w:p w14:paraId="25E66A02" w14:textId="12A2B275" w:rsidR="00346820" w:rsidRPr="00B50524" w:rsidRDefault="00346820" w:rsidP="00875DA5">
      <w:pPr>
        <w:rPr>
          <w:rFonts w:cs="Arial"/>
          <w:color w:val="242424"/>
          <w:sz w:val="22"/>
          <w:szCs w:val="22"/>
          <w:shd w:val="clear" w:color="auto" w:fill="FFFFFF"/>
        </w:rPr>
      </w:pPr>
    </w:p>
    <w:p w14:paraId="24985D8D" w14:textId="74FA8761" w:rsidR="00315727" w:rsidRPr="00616A34" w:rsidRDefault="00072F0F" w:rsidP="00B50524">
      <w:pPr>
        <w:rPr>
          <w:rFonts w:cs="Arial"/>
          <w:b/>
          <w:bCs/>
          <w:sz w:val="22"/>
          <w:szCs w:val="22"/>
        </w:rPr>
      </w:pPr>
      <w:r w:rsidRPr="00616A34">
        <w:rPr>
          <w:rFonts w:cs="Arial"/>
          <w:spacing w:val="-3"/>
          <w:sz w:val="22"/>
          <w:szCs w:val="22"/>
        </w:rPr>
        <w:t xml:space="preserve">Ref.: </w:t>
      </w:r>
      <w:r w:rsidR="00E07C71">
        <w:rPr>
          <w:rFonts w:cs="Arial"/>
          <w:spacing w:val="-3"/>
          <w:sz w:val="22"/>
          <w:szCs w:val="22"/>
        </w:rPr>
        <w:t>Cotización de Producto Químico Oxidante, BX256</w:t>
      </w:r>
    </w:p>
    <w:p w14:paraId="0449BE99" w14:textId="77777777" w:rsidR="00315727" w:rsidRPr="00616A34" w:rsidRDefault="00315727" w:rsidP="00315727">
      <w:pPr>
        <w:suppressAutoHyphens/>
        <w:jc w:val="both"/>
        <w:rPr>
          <w:rFonts w:cs="Arial"/>
          <w:spacing w:val="-3"/>
          <w:sz w:val="22"/>
          <w:szCs w:val="22"/>
        </w:rPr>
      </w:pPr>
    </w:p>
    <w:p w14:paraId="1C2194ED" w14:textId="77777777" w:rsidR="00315727" w:rsidRPr="00D84BF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30C9D1C8"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C6046B">
        <w:rPr>
          <w:rFonts w:cs="Arial"/>
          <w:sz w:val="22"/>
          <w:szCs w:val="22"/>
        </w:rPr>
        <w:t>l</w:t>
      </w:r>
      <w:r w:rsidR="005E1974">
        <w:rPr>
          <w:rFonts w:cs="Arial"/>
          <w:sz w:val="22"/>
          <w:szCs w:val="22"/>
        </w:rPr>
        <w:t xml:space="preserve"> producto</w:t>
      </w:r>
      <w:r w:rsidR="00C6046B">
        <w:rPr>
          <w:rFonts w:cs="Arial"/>
          <w:sz w:val="22"/>
          <w:szCs w:val="22"/>
        </w:rPr>
        <w:t xml:space="preserve"> </w:t>
      </w:r>
      <w:r w:rsidR="005E1974">
        <w:rPr>
          <w:rFonts w:cs="Arial"/>
          <w:sz w:val="22"/>
          <w:szCs w:val="22"/>
        </w:rPr>
        <w:t>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7C40D704" w:rsidR="0092342E" w:rsidRPr="00616A34" w:rsidRDefault="0092342E" w:rsidP="00A952A0">
      <w:pPr>
        <w:suppressAutoHyphens/>
        <w:ind w:left="7089" w:hanging="3544"/>
        <w:jc w:val="both"/>
        <w:rPr>
          <w:rFonts w:cs="Arial"/>
          <w:b/>
          <w:spacing w:val="-3"/>
          <w:sz w:val="20"/>
          <w:lang w:val="en-US"/>
        </w:rPr>
      </w:pPr>
      <w:proofErr w:type="spellStart"/>
      <w:r w:rsidRPr="00616A34">
        <w:rPr>
          <w:rFonts w:cs="Arial"/>
          <w:b/>
          <w:bCs/>
          <w:spacing w:val="-3"/>
          <w:sz w:val="20"/>
          <w:lang w:val="en-US"/>
        </w:rPr>
        <w:t>At’n</w:t>
      </w:r>
      <w:proofErr w:type="spellEnd"/>
      <w:r w:rsidRPr="00616A34">
        <w:rPr>
          <w:rFonts w:cs="Arial"/>
          <w:b/>
          <w:bCs/>
          <w:spacing w:val="-3"/>
          <w:sz w:val="20"/>
          <w:lang w:val="en-US"/>
        </w:rPr>
        <w:t xml:space="preserve">:  </w:t>
      </w:r>
      <w:r w:rsidR="00BE7481" w:rsidRPr="00616A34">
        <w:rPr>
          <w:rFonts w:cs="Arial"/>
          <w:b/>
          <w:bCs/>
          <w:spacing w:val="-3"/>
          <w:sz w:val="20"/>
          <w:lang w:val="en-US"/>
        </w:rPr>
        <w:t xml:space="preserve">   </w:t>
      </w:r>
      <w:r w:rsidR="003E30E4" w:rsidRPr="00616A34">
        <w:rPr>
          <w:rFonts w:cs="Arial"/>
          <w:b/>
          <w:bCs/>
          <w:spacing w:val="-3"/>
          <w:sz w:val="20"/>
          <w:lang w:val="en-US"/>
        </w:rPr>
        <w:t>Jimmy Lopez</w:t>
      </w:r>
    </w:p>
    <w:p w14:paraId="3F30D6D9" w14:textId="6846D280" w:rsidR="00EB340B" w:rsidRPr="00616A34" w:rsidRDefault="0092342E" w:rsidP="00EB340B">
      <w:pPr>
        <w:suppressAutoHyphens/>
        <w:ind w:left="2835" w:firstLine="709"/>
        <w:jc w:val="both"/>
        <w:rPr>
          <w:rFonts w:cs="Arial"/>
          <w:b/>
          <w:iCs/>
          <w:spacing w:val="-3"/>
          <w:sz w:val="20"/>
          <w:lang w:val="en-US"/>
        </w:rPr>
      </w:pPr>
      <w:r w:rsidRPr="00616A34">
        <w:rPr>
          <w:rFonts w:cs="Arial"/>
          <w:b/>
          <w:sz w:val="20"/>
          <w:lang w:val="en-US"/>
        </w:rPr>
        <w:t xml:space="preserve">Email: </w:t>
      </w:r>
      <w:r w:rsidR="005214C4" w:rsidRPr="00616A34">
        <w:rPr>
          <w:rFonts w:cs="Arial"/>
          <w:b/>
          <w:sz w:val="20"/>
          <w:lang w:val="en-US"/>
        </w:rPr>
        <w:tab/>
      </w:r>
      <w:hyperlink r:id="rId11" w:history="1">
        <w:r w:rsidR="00C37772" w:rsidRPr="00C37772">
          <w:rPr>
            <w:rStyle w:val="Hipervnculo"/>
            <w:rFonts w:ascii="Arial" w:hAnsi="Arial" w:cs="Arial"/>
            <w:b/>
            <w:lang w:val="pt-BR"/>
          </w:rPr>
          <w:t>Comercial@pecomenergia.com.ar</w:t>
        </w:r>
      </w:hyperlink>
      <w:r w:rsidR="00EB340B" w:rsidRPr="00616A34">
        <w:rPr>
          <w:rFonts w:cs="Arial"/>
          <w:b/>
          <w:iCs/>
          <w:sz w:val="20"/>
          <w:lang w:val="en-US"/>
        </w:rPr>
        <w:t xml:space="preserve"> </w:t>
      </w:r>
    </w:p>
    <w:p w14:paraId="2E75213E" w14:textId="75F8F5A0" w:rsidR="00315727" w:rsidRPr="003D79B7" w:rsidRDefault="003E30E4" w:rsidP="005214C4">
      <w:pPr>
        <w:suppressAutoHyphens/>
        <w:ind w:left="4253" w:firstLine="1"/>
        <w:jc w:val="both"/>
        <w:rPr>
          <w:rFonts w:cs="Arial"/>
          <w:b/>
          <w:color w:val="000080"/>
          <w:sz w:val="20"/>
          <w:u w:val="single"/>
        </w:rPr>
      </w:pPr>
      <w:r>
        <w:rPr>
          <w:rFonts w:cs="Arial"/>
          <w:b/>
          <w:color w:val="000080"/>
          <w:sz w:val="20"/>
          <w:u w:val="single"/>
        </w:rPr>
        <w:t>Jimmy.Lopez</w:t>
      </w:r>
      <w:r w:rsidR="0001425E" w:rsidRPr="0001425E">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bookmarkStart w:id="0" w:name="_Hlk144389626"/>
      <w:r w:rsidR="00140BFD">
        <w:rPr>
          <w:rFonts w:cs="Arial"/>
          <w:b/>
          <w:bCs/>
          <w:sz w:val="22"/>
        </w:rPr>
        <w:lastRenderedPageBreak/>
        <w:t>PLANILLA DE PRECIOS</w:t>
      </w:r>
      <w:bookmarkEnd w:id="0"/>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113"/>
        <w:gridCol w:w="1075"/>
        <w:gridCol w:w="1335"/>
      </w:tblGrid>
      <w:tr w:rsidR="001D17AF" w:rsidRPr="00521021" w14:paraId="45E3870D" w14:textId="6FB56D41" w:rsidTr="00C45C99">
        <w:trPr>
          <w:trHeight w:val="600"/>
          <w:jc w:val="center"/>
        </w:trPr>
        <w:tc>
          <w:tcPr>
            <w:tcW w:w="2560" w:type="dxa"/>
            <w:shd w:val="clear" w:color="000000" w:fill="002060"/>
            <w:vAlign w:val="center"/>
            <w:hideMark/>
          </w:tcPr>
          <w:p w14:paraId="6617DDF9"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2113" w:type="dxa"/>
            <w:shd w:val="clear" w:color="000000" w:fill="002060"/>
            <w:vAlign w:val="center"/>
            <w:hideMark/>
          </w:tcPr>
          <w:p w14:paraId="3CAB7D43"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075" w:type="dxa"/>
            <w:shd w:val="clear" w:color="000000" w:fill="002060"/>
            <w:vAlign w:val="center"/>
            <w:hideMark/>
          </w:tcPr>
          <w:p w14:paraId="19F14B15"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335" w:type="dxa"/>
            <w:shd w:val="clear" w:color="000000" w:fill="002060"/>
            <w:vAlign w:val="center"/>
            <w:hideMark/>
          </w:tcPr>
          <w:p w14:paraId="58DA3301"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1D17AF" w:rsidRPr="00521021" w14:paraId="30D5CA55" w14:textId="4AD03409" w:rsidTr="00C45C99">
        <w:trPr>
          <w:trHeight w:val="300"/>
          <w:jc w:val="center"/>
        </w:trPr>
        <w:tc>
          <w:tcPr>
            <w:tcW w:w="2560" w:type="dxa"/>
            <w:shd w:val="clear" w:color="auto" w:fill="auto"/>
            <w:noWrap/>
            <w:vAlign w:val="center"/>
            <w:hideMark/>
          </w:tcPr>
          <w:p w14:paraId="44C0E7D2" w14:textId="3306F8A0" w:rsidR="001D17AF" w:rsidRPr="00521021" w:rsidRDefault="00CA27D1" w:rsidP="00C45C99">
            <w:pPr>
              <w:jc w:val="center"/>
              <w:rPr>
                <w:rFonts w:ascii="Calibri" w:hAnsi="Calibri" w:cs="Calibri"/>
                <w:color w:val="000000"/>
                <w:sz w:val="22"/>
                <w:szCs w:val="22"/>
                <w:lang w:eastAsia="es-AR"/>
              </w:rPr>
            </w:pPr>
            <w:r>
              <w:rPr>
                <w:rFonts w:ascii="Calibri" w:hAnsi="Calibri" w:cs="Calibri"/>
                <w:color w:val="000000"/>
                <w:sz w:val="22"/>
                <w:szCs w:val="22"/>
                <w:lang w:eastAsia="es-AR"/>
              </w:rPr>
              <w:t>BX256</w:t>
            </w:r>
          </w:p>
        </w:tc>
        <w:tc>
          <w:tcPr>
            <w:tcW w:w="2113" w:type="dxa"/>
            <w:shd w:val="clear" w:color="auto" w:fill="auto"/>
            <w:noWrap/>
            <w:vAlign w:val="center"/>
            <w:hideMark/>
          </w:tcPr>
          <w:p w14:paraId="378A44EC" w14:textId="1EE884B0" w:rsidR="001D17AF" w:rsidRPr="00521021" w:rsidRDefault="00E07C71"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Oxidante</w:t>
            </w:r>
          </w:p>
        </w:tc>
        <w:tc>
          <w:tcPr>
            <w:tcW w:w="1075" w:type="dxa"/>
            <w:shd w:val="clear" w:color="auto" w:fill="auto"/>
            <w:noWrap/>
            <w:vAlign w:val="center"/>
            <w:hideMark/>
          </w:tcPr>
          <w:p w14:paraId="4E82DF36" w14:textId="77777777" w:rsidR="001D17AF" w:rsidRPr="00521021" w:rsidRDefault="001D17AF" w:rsidP="00E2010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335" w:type="dxa"/>
            <w:shd w:val="clear" w:color="auto" w:fill="auto"/>
            <w:noWrap/>
            <w:vAlign w:val="center"/>
            <w:hideMark/>
          </w:tcPr>
          <w:p w14:paraId="0DB9ED6B" w14:textId="279EC719" w:rsidR="001D17AF" w:rsidRPr="008A485F" w:rsidRDefault="00C45C99"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3,71</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5F7C17D" w14:textId="44BB0079" w:rsidR="009A7783" w:rsidRDefault="00FF44ED" w:rsidP="00FF44ED">
      <w:pPr>
        <w:pStyle w:val="Prrafodelista"/>
        <w:numPr>
          <w:ilvl w:val="0"/>
          <w:numId w:val="24"/>
        </w:numPr>
        <w:suppressAutoHyphens/>
        <w:spacing w:after="120"/>
        <w:ind w:left="426" w:hanging="426"/>
        <w:jc w:val="both"/>
        <w:rPr>
          <w:rFonts w:cs="Arial"/>
          <w:b/>
          <w:bCs/>
          <w:sz w:val="22"/>
        </w:rPr>
      </w:pPr>
      <w:r>
        <w:rPr>
          <w:rFonts w:cs="Arial"/>
          <w:b/>
          <w:bCs/>
          <w:sz w:val="22"/>
        </w:rPr>
        <w:t>MONITOREO</w:t>
      </w:r>
      <w:r w:rsidRPr="00FF44ED">
        <w:rPr>
          <w:rFonts w:cs="Arial"/>
          <w:b/>
          <w:bCs/>
          <w:sz w:val="22"/>
        </w:rPr>
        <w:t xml:space="preserve"> DE PRECIOS</w:t>
      </w:r>
    </w:p>
    <w:p w14:paraId="506DA221" w14:textId="77777777" w:rsidR="00E62DFD" w:rsidRDefault="00E62DFD" w:rsidP="00E62DFD">
      <w:pPr>
        <w:suppressAutoHyphens/>
        <w:spacing w:after="120"/>
        <w:jc w:val="both"/>
        <w:rPr>
          <w:rFonts w:cs="Arial"/>
          <w:b/>
          <w:bCs/>
          <w:sz w:val="22"/>
        </w:rPr>
      </w:pPr>
    </w:p>
    <w:p w14:paraId="5F52D77E" w14:textId="684C2A03" w:rsidR="00E62DFD" w:rsidRDefault="00E62DFD" w:rsidP="00E62DFD">
      <w:pPr>
        <w:spacing w:line="276" w:lineRule="auto"/>
        <w:jc w:val="both"/>
        <w:rPr>
          <w:sz w:val="22"/>
          <w:szCs w:val="22"/>
        </w:rPr>
      </w:pPr>
      <w:r w:rsidRPr="009071DD">
        <w:rPr>
          <w:sz w:val="22"/>
          <w:szCs w:val="22"/>
        </w:rPr>
        <w:t>Se proponen tomar de referencia la siguiente fórmula de ajuste para mantener la ecuación económica equilibrada entre las partes:</w:t>
      </w:r>
    </w:p>
    <w:p w14:paraId="766016AD" w14:textId="77777777" w:rsidR="00E62DFD" w:rsidRPr="00E62DFD" w:rsidRDefault="00E62DFD" w:rsidP="00E62DFD">
      <w:pPr>
        <w:suppressAutoHyphens/>
        <w:spacing w:after="120"/>
        <w:jc w:val="both"/>
        <w:rPr>
          <w:rFonts w:cs="Arial"/>
          <w:b/>
          <w:bCs/>
          <w:sz w:val="22"/>
        </w:rPr>
      </w:pPr>
    </w:p>
    <w:p w14:paraId="6343A093" w14:textId="77777777" w:rsidR="002363A2" w:rsidRDefault="002363A2" w:rsidP="000E7B8C">
      <w:pPr>
        <w:pStyle w:val="Prrafodelista"/>
        <w:rPr>
          <w:sz w:val="22"/>
          <w:lang w:val="es-ES_tradnl"/>
        </w:rPr>
      </w:pPr>
    </w:p>
    <w:p w14:paraId="721C5237" w14:textId="36317DF9" w:rsidR="002363A2" w:rsidRDefault="002363A2" w:rsidP="000E7B8C">
      <w:pPr>
        <w:pStyle w:val="Prrafodelista"/>
        <w:rPr>
          <w:sz w:val="22"/>
          <w:lang w:val="es-ES_tradnl"/>
        </w:rPr>
      </w:pPr>
      <w:r>
        <w:rPr>
          <w:noProof/>
        </w:rPr>
        <w:drawing>
          <wp:inline distT="0" distB="0" distL="0" distR="0" wp14:anchorId="23BA85D0" wp14:editId="4BB4FA26">
            <wp:extent cx="5143500" cy="38935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984" cy="391888"/>
                    </a:xfrm>
                    <a:prstGeom prst="rect">
                      <a:avLst/>
                    </a:prstGeom>
                    <a:noFill/>
                  </pic:spPr>
                </pic:pic>
              </a:graphicData>
            </a:graphic>
          </wp:inline>
        </w:drawing>
      </w:r>
    </w:p>
    <w:p w14:paraId="31B100E1" w14:textId="77777777" w:rsidR="004F7AF0" w:rsidRDefault="004F7AF0" w:rsidP="000E7B8C">
      <w:pPr>
        <w:pStyle w:val="Prrafodelista"/>
        <w:rPr>
          <w:sz w:val="22"/>
          <w:lang w:val="es-ES_tradnl"/>
        </w:rPr>
      </w:pPr>
    </w:p>
    <w:tbl>
      <w:tblPr>
        <w:tblW w:w="0" w:type="auto"/>
        <w:tblCellMar>
          <w:left w:w="70" w:type="dxa"/>
          <w:right w:w="70" w:type="dxa"/>
        </w:tblCellMar>
        <w:tblLook w:val="04A0" w:firstRow="1" w:lastRow="0" w:firstColumn="1" w:lastColumn="0" w:noHBand="0" w:noVBand="1"/>
      </w:tblPr>
      <w:tblGrid>
        <w:gridCol w:w="1105"/>
        <w:gridCol w:w="5868"/>
        <w:gridCol w:w="1290"/>
        <w:gridCol w:w="1366"/>
      </w:tblGrid>
      <w:tr w:rsidR="008170C8" w:rsidRPr="00240143" w14:paraId="341A00FB" w14:textId="77777777" w:rsidTr="00A411A9">
        <w:trPr>
          <w:trHeight w:val="780"/>
          <w:tblHeader/>
        </w:trPr>
        <w:tc>
          <w:tcPr>
            <w:tcW w:w="0" w:type="auto"/>
            <w:tcBorders>
              <w:top w:val="single" w:sz="4" w:space="0" w:color="auto"/>
              <w:left w:val="single" w:sz="4" w:space="0" w:color="auto"/>
              <w:bottom w:val="nil"/>
              <w:right w:val="single" w:sz="4" w:space="0" w:color="auto"/>
            </w:tcBorders>
            <w:shd w:val="clear" w:color="000000" w:fill="808080"/>
            <w:vAlign w:val="center"/>
            <w:hideMark/>
          </w:tcPr>
          <w:p w14:paraId="376AF7CA"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Índice en formula</w:t>
            </w:r>
          </w:p>
        </w:tc>
        <w:tc>
          <w:tcPr>
            <w:tcW w:w="0" w:type="auto"/>
            <w:tcBorders>
              <w:top w:val="single" w:sz="4" w:space="0" w:color="auto"/>
              <w:left w:val="nil"/>
              <w:bottom w:val="nil"/>
              <w:right w:val="single" w:sz="4" w:space="0" w:color="auto"/>
            </w:tcBorders>
            <w:shd w:val="clear" w:color="000000" w:fill="808080"/>
            <w:vAlign w:val="center"/>
            <w:hideMark/>
          </w:tcPr>
          <w:p w14:paraId="1DB0C65E"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Fuente de datos</w:t>
            </w:r>
          </w:p>
        </w:tc>
        <w:tc>
          <w:tcPr>
            <w:tcW w:w="0" w:type="auto"/>
            <w:tcBorders>
              <w:top w:val="single" w:sz="4" w:space="0" w:color="auto"/>
              <w:left w:val="nil"/>
              <w:bottom w:val="nil"/>
              <w:right w:val="single" w:sz="4" w:space="0" w:color="auto"/>
            </w:tcBorders>
            <w:shd w:val="clear" w:color="000000" w:fill="808080"/>
            <w:vAlign w:val="center"/>
            <w:hideMark/>
          </w:tcPr>
          <w:p w14:paraId="21B6D0A7"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Mes base</w:t>
            </w:r>
          </w:p>
        </w:tc>
        <w:tc>
          <w:tcPr>
            <w:tcW w:w="0" w:type="auto"/>
            <w:tcBorders>
              <w:top w:val="single" w:sz="4" w:space="0" w:color="auto"/>
              <w:left w:val="nil"/>
              <w:bottom w:val="nil"/>
              <w:right w:val="single" w:sz="4" w:space="0" w:color="auto"/>
            </w:tcBorders>
            <w:shd w:val="clear" w:color="000000" w:fill="808080"/>
            <w:noWrap/>
            <w:vAlign w:val="center"/>
            <w:hideMark/>
          </w:tcPr>
          <w:p w14:paraId="7D6F5B99"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Incidencia</w:t>
            </w:r>
          </w:p>
        </w:tc>
      </w:tr>
      <w:tr w:rsidR="004F7AF0" w:rsidRPr="00240143" w14:paraId="65AC1137" w14:textId="77777777" w:rsidTr="00A411A9">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A47586"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WPU06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3D7571" w14:textId="77777777" w:rsidR="004F7AF0" w:rsidRPr="00240143" w:rsidRDefault="00000000" w:rsidP="00A411A9">
            <w:pPr>
              <w:jc w:val="center"/>
              <w:rPr>
                <w:rFonts w:ascii="Exo" w:hAnsi="Exo" w:cs="Calibri"/>
                <w:color w:val="0563C1"/>
                <w:sz w:val="18"/>
                <w:szCs w:val="18"/>
                <w:u w:val="single"/>
                <w:lang w:eastAsia="es-AR"/>
              </w:rPr>
            </w:pPr>
            <w:hyperlink r:id="rId13" w:history="1">
              <w:r w:rsidR="004F7AF0" w:rsidRPr="00240143">
                <w:rPr>
                  <w:rFonts w:ascii="Exo" w:hAnsi="Exo" w:cs="Calibri"/>
                  <w:color w:val="0563C1"/>
                  <w:sz w:val="18"/>
                  <w:szCs w:val="18"/>
                  <w:u w:val="single"/>
                  <w:lang w:eastAsia="es-AR"/>
                </w:rPr>
                <w:t>https://fred.stlouisfed.org/series/WPU06</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CF28C6" w14:textId="247165AE" w:rsidR="004F7AF0" w:rsidRPr="00240143" w:rsidRDefault="003F63E1" w:rsidP="00A411A9">
            <w:pPr>
              <w:jc w:val="center"/>
              <w:rPr>
                <w:rFonts w:ascii="Exo" w:hAnsi="Exo" w:cs="Calibri"/>
                <w:sz w:val="18"/>
                <w:szCs w:val="18"/>
                <w:lang w:eastAsia="es-AR"/>
              </w:rPr>
            </w:pPr>
            <w:r>
              <w:rPr>
                <w:rFonts w:ascii="Exo" w:hAnsi="Exo" w:cs="Calibri"/>
                <w:sz w:val="18"/>
                <w:szCs w:val="18"/>
                <w:lang w:eastAsia="es-AR"/>
              </w:rPr>
              <w:t>Dic</w:t>
            </w:r>
            <w:r w:rsidR="00737F8A">
              <w:rPr>
                <w:rFonts w:ascii="Exo" w:hAnsi="Exo" w:cs="Calibri"/>
                <w:sz w:val="18"/>
                <w:szCs w:val="18"/>
                <w:lang w:eastAsia="es-AR"/>
              </w:rPr>
              <w:t>-23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5BFAA9"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60%</w:t>
            </w:r>
          </w:p>
        </w:tc>
      </w:tr>
      <w:tr w:rsidR="004F7AF0" w:rsidRPr="00240143" w14:paraId="63AE092C" w14:textId="77777777" w:rsidTr="00240143">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D536F"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211684BF"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Secretaría de energía de la nación - Gasoil Grado 3 - Precio Venta al Público - Petro Oeste SRL (http://res1104.se.gob.ar/)</w:t>
            </w:r>
          </w:p>
        </w:tc>
        <w:tc>
          <w:tcPr>
            <w:tcW w:w="0" w:type="auto"/>
            <w:tcBorders>
              <w:top w:val="nil"/>
              <w:left w:val="nil"/>
              <w:bottom w:val="single" w:sz="4" w:space="0" w:color="auto"/>
              <w:right w:val="single" w:sz="4" w:space="0" w:color="auto"/>
            </w:tcBorders>
            <w:shd w:val="clear" w:color="auto" w:fill="auto"/>
            <w:vAlign w:val="center"/>
            <w:hideMark/>
          </w:tcPr>
          <w:p w14:paraId="77EF486F" w14:textId="7F3564EB" w:rsidR="004F7AF0" w:rsidRPr="00240143" w:rsidRDefault="004066E0" w:rsidP="00A411A9">
            <w:pPr>
              <w:jc w:val="center"/>
              <w:rPr>
                <w:rFonts w:ascii="Exo" w:hAnsi="Exo" w:cs="Calibri"/>
                <w:sz w:val="18"/>
                <w:szCs w:val="18"/>
                <w:lang w:eastAsia="es-AR"/>
              </w:rPr>
            </w:pPr>
            <w:r>
              <w:rPr>
                <w:rFonts w:ascii="Exo" w:hAnsi="Exo" w:cs="Calibri"/>
                <w:sz w:val="18"/>
                <w:szCs w:val="18"/>
                <w:lang w:eastAsia="es-AR"/>
              </w:rPr>
              <w:t>Nov</w:t>
            </w:r>
            <w:r w:rsidR="004F7AF0" w:rsidRPr="00240143">
              <w:rPr>
                <w:rFonts w:ascii="Exo" w:hAnsi="Exo" w:cs="Calibri"/>
                <w:sz w:val="18"/>
                <w:szCs w:val="18"/>
                <w:lang w:eastAsia="es-AR"/>
              </w:rPr>
              <w:t>-23</w:t>
            </w:r>
          </w:p>
        </w:tc>
        <w:tc>
          <w:tcPr>
            <w:tcW w:w="0" w:type="auto"/>
            <w:tcBorders>
              <w:top w:val="nil"/>
              <w:left w:val="nil"/>
              <w:bottom w:val="single" w:sz="4" w:space="0" w:color="auto"/>
              <w:right w:val="single" w:sz="4" w:space="0" w:color="auto"/>
            </w:tcBorders>
            <w:shd w:val="clear" w:color="auto" w:fill="auto"/>
            <w:vAlign w:val="center"/>
            <w:hideMark/>
          </w:tcPr>
          <w:p w14:paraId="31BABB3E"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25%</w:t>
            </w:r>
          </w:p>
        </w:tc>
      </w:tr>
      <w:tr w:rsidR="004F7AF0" w:rsidRPr="00240143" w14:paraId="4B9EA2D3" w14:textId="77777777" w:rsidTr="00A411A9">
        <w:trPr>
          <w:trHeight w:val="40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2BA0C"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4BC828C3" w14:textId="77777777" w:rsidR="004F7AF0" w:rsidRPr="00240143" w:rsidRDefault="004F7AF0" w:rsidP="00A411A9">
            <w:pPr>
              <w:jc w:val="center"/>
              <w:rPr>
                <w:rFonts w:ascii="Exo" w:hAnsi="Exo" w:cs="Calibri"/>
                <w:sz w:val="18"/>
                <w:szCs w:val="18"/>
                <w:lang w:eastAsia="es-AR"/>
              </w:rPr>
            </w:pPr>
            <w:proofErr w:type="spellStart"/>
            <w:r w:rsidRPr="00240143">
              <w:rPr>
                <w:rFonts w:ascii="Exo" w:hAnsi="Exo" w:cs="Calibri"/>
                <w:sz w:val="18"/>
                <w:szCs w:val="18"/>
                <w:lang w:eastAsia="es-AR"/>
              </w:rPr>
              <w:t>Indec</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D0A8D7" w14:textId="2EB73524" w:rsidR="004F7AF0" w:rsidRPr="00240143" w:rsidRDefault="004066E0" w:rsidP="00A411A9">
            <w:pPr>
              <w:jc w:val="center"/>
              <w:rPr>
                <w:rFonts w:ascii="Exo" w:hAnsi="Exo" w:cs="Calibri"/>
                <w:sz w:val="18"/>
                <w:szCs w:val="18"/>
                <w:lang w:eastAsia="es-AR"/>
              </w:rPr>
            </w:pPr>
            <w:r>
              <w:rPr>
                <w:rFonts w:ascii="Exo" w:hAnsi="Exo" w:cs="Calibri"/>
                <w:sz w:val="18"/>
                <w:szCs w:val="18"/>
                <w:lang w:eastAsia="es-AR"/>
              </w:rPr>
              <w:t>Nov</w:t>
            </w:r>
            <w:r w:rsidR="004F7AF0" w:rsidRPr="00240143">
              <w:rPr>
                <w:rFonts w:ascii="Exo" w:hAnsi="Exo" w:cs="Calibri"/>
                <w:sz w:val="18"/>
                <w:szCs w:val="18"/>
                <w:lang w:eastAsia="es-AR"/>
              </w:rPr>
              <w:t>-23</w:t>
            </w:r>
          </w:p>
        </w:tc>
        <w:tc>
          <w:tcPr>
            <w:tcW w:w="0" w:type="auto"/>
            <w:tcBorders>
              <w:top w:val="nil"/>
              <w:left w:val="nil"/>
              <w:bottom w:val="single" w:sz="4" w:space="0" w:color="auto"/>
              <w:right w:val="single" w:sz="4" w:space="0" w:color="auto"/>
            </w:tcBorders>
            <w:shd w:val="clear" w:color="auto" w:fill="auto"/>
            <w:vAlign w:val="center"/>
            <w:hideMark/>
          </w:tcPr>
          <w:p w14:paraId="57EA1E70"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15%</w:t>
            </w:r>
          </w:p>
        </w:tc>
      </w:tr>
      <w:tr w:rsidR="004F7AF0" w:rsidRPr="00240143" w14:paraId="225E1A05" w14:textId="77777777" w:rsidTr="00A411A9">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D96753"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Tasa de Cambio</w:t>
            </w:r>
          </w:p>
        </w:tc>
        <w:tc>
          <w:tcPr>
            <w:tcW w:w="0" w:type="auto"/>
            <w:tcBorders>
              <w:top w:val="nil"/>
              <w:left w:val="nil"/>
              <w:bottom w:val="single" w:sz="4" w:space="0" w:color="auto"/>
              <w:right w:val="single" w:sz="4" w:space="0" w:color="auto"/>
            </w:tcBorders>
            <w:shd w:val="clear" w:color="auto" w:fill="auto"/>
            <w:vAlign w:val="center"/>
            <w:hideMark/>
          </w:tcPr>
          <w:p w14:paraId="725D997D"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BNA. Cotización venta. Dólar Divisa</w:t>
            </w:r>
          </w:p>
        </w:tc>
        <w:tc>
          <w:tcPr>
            <w:tcW w:w="0" w:type="auto"/>
            <w:tcBorders>
              <w:top w:val="nil"/>
              <w:left w:val="nil"/>
              <w:bottom w:val="single" w:sz="4" w:space="0" w:color="auto"/>
              <w:right w:val="single" w:sz="4" w:space="0" w:color="auto"/>
            </w:tcBorders>
            <w:shd w:val="clear" w:color="auto" w:fill="auto"/>
            <w:vAlign w:val="center"/>
            <w:hideMark/>
          </w:tcPr>
          <w:p w14:paraId="0BD65569" w14:textId="0AE674E9" w:rsidR="004F7AF0" w:rsidRPr="00240143" w:rsidRDefault="001E0815" w:rsidP="00A411A9">
            <w:pPr>
              <w:jc w:val="center"/>
              <w:rPr>
                <w:rFonts w:ascii="Exo" w:hAnsi="Exo" w:cs="Calibri"/>
                <w:sz w:val="18"/>
                <w:szCs w:val="18"/>
                <w:lang w:eastAsia="es-AR"/>
              </w:rPr>
            </w:pPr>
            <w:r>
              <w:rPr>
                <w:rFonts w:ascii="Exo" w:hAnsi="Exo" w:cs="Calibri"/>
                <w:sz w:val="18"/>
                <w:szCs w:val="18"/>
                <w:lang w:eastAsia="es-AR"/>
              </w:rPr>
              <w:t>Dic</w:t>
            </w:r>
            <w:r w:rsidR="004006C3">
              <w:rPr>
                <w:rFonts w:ascii="Exo" w:hAnsi="Exo" w:cs="Calibri"/>
                <w:sz w:val="18"/>
                <w:szCs w:val="18"/>
                <w:lang w:eastAsia="es-AR"/>
              </w:rPr>
              <w:t xml:space="preserve"> -</w:t>
            </w:r>
            <w:r w:rsidR="004F7AF0" w:rsidRPr="00240143">
              <w:rPr>
                <w:rFonts w:ascii="Exo" w:hAnsi="Exo" w:cs="Calibri"/>
                <w:sz w:val="18"/>
                <w:szCs w:val="18"/>
                <w:lang w:eastAsia="es-AR"/>
              </w:rPr>
              <w:t xml:space="preserve"> 23 (Último día hábil)</w:t>
            </w:r>
          </w:p>
        </w:tc>
        <w:tc>
          <w:tcPr>
            <w:tcW w:w="0" w:type="auto"/>
            <w:tcBorders>
              <w:top w:val="nil"/>
              <w:left w:val="nil"/>
              <w:bottom w:val="single" w:sz="4" w:space="0" w:color="auto"/>
              <w:right w:val="single" w:sz="4" w:space="0" w:color="auto"/>
            </w:tcBorders>
            <w:shd w:val="clear" w:color="auto" w:fill="auto"/>
            <w:vAlign w:val="center"/>
            <w:hideMark/>
          </w:tcPr>
          <w:p w14:paraId="38976081"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Ajusta a índices en ARS</w:t>
            </w:r>
          </w:p>
        </w:tc>
      </w:tr>
    </w:tbl>
    <w:p w14:paraId="13F19EEF" w14:textId="77777777" w:rsidR="004F7AF0" w:rsidRPr="009A7783" w:rsidRDefault="004F7AF0" w:rsidP="000E7B8C">
      <w:pPr>
        <w:pStyle w:val="Prrafodelista"/>
        <w:rPr>
          <w:sz w:val="22"/>
          <w:lang w:val="es-ES_tradnl"/>
        </w:rPr>
      </w:pPr>
    </w:p>
    <w:sectPr w:rsidR="004F7AF0" w:rsidRPr="009A7783"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ACDF" w14:textId="77777777" w:rsidR="002D1955" w:rsidRDefault="002D1955">
      <w:r>
        <w:separator/>
      </w:r>
    </w:p>
  </w:endnote>
  <w:endnote w:type="continuationSeparator" w:id="0">
    <w:p w14:paraId="0556AD06" w14:textId="77777777" w:rsidR="002D1955" w:rsidRDefault="002D1955">
      <w:r>
        <w:continuationSeparator/>
      </w:r>
    </w:p>
  </w:endnote>
  <w:endnote w:type="continuationNotice" w:id="1">
    <w:p w14:paraId="3454570F" w14:textId="77777777" w:rsidR="002D1955" w:rsidRDefault="002D1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1EB143FD"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CA27D1">
      <w:rPr>
        <w:rFonts w:ascii="HelveticaNeueLT Std" w:hAnsi="HelveticaNeueLT Std" w:cs="Helvetica"/>
        <w:i/>
        <w:sz w:val="18"/>
        <w:lang w:val="es-ES_tradnl"/>
      </w:rPr>
      <w:t>26</w:t>
    </w:r>
    <w:r w:rsidR="00EA4625">
      <w:rPr>
        <w:rFonts w:ascii="HelveticaNeueLT Std" w:hAnsi="HelveticaNeueLT Std" w:cs="Helvetica"/>
        <w:i/>
        <w:sz w:val="18"/>
        <w:lang w:val="es-ES_tradnl"/>
      </w:rPr>
      <w:t xml:space="preserve"> de </w:t>
    </w:r>
    <w:r w:rsidR="005D0D5A">
      <w:rPr>
        <w:rFonts w:ascii="HelveticaNeueLT Std" w:hAnsi="HelveticaNeueLT Std" w:cs="Helvetica"/>
        <w:i/>
        <w:sz w:val="18"/>
        <w:lang w:val="es-ES_tradnl"/>
      </w:rPr>
      <w:t>enero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D0D5A">
      <w:rPr>
        <w:rFonts w:ascii="HelveticaNeueLT Std" w:hAnsi="HelveticaNeueLT Std" w:cs="Helvetica"/>
        <w:i/>
        <w:sz w:val="18"/>
        <w:lang w:val="es-ES_tradnl"/>
      </w:rPr>
      <w:t xml:space="preserve">4    </w:t>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A6DD" w14:textId="77777777" w:rsidR="002D1955" w:rsidRDefault="002D1955">
      <w:r>
        <w:separator/>
      </w:r>
    </w:p>
  </w:footnote>
  <w:footnote w:type="continuationSeparator" w:id="0">
    <w:p w14:paraId="78692F65" w14:textId="77777777" w:rsidR="002D1955" w:rsidRDefault="002D1955">
      <w:r>
        <w:continuationSeparator/>
      </w:r>
    </w:p>
  </w:footnote>
  <w:footnote w:type="continuationNotice" w:id="1">
    <w:p w14:paraId="6179598B" w14:textId="77777777" w:rsidR="002D1955" w:rsidRDefault="002D19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529BC5CA" w:rsidR="00B443AC" w:rsidRPr="00B443AC" w:rsidRDefault="00244955"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Phoenix Global Resources</w:t>
    </w:r>
    <w:r w:rsidR="008913F4">
      <w:rPr>
        <w:rFonts w:ascii="HelveticaNeueLT Std" w:hAnsi="HelveticaNeueLT Std" w:cs="Helvetica"/>
        <w:bCs/>
        <w:noProof/>
        <w:sz w:val="18"/>
        <w:szCs w:val="18"/>
        <w:lang w:val="pt-BR"/>
      </w:rPr>
      <w:t xml:space="preserve"> S.A</w:t>
    </w:r>
  </w:p>
  <w:p w14:paraId="38238606" w14:textId="771283CA"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8913F4">
      <w:rPr>
        <w:rFonts w:ascii="HelveticaNeueLT Std" w:hAnsi="HelveticaNeueLT Std" w:cs="Helvetica"/>
        <w:bCs/>
        <w:noProof/>
        <w:sz w:val="18"/>
        <w:szCs w:val="18"/>
        <w:lang w:val="pt-BR"/>
      </w:rPr>
      <w:t xml:space="preserve">Cotización </w:t>
    </w:r>
    <w:r w:rsidR="00E07C71">
      <w:rPr>
        <w:rFonts w:ascii="HelveticaNeueLT Std" w:hAnsi="HelveticaNeueLT Std" w:cs="Helvetica"/>
        <w:bCs/>
        <w:noProof/>
        <w:sz w:val="18"/>
        <w:szCs w:val="18"/>
        <w:lang w:val="pt-BR"/>
      </w:rPr>
      <w:t>Oxidante</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905738">
    <w:abstractNumId w:val="21"/>
  </w:num>
  <w:num w:numId="2" w16cid:durableId="1540894997">
    <w:abstractNumId w:val="0"/>
  </w:num>
  <w:num w:numId="3" w16cid:durableId="1116367318">
    <w:abstractNumId w:val="19"/>
  </w:num>
  <w:num w:numId="4" w16cid:durableId="670303787">
    <w:abstractNumId w:val="13"/>
  </w:num>
  <w:num w:numId="5" w16cid:durableId="744689756">
    <w:abstractNumId w:val="25"/>
  </w:num>
  <w:num w:numId="6" w16cid:durableId="1597324517">
    <w:abstractNumId w:val="23"/>
  </w:num>
  <w:num w:numId="7" w16cid:durableId="45180214">
    <w:abstractNumId w:val="18"/>
  </w:num>
  <w:num w:numId="8" w16cid:durableId="561985934">
    <w:abstractNumId w:val="9"/>
  </w:num>
  <w:num w:numId="9" w16cid:durableId="1854804724">
    <w:abstractNumId w:val="31"/>
  </w:num>
  <w:num w:numId="10" w16cid:durableId="926426313">
    <w:abstractNumId w:val="1"/>
  </w:num>
  <w:num w:numId="11" w16cid:durableId="1598052086">
    <w:abstractNumId w:val="20"/>
  </w:num>
  <w:num w:numId="12" w16cid:durableId="144783043">
    <w:abstractNumId w:val="2"/>
  </w:num>
  <w:num w:numId="13" w16cid:durableId="1908304156">
    <w:abstractNumId w:val="15"/>
  </w:num>
  <w:num w:numId="14" w16cid:durableId="850948107">
    <w:abstractNumId w:val="30"/>
  </w:num>
  <w:num w:numId="15" w16cid:durableId="156502093">
    <w:abstractNumId w:val="5"/>
  </w:num>
  <w:num w:numId="16" w16cid:durableId="673144163">
    <w:abstractNumId w:val="16"/>
  </w:num>
  <w:num w:numId="17" w16cid:durableId="1107968148">
    <w:abstractNumId w:val="7"/>
  </w:num>
  <w:num w:numId="18" w16cid:durableId="1259486860">
    <w:abstractNumId w:val="28"/>
  </w:num>
  <w:num w:numId="19" w16cid:durableId="455874414">
    <w:abstractNumId w:val="3"/>
  </w:num>
  <w:num w:numId="20" w16cid:durableId="193277241">
    <w:abstractNumId w:val="10"/>
  </w:num>
  <w:num w:numId="21" w16cid:durableId="328363778">
    <w:abstractNumId w:val="11"/>
  </w:num>
  <w:num w:numId="22" w16cid:durableId="581722282">
    <w:abstractNumId w:val="33"/>
  </w:num>
  <w:num w:numId="23" w16cid:durableId="1466040969">
    <w:abstractNumId w:val="6"/>
  </w:num>
  <w:num w:numId="24" w16cid:durableId="438183331">
    <w:abstractNumId w:val="17"/>
  </w:num>
  <w:num w:numId="25" w16cid:durableId="1527256318">
    <w:abstractNumId w:val="22"/>
  </w:num>
  <w:num w:numId="26" w16cid:durableId="343285276">
    <w:abstractNumId w:val="12"/>
  </w:num>
  <w:num w:numId="27" w16cid:durableId="1558739374">
    <w:abstractNumId w:val="29"/>
  </w:num>
  <w:num w:numId="28" w16cid:durableId="881329846">
    <w:abstractNumId w:val="27"/>
  </w:num>
  <w:num w:numId="29" w16cid:durableId="383136674">
    <w:abstractNumId w:val="32"/>
  </w:num>
  <w:num w:numId="30" w16cid:durableId="486019300">
    <w:abstractNumId w:val="8"/>
  </w:num>
  <w:num w:numId="31" w16cid:durableId="1122068549">
    <w:abstractNumId w:val="26"/>
  </w:num>
  <w:num w:numId="32" w16cid:durableId="1135879069">
    <w:abstractNumId w:val="4"/>
  </w:num>
  <w:num w:numId="33" w16cid:durableId="226575623">
    <w:abstractNumId w:val="24"/>
  </w:num>
  <w:num w:numId="34" w16cid:durableId="962809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425E"/>
    <w:rsid w:val="000151E5"/>
    <w:rsid w:val="000221E9"/>
    <w:rsid w:val="0002303C"/>
    <w:rsid w:val="00030D2D"/>
    <w:rsid w:val="00031E45"/>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7B8C"/>
    <w:rsid w:val="001230BD"/>
    <w:rsid w:val="00130F48"/>
    <w:rsid w:val="0013260B"/>
    <w:rsid w:val="00135FF6"/>
    <w:rsid w:val="00140BFD"/>
    <w:rsid w:val="0014435F"/>
    <w:rsid w:val="0017339A"/>
    <w:rsid w:val="00180837"/>
    <w:rsid w:val="001822C7"/>
    <w:rsid w:val="001936A2"/>
    <w:rsid w:val="001A588E"/>
    <w:rsid w:val="001A719B"/>
    <w:rsid w:val="001B054A"/>
    <w:rsid w:val="001B18F5"/>
    <w:rsid w:val="001B3976"/>
    <w:rsid w:val="001B6A43"/>
    <w:rsid w:val="001D17AF"/>
    <w:rsid w:val="001D2DC5"/>
    <w:rsid w:val="001E0815"/>
    <w:rsid w:val="001E0968"/>
    <w:rsid w:val="00227E85"/>
    <w:rsid w:val="002309CF"/>
    <w:rsid w:val="00232E15"/>
    <w:rsid w:val="002363A2"/>
    <w:rsid w:val="00240143"/>
    <w:rsid w:val="00244955"/>
    <w:rsid w:val="002474DD"/>
    <w:rsid w:val="0025519D"/>
    <w:rsid w:val="002642B7"/>
    <w:rsid w:val="00266289"/>
    <w:rsid w:val="00275CCD"/>
    <w:rsid w:val="00283602"/>
    <w:rsid w:val="00285780"/>
    <w:rsid w:val="002A4C51"/>
    <w:rsid w:val="002B63E4"/>
    <w:rsid w:val="002C0499"/>
    <w:rsid w:val="002C3064"/>
    <w:rsid w:val="002D1955"/>
    <w:rsid w:val="002D543D"/>
    <w:rsid w:val="002E2232"/>
    <w:rsid w:val="002E77AC"/>
    <w:rsid w:val="00315727"/>
    <w:rsid w:val="003177FB"/>
    <w:rsid w:val="00325006"/>
    <w:rsid w:val="00331151"/>
    <w:rsid w:val="003314F2"/>
    <w:rsid w:val="00337168"/>
    <w:rsid w:val="00346820"/>
    <w:rsid w:val="00384BBE"/>
    <w:rsid w:val="003C282E"/>
    <w:rsid w:val="003D2F14"/>
    <w:rsid w:val="003D79B7"/>
    <w:rsid w:val="003E057B"/>
    <w:rsid w:val="003E0585"/>
    <w:rsid w:val="003E0B49"/>
    <w:rsid w:val="003E30E4"/>
    <w:rsid w:val="003F505C"/>
    <w:rsid w:val="003F63E1"/>
    <w:rsid w:val="004006C3"/>
    <w:rsid w:val="0040162B"/>
    <w:rsid w:val="004066E0"/>
    <w:rsid w:val="00413B55"/>
    <w:rsid w:val="00426DDC"/>
    <w:rsid w:val="00432A63"/>
    <w:rsid w:val="00435C39"/>
    <w:rsid w:val="004522FE"/>
    <w:rsid w:val="00463DDE"/>
    <w:rsid w:val="00475098"/>
    <w:rsid w:val="0048317A"/>
    <w:rsid w:val="00483728"/>
    <w:rsid w:val="0048681F"/>
    <w:rsid w:val="004919DE"/>
    <w:rsid w:val="00492022"/>
    <w:rsid w:val="0049228C"/>
    <w:rsid w:val="004A395D"/>
    <w:rsid w:val="004A4FFF"/>
    <w:rsid w:val="004B1E19"/>
    <w:rsid w:val="004F7AF0"/>
    <w:rsid w:val="0050667E"/>
    <w:rsid w:val="005074D8"/>
    <w:rsid w:val="005207F6"/>
    <w:rsid w:val="00521021"/>
    <w:rsid w:val="005214C4"/>
    <w:rsid w:val="00523A16"/>
    <w:rsid w:val="00530312"/>
    <w:rsid w:val="00531F96"/>
    <w:rsid w:val="00541EA5"/>
    <w:rsid w:val="005511B5"/>
    <w:rsid w:val="005518A0"/>
    <w:rsid w:val="005533A4"/>
    <w:rsid w:val="00562A75"/>
    <w:rsid w:val="00563F31"/>
    <w:rsid w:val="0057375C"/>
    <w:rsid w:val="00577426"/>
    <w:rsid w:val="00590C78"/>
    <w:rsid w:val="005B6A22"/>
    <w:rsid w:val="005D0B56"/>
    <w:rsid w:val="005D0D5A"/>
    <w:rsid w:val="005D3D80"/>
    <w:rsid w:val="005D59A3"/>
    <w:rsid w:val="005E1974"/>
    <w:rsid w:val="005F09EA"/>
    <w:rsid w:val="00607999"/>
    <w:rsid w:val="006115BF"/>
    <w:rsid w:val="00614FB3"/>
    <w:rsid w:val="0061667C"/>
    <w:rsid w:val="00616A34"/>
    <w:rsid w:val="00650004"/>
    <w:rsid w:val="0065352B"/>
    <w:rsid w:val="00662289"/>
    <w:rsid w:val="0066324C"/>
    <w:rsid w:val="00682AD5"/>
    <w:rsid w:val="006A31F0"/>
    <w:rsid w:val="006A4D77"/>
    <w:rsid w:val="006A5FB2"/>
    <w:rsid w:val="006C05DC"/>
    <w:rsid w:val="006C28C9"/>
    <w:rsid w:val="006D710E"/>
    <w:rsid w:val="006E1532"/>
    <w:rsid w:val="006E2264"/>
    <w:rsid w:val="006F3064"/>
    <w:rsid w:val="006F4D3D"/>
    <w:rsid w:val="007017CC"/>
    <w:rsid w:val="00721735"/>
    <w:rsid w:val="0072179C"/>
    <w:rsid w:val="00721A28"/>
    <w:rsid w:val="00737F8A"/>
    <w:rsid w:val="00751E9A"/>
    <w:rsid w:val="00761889"/>
    <w:rsid w:val="00764D20"/>
    <w:rsid w:val="0076737A"/>
    <w:rsid w:val="00772E59"/>
    <w:rsid w:val="0077405F"/>
    <w:rsid w:val="0077601D"/>
    <w:rsid w:val="00783B94"/>
    <w:rsid w:val="007855AC"/>
    <w:rsid w:val="007959CD"/>
    <w:rsid w:val="007960A4"/>
    <w:rsid w:val="007A0E26"/>
    <w:rsid w:val="007A51E5"/>
    <w:rsid w:val="007B53D6"/>
    <w:rsid w:val="007B6E09"/>
    <w:rsid w:val="007C253D"/>
    <w:rsid w:val="007E1A2E"/>
    <w:rsid w:val="007F1DEC"/>
    <w:rsid w:val="007F31E7"/>
    <w:rsid w:val="00807F04"/>
    <w:rsid w:val="008170C8"/>
    <w:rsid w:val="00823076"/>
    <w:rsid w:val="0083384F"/>
    <w:rsid w:val="008528DC"/>
    <w:rsid w:val="00854305"/>
    <w:rsid w:val="00865F71"/>
    <w:rsid w:val="00866C35"/>
    <w:rsid w:val="0087085A"/>
    <w:rsid w:val="0087139B"/>
    <w:rsid w:val="00875DA5"/>
    <w:rsid w:val="00886A87"/>
    <w:rsid w:val="00887000"/>
    <w:rsid w:val="008913F4"/>
    <w:rsid w:val="008A07FF"/>
    <w:rsid w:val="008A485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D0DBF"/>
    <w:rsid w:val="009E197B"/>
    <w:rsid w:val="009E4312"/>
    <w:rsid w:val="009F1CA9"/>
    <w:rsid w:val="009F7A5E"/>
    <w:rsid w:val="00A0047E"/>
    <w:rsid w:val="00A26272"/>
    <w:rsid w:val="00A331F9"/>
    <w:rsid w:val="00A43E10"/>
    <w:rsid w:val="00A535CD"/>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5C99"/>
    <w:rsid w:val="00C47B3D"/>
    <w:rsid w:val="00C5705E"/>
    <w:rsid w:val="00C6046B"/>
    <w:rsid w:val="00C61E8C"/>
    <w:rsid w:val="00C70D2D"/>
    <w:rsid w:val="00C82301"/>
    <w:rsid w:val="00C916A3"/>
    <w:rsid w:val="00C92E71"/>
    <w:rsid w:val="00CA27D1"/>
    <w:rsid w:val="00CA5A90"/>
    <w:rsid w:val="00CB4685"/>
    <w:rsid w:val="00CC3814"/>
    <w:rsid w:val="00CC6B74"/>
    <w:rsid w:val="00CD540F"/>
    <w:rsid w:val="00CE6BA6"/>
    <w:rsid w:val="00CF42D3"/>
    <w:rsid w:val="00D05611"/>
    <w:rsid w:val="00D14DF3"/>
    <w:rsid w:val="00D16093"/>
    <w:rsid w:val="00D160BC"/>
    <w:rsid w:val="00D17441"/>
    <w:rsid w:val="00D207E3"/>
    <w:rsid w:val="00D27CE8"/>
    <w:rsid w:val="00D46C69"/>
    <w:rsid w:val="00D505E2"/>
    <w:rsid w:val="00D553B8"/>
    <w:rsid w:val="00D62ACC"/>
    <w:rsid w:val="00D64C64"/>
    <w:rsid w:val="00D73585"/>
    <w:rsid w:val="00D77748"/>
    <w:rsid w:val="00D84BFC"/>
    <w:rsid w:val="00D93CDB"/>
    <w:rsid w:val="00D964C3"/>
    <w:rsid w:val="00D96AE0"/>
    <w:rsid w:val="00D96D3E"/>
    <w:rsid w:val="00DA3C3B"/>
    <w:rsid w:val="00DA7657"/>
    <w:rsid w:val="00DA7EA4"/>
    <w:rsid w:val="00DB5901"/>
    <w:rsid w:val="00DD29CE"/>
    <w:rsid w:val="00DD5E6B"/>
    <w:rsid w:val="00DE49F4"/>
    <w:rsid w:val="00DE7FDE"/>
    <w:rsid w:val="00DF0DFB"/>
    <w:rsid w:val="00E07C71"/>
    <w:rsid w:val="00E20101"/>
    <w:rsid w:val="00E2237F"/>
    <w:rsid w:val="00E24FBF"/>
    <w:rsid w:val="00E3345A"/>
    <w:rsid w:val="00E50FA3"/>
    <w:rsid w:val="00E57108"/>
    <w:rsid w:val="00E62DFD"/>
    <w:rsid w:val="00E81EF5"/>
    <w:rsid w:val="00E935C5"/>
    <w:rsid w:val="00E93732"/>
    <w:rsid w:val="00E93925"/>
    <w:rsid w:val="00EA4625"/>
    <w:rsid w:val="00EB340B"/>
    <w:rsid w:val="00EE2F3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ED"/>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stlouisfed.org/series/WPU06"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2E977063-2A89-4EC3-95AA-C8003312D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4720</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76</cp:revision>
  <cp:lastPrinted>2021-02-04T12:22:00Z</cp:lastPrinted>
  <dcterms:created xsi:type="dcterms:W3CDTF">2022-07-13T16:25:00Z</dcterms:created>
  <dcterms:modified xsi:type="dcterms:W3CDTF">2024-01-26T19:27:00Z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