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B768" w14:textId="577E6FBA" w:rsidR="00A60A40" w:rsidRDefault="00A60A40" w:rsidP="00A60A40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Cantidad de puntos bajo tratamiento químico, y distribución entre modalidad de inyección en continua y/o </w:t>
      </w:r>
      <w:proofErr w:type="spellStart"/>
      <w:r>
        <w:rPr>
          <w:rFonts w:cs="Arial"/>
          <w:spacing w:val="-3"/>
          <w:sz w:val="22"/>
        </w:rPr>
        <w:t>batcheo</w:t>
      </w:r>
      <w:proofErr w:type="spellEnd"/>
      <w:r>
        <w:rPr>
          <w:rFonts w:cs="Arial"/>
          <w:spacing w:val="-3"/>
          <w:sz w:val="22"/>
        </w:rPr>
        <w:t>.</w:t>
      </w:r>
    </w:p>
    <w:p w14:paraId="7506D12D" w14:textId="540F9606" w:rsidR="00805640" w:rsidRDefault="0050735D" w:rsidP="00A60A40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Cantidad de puntos de tratamiento químico en planta y pozos y d</w:t>
      </w:r>
      <w:r w:rsidR="00805640">
        <w:rPr>
          <w:rFonts w:cs="Arial"/>
          <w:spacing w:val="-3"/>
          <w:sz w:val="22"/>
        </w:rPr>
        <w:t>istribución entre las diferentes áreas de operación de EMEA.</w:t>
      </w:r>
    </w:p>
    <w:p w14:paraId="397E305C" w14:textId="40EE0218" w:rsidR="0050735D" w:rsidRDefault="0050735D" w:rsidP="0050735D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Especificación de jornada laboral requerida. </w:t>
      </w:r>
    </w:p>
    <w:p w14:paraId="2965DE84" w14:textId="5D3EB5B7" w:rsidR="00B92905" w:rsidRPr="0050735D" w:rsidRDefault="00B92905" w:rsidP="0050735D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Volumen de producción de gas, agua y petróleo </w:t>
      </w:r>
      <w:r w:rsidR="003C0596">
        <w:rPr>
          <w:rFonts w:cs="Arial"/>
          <w:spacing w:val="-3"/>
          <w:sz w:val="22"/>
        </w:rPr>
        <w:t>actual en las diferentes áreas operadas por EMEA.</w:t>
      </w:r>
    </w:p>
    <w:p w14:paraId="07C0ADC0" w14:textId="7348B59E" w:rsidR="00FF41B5" w:rsidRDefault="00FF41B5" w:rsidP="00A60A40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Volumen actual de inyección </w:t>
      </w:r>
      <w:r w:rsidR="007E43D4">
        <w:rPr>
          <w:rFonts w:cs="Arial"/>
          <w:spacing w:val="-3"/>
          <w:sz w:val="22"/>
        </w:rPr>
        <w:t xml:space="preserve">por tratamiento químico. </w:t>
      </w:r>
    </w:p>
    <w:p w14:paraId="4EB4D3DF" w14:textId="7FA95F54" w:rsidR="00EC4FF1" w:rsidRDefault="007E43D4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Los </w:t>
      </w:r>
      <w:proofErr w:type="spellStart"/>
      <w:r>
        <w:rPr>
          <w:rFonts w:cs="Arial"/>
          <w:spacing w:val="-3"/>
          <w:sz w:val="22"/>
        </w:rPr>
        <w:t>skids</w:t>
      </w:r>
      <w:proofErr w:type="spellEnd"/>
      <w:r>
        <w:rPr>
          <w:rFonts w:cs="Arial"/>
          <w:spacing w:val="-3"/>
          <w:sz w:val="22"/>
        </w:rPr>
        <w:t xml:space="preserve"> de inyección son propiedad de Exxon </w:t>
      </w:r>
      <w:proofErr w:type="spellStart"/>
      <w:r>
        <w:rPr>
          <w:rFonts w:cs="Arial"/>
          <w:spacing w:val="-3"/>
          <w:sz w:val="22"/>
        </w:rPr>
        <w:t>Mobil</w:t>
      </w:r>
      <w:proofErr w:type="spellEnd"/>
      <w:r>
        <w:rPr>
          <w:rFonts w:cs="Arial"/>
          <w:spacing w:val="-3"/>
          <w:sz w:val="22"/>
        </w:rPr>
        <w:t xml:space="preserve"> o de la contratista.</w:t>
      </w:r>
      <w:r w:rsidR="00EC4FF1">
        <w:rPr>
          <w:rFonts w:cs="Arial"/>
          <w:spacing w:val="-3"/>
          <w:sz w:val="22"/>
        </w:rPr>
        <w:t xml:space="preserve"> En caso de ser propiedad de Exxon que modelos de bombas se tiene en el área.</w:t>
      </w:r>
    </w:p>
    <w:p w14:paraId="66AE66D6" w14:textId="76FE31BB" w:rsidR="00EC4FF1" w:rsidRDefault="00EC4FF1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Los repuestos por mantenimiento son a cargo de Exxon </w:t>
      </w:r>
      <w:proofErr w:type="spellStart"/>
      <w:r>
        <w:rPr>
          <w:rFonts w:cs="Arial"/>
          <w:spacing w:val="-3"/>
          <w:sz w:val="22"/>
        </w:rPr>
        <w:t>Mobil</w:t>
      </w:r>
      <w:proofErr w:type="spellEnd"/>
      <w:r>
        <w:rPr>
          <w:rFonts w:cs="Arial"/>
          <w:spacing w:val="-3"/>
          <w:sz w:val="22"/>
        </w:rPr>
        <w:t xml:space="preserve"> o de la contratista.</w:t>
      </w:r>
    </w:p>
    <w:p w14:paraId="60DEE3E4" w14:textId="295C5960" w:rsidR="00EC4FF1" w:rsidRDefault="00354A90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Diagrama de flujo de las plantas</w:t>
      </w:r>
      <w:r w:rsidR="008D11B9">
        <w:rPr>
          <w:rFonts w:cs="Arial"/>
          <w:spacing w:val="-3"/>
          <w:sz w:val="22"/>
        </w:rPr>
        <w:t>.</w:t>
      </w:r>
      <w:r w:rsidR="002721B4">
        <w:rPr>
          <w:rFonts w:cs="Arial"/>
          <w:spacing w:val="-3"/>
          <w:sz w:val="22"/>
        </w:rPr>
        <w:t xml:space="preserve"> </w:t>
      </w:r>
    </w:p>
    <w:p w14:paraId="639249F0" w14:textId="65789FC0" w:rsidR="008D11B9" w:rsidRDefault="008D11B9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Cromatografía del gas</w:t>
      </w:r>
      <w:r w:rsidR="00BA3E99">
        <w:rPr>
          <w:rFonts w:cs="Arial"/>
          <w:spacing w:val="-3"/>
          <w:sz w:val="22"/>
        </w:rPr>
        <w:t xml:space="preserve"> en </w:t>
      </w:r>
      <w:r w:rsidR="00F80FC6">
        <w:rPr>
          <w:rFonts w:cs="Arial"/>
          <w:spacing w:val="-3"/>
          <w:sz w:val="22"/>
        </w:rPr>
        <w:t>Bajo del Choique, Los Toldos 1 Sur Este y Oeste</w:t>
      </w:r>
      <w:r w:rsidR="002721B4">
        <w:rPr>
          <w:rFonts w:cs="Arial"/>
          <w:spacing w:val="-3"/>
          <w:sz w:val="22"/>
        </w:rPr>
        <w:t xml:space="preserve"> y</w:t>
      </w:r>
      <w:r w:rsidR="00F80FC6">
        <w:rPr>
          <w:rFonts w:cs="Arial"/>
          <w:spacing w:val="-3"/>
          <w:sz w:val="22"/>
        </w:rPr>
        <w:t xml:space="preserve"> Pampa de las Yeguas. </w:t>
      </w:r>
    </w:p>
    <w:p w14:paraId="5F074B89" w14:textId="2B62C8CF" w:rsidR="00F80FC6" w:rsidRDefault="002721B4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437ADA">
        <w:rPr>
          <w:rFonts w:cs="Arial"/>
          <w:spacing w:val="-3"/>
          <w:sz w:val="22"/>
        </w:rPr>
        <w:t>Se exige una familia química específica para los tratamientos secuestrantes de sulfhídrico</w:t>
      </w:r>
      <w:r>
        <w:rPr>
          <w:rFonts w:cs="Arial"/>
          <w:spacing w:val="-3"/>
          <w:sz w:val="22"/>
        </w:rPr>
        <w:t xml:space="preserve">? </w:t>
      </w:r>
    </w:p>
    <w:p w14:paraId="2D1B5748" w14:textId="72D8FFA5" w:rsidR="00437ADA" w:rsidRDefault="008C3625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En el pliego </w:t>
      </w:r>
      <w:r w:rsidR="00763AF8">
        <w:rPr>
          <w:rFonts w:cs="Arial"/>
          <w:spacing w:val="-3"/>
          <w:sz w:val="22"/>
        </w:rPr>
        <w:t>técnico hace mención como actividades rutinarias los siguientes ítems: funcionamiento de bombas, inventario de productos en los puntos de inyección y almacenamiento</w:t>
      </w:r>
      <w:r w:rsidR="00D86D3D">
        <w:rPr>
          <w:rFonts w:cs="Arial"/>
          <w:spacing w:val="-3"/>
          <w:sz w:val="22"/>
        </w:rPr>
        <w:t xml:space="preserve">, verificación de las dosis de producto, verificación del consumo. Estos no figuran dentro del </w:t>
      </w:r>
      <w:proofErr w:type="spellStart"/>
      <w:r w:rsidR="00D86D3D">
        <w:rPr>
          <w:rFonts w:cs="Arial"/>
          <w:spacing w:val="-3"/>
          <w:sz w:val="22"/>
        </w:rPr>
        <w:t>pricing</w:t>
      </w:r>
      <w:proofErr w:type="spellEnd"/>
      <w:r w:rsidR="00D86D3D">
        <w:rPr>
          <w:rFonts w:cs="Arial"/>
          <w:spacing w:val="-3"/>
          <w:sz w:val="22"/>
        </w:rPr>
        <w:t xml:space="preserve"> </w:t>
      </w:r>
      <w:proofErr w:type="spellStart"/>
      <w:r w:rsidR="00D86D3D">
        <w:rPr>
          <w:rFonts w:cs="Arial"/>
          <w:spacing w:val="-3"/>
          <w:sz w:val="22"/>
        </w:rPr>
        <w:t>sheet</w:t>
      </w:r>
      <w:proofErr w:type="spellEnd"/>
      <w:r w:rsidR="00D86D3D">
        <w:rPr>
          <w:rFonts w:cs="Arial"/>
          <w:spacing w:val="-3"/>
          <w:sz w:val="22"/>
        </w:rPr>
        <w:t>, ¿Se pueden adicionar como un ítem de servicio o los debemos considerar dentro del precio por litro de los productos químicos?</w:t>
      </w:r>
      <w:r w:rsidR="002721B4">
        <w:rPr>
          <w:rFonts w:cs="Arial"/>
          <w:spacing w:val="-3"/>
          <w:sz w:val="22"/>
        </w:rPr>
        <w:t xml:space="preserve"> En caso de adicionarse, ¿se debe cotizar en pesos o dólares?</w:t>
      </w:r>
    </w:p>
    <w:p w14:paraId="50CDC4E9" w14:textId="0D5DF9B2" w:rsidR="00D86D3D" w:rsidRDefault="000727AB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Los ítems considerados </w:t>
      </w:r>
      <w:r w:rsidR="002721B4" w:rsidRPr="002721B4">
        <w:rPr>
          <w:rFonts w:cs="Arial"/>
          <w:i/>
          <w:iCs/>
          <w:spacing w:val="-3"/>
          <w:sz w:val="22"/>
        </w:rPr>
        <w:t>“</w:t>
      </w:r>
      <w:r w:rsidRPr="002721B4">
        <w:rPr>
          <w:rFonts w:cs="Arial"/>
          <w:i/>
          <w:iCs/>
          <w:spacing w:val="-3"/>
          <w:sz w:val="22"/>
        </w:rPr>
        <w:t>servicios adicionales</w:t>
      </w:r>
      <w:r w:rsidR="002721B4" w:rsidRPr="002721B4">
        <w:rPr>
          <w:rFonts w:cs="Arial"/>
          <w:i/>
          <w:iCs/>
          <w:spacing w:val="-3"/>
          <w:sz w:val="22"/>
        </w:rPr>
        <w:t>”</w:t>
      </w:r>
      <w:r>
        <w:rPr>
          <w:rFonts w:cs="Arial"/>
          <w:spacing w:val="-3"/>
          <w:sz w:val="22"/>
        </w:rPr>
        <w:t xml:space="preserve"> en el pliego técnico se deben cotizar</w:t>
      </w:r>
      <w:r w:rsidR="0034299B">
        <w:rPr>
          <w:rFonts w:cs="Arial"/>
          <w:spacing w:val="-3"/>
          <w:sz w:val="22"/>
        </w:rPr>
        <w:t>, o se cotizará en función de</w:t>
      </w:r>
      <w:r w:rsidR="006A4AC4">
        <w:rPr>
          <w:rFonts w:cs="Arial"/>
          <w:spacing w:val="-3"/>
          <w:sz w:val="22"/>
        </w:rPr>
        <w:t xml:space="preserve"> la necesidad y </w:t>
      </w:r>
      <w:r w:rsidR="0034299B">
        <w:rPr>
          <w:rFonts w:cs="Arial"/>
          <w:spacing w:val="-3"/>
          <w:sz w:val="22"/>
        </w:rPr>
        <w:t>desarrollo de actividades.</w:t>
      </w:r>
    </w:p>
    <w:p w14:paraId="24D8660F" w14:textId="6E18079A" w:rsidR="0034299B" w:rsidRDefault="002F2C62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Exxon </w:t>
      </w:r>
      <w:proofErr w:type="spellStart"/>
      <w:r>
        <w:rPr>
          <w:rFonts w:cs="Arial"/>
          <w:spacing w:val="-3"/>
          <w:sz w:val="22"/>
        </w:rPr>
        <w:t>Mobil</w:t>
      </w:r>
      <w:proofErr w:type="spellEnd"/>
      <w:r>
        <w:rPr>
          <w:rFonts w:cs="Arial"/>
          <w:spacing w:val="-3"/>
          <w:sz w:val="22"/>
        </w:rPr>
        <w:t xml:space="preserve"> cuenta con habilitación en el RENPRE para manejo de sustancias controladas?</w:t>
      </w:r>
    </w:p>
    <w:p w14:paraId="3895ED7B" w14:textId="37F63446" w:rsidR="002F2C62" w:rsidRDefault="00C1165D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58456C">
        <w:rPr>
          <w:rFonts w:cs="Arial"/>
          <w:spacing w:val="-3"/>
          <w:sz w:val="22"/>
        </w:rPr>
        <w:t>Se cuenta con espacio dentro del yacimiento para acopio de productos químicos, o</w:t>
      </w:r>
      <w:r w:rsidR="006A4AC4">
        <w:rPr>
          <w:rFonts w:cs="Arial"/>
          <w:spacing w:val="-3"/>
          <w:sz w:val="22"/>
        </w:rPr>
        <w:t xml:space="preserve"> se</w:t>
      </w:r>
      <w:r w:rsidR="0058456C">
        <w:rPr>
          <w:rFonts w:cs="Arial"/>
          <w:spacing w:val="-3"/>
          <w:sz w:val="22"/>
        </w:rPr>
        <w:t xml:space="preserve"> debe realizar en las bases de la contratista?</w:t>
      </w:r>
    </w:p>
    <w:p w14:paraId="27DBBA11" w14:textId="6B8A6682" w:rsidR="0058456C" w:rsidRDefault="006A4AC4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A17495">
        <w:rPr>
          <w:rFonts w:cs="Arial"/>
          <w:spacing w:val="-3"/>
          <w:sz w:val="22"/>
        </w:rPr>
        <w:t>Los puntos de aplicación de secuestrante de sulfhídrico poseen difusores para dispersión del producto químico dentro de la corriente de flujo</w:t>
      </w:r>
      <w:r>
        <w:rPr>
          <w:rFonts w:cs="Arial"/>
          <w:spacing w:val="-3"/>
          <w:sz w:val="22"/>
        </w:rPr>
        <w:t>?</w:t>
      </w:r>
    </w:p>
    <w:p w14:paraId="5DB8DCF3" w14:textId="294B5EB5" w:rsidR="00A17495" w:rsidRDefault="00D743F1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A905A2">
        <w:rPr>
          <w:rFonts w:cs="Arial"/>
          <w:spacing w:val="-3"/>
          <w:sz w:val="22"/>
        </w:rPr>
        <w:t xml:space="preserve">Los cupones y sondas mencionadas dentro del monitoreo de los tratamientos químicos son propiedad de EMEA? </w:t>
      </w:r>
      <w:r>
        <w:rPr>
          <w:rFonts w:cs="Arial"/>
          <w:spacing w:val="-3"/>
          <w:sz w:val="22"/>
        </w:rPr>
        <w:t>¿Qué presión tienen las líneas donde se encuentran ubicados? ¿Con qué frecuencia se realiza el cambio de cupones</w:t>
      </w:r>
      <w:r w:rsidR="006A4AC4">
        <w:rPr>
          <w:rFonts w:cs="Arial"/>
          <w:spacing w:val="-3"/>
          <w:sz w:val="22"/>
        </w:rPr>
        <w:t xml:space="preserve"> y sondas</w:t>
      </w:r>
      <w:r>
        <w:rPr>
          <w:rFonts w:cs="Arial"/>
          <w:spacing w:val="-3"/>
          <w:sz w:val="22"/>
        </w:rPr>
        <w:t>?</w:t>
      </w:r>
      <w:r w:rsidR="000F330D">
        <w:rPr>
          <w:rFonts w:cs="Arial"/>
          <w:spacing w:val="-3"/>
          <w:sz w:val="22"/>
        </w:rPr>
        <w:t xml:space="preserve"> ¿</w:t>
      </w:r>
      <w:r w:rsidR="004270A2">
        <w:rPr>
          <w:rFonts w:cs="Arial"/>
          <w:spacing w:val="-3"/>
          <w:sz w:val="22"/>
        </w:rPr>
        <w:t xml:space="preserve">Cuál es el proveedor actual de las </w:t>
      </w:r>
      <w:r w:rsidR="004270A2">
        <w:rPr>
          <w:rFonts w:cs="Arial"/>
          <w:spacing w:val="-3"/>
          <w:sz w:val="22"/>
        </w:rPr>
        <w:lastRenderedPageBreak/>
        <w:t>herramientas y/o especificaciones de los mismos?</w:t>
      </w:r>
      <w:r w:rsidR="006A4AC4">
        <w:rPr>
          <w:rFonts w:cs="Arial"/>
          <w:spacing w:val="-3"/>
          <w:sz w:val="22"/>
        </w:rPr>
        <w:t xml:space="preserve"> Especificar </w:t>
      </w:r>
      <w:r w:rsidR="001518E9">
        <w:rPr>
          <w:rFonts w:cs="Arial"/>
          <w:spacing w:val="-3"/>
          <w:sz w:val="22"/>
        </w:rPr>
        <w:t xml:space="preserve">tipo de </w:t>
      </w:r>
      <w:r w:rsidR="006A4AC4">
        <w:rPr>
          <w:rFonts w:cs="Arial"/>
          <w:spacing w:val="-3"/>
          <w:sz w:val="22"/>
        </w:rPr>
        <w:t>material</w:t>
      </w:r>
      <w:r w:rsidR="001518E9">
        <w:rPr>
          <w:rFonts w:cs="Arial"/>
          <w:spacing w:val="-3"/>
          <w:sz w:val="22"/>
        </w:rPr>
        <w:t>/acero</w:t>
      </w:r>
      <w:r w:rsidR="006A4AC4">
        <w:rPr>
          <w:rFonts w:cs="Arial"/>
          <w:spacing w:val="-3"/>
          <w:sz w:val="22"/>
        </w:rPr>
        <w:t xml:space="preserve"> de las líneas </w:t>
      </w:r>
      <w:r w:rsidR="001518E9">
        <w:rPr>
          <w:rFonts w:cs="Arial"/>
          <w:spacing w:val="-3"/>
          <w:sz w:val="22"/>
        </w:rPr>
        <w:t xml:space="preserve">donde se realiza el monitoreo. </w:t>
      </w:r>
    </w:p>
    <w:p w14:paraId="4305039B" w14:textId="4CCB28F8" w:rsidR="00D743F1" w:rsidRDefault="00536936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¿Cuál es el plazo </w:t>
      </w:r>
      <w:r w:rsidR="001518E9">
        <w:rPr>
          <w:rFonts w:cs="Arial"/>
          <w:spacing w:val="-3"/>
          <w:sz w:val="22"/>
        </w:rPr>
        <w:t xml:space="preserve">para </w:t>
      </w:r>
      <w:r>
        <w:rPr>
          <w:rFonts w:cs="Arial"/>
          <w:spacing w:val="-3"/>
          <w:sz w:val="22"/>
        </w:rPr>
        <w:t>facturación</w:t>
      </w:r>
      <w:r w:rsidR="001518E9">
        <w:rPr>
          <w:rFonts w:cs="Arial"/>
          <w:spacing w:val="-3"/>
          <w:sz w:val="22"/>
        </w:rPr>
        <w:t xml:space="preserve"> de</w:t>
      </w:r>
      <w:r>
        <w:rPr>
          <w:rFonts w:cs="Arial"/>
          <w:spacing w:val="-3"/>
          <w:sz w:val="22"/>
        </w:rPr>
        <w:t xml:space="preserve"> EMEA?</w:t>
      </w:r>
    </w:p>
    <w:p w14:paraId="4C358FD9" w14:textId="469B983C" w:rsidR="00B02E8B" w:rsidRDefault="00B02E8B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¿Cuál es el periodo de cierre de certificación?</w:t>
      </w:r>
    </w:p>
    <w:p w14:paraId="4B308E8A" w14:textId="61B111AD" w:rsidR="00536936" w:rsidRDefault="00AE6082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Especificación de los análisis rutinarios requeridos</w:t>
      </w:r>
      <w:r w:rsidR="00E80C76">
        <w:rPr>
          <w:rFonts w:cs="Arial"/>
          <w:spacing w:val="-3"/>
          <w:sz w:val="22"/>
        </w:rPr>
        <w:t xml:space="preserve"> y frecuencia.</w:t>
      </w:r>
    </w:p>
    <w:p w14:paraId="14561457" w14:textId="14914121" w:rsidR="00AE6082" w:rsidRDefault="008557CE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Presiones máximas en los puntos de dosificación. </w:t>
      </w:r>
    </w:p>
    <w:p w14:paraId="7370057B" w14:textId="40609DB2" w:rsidR="008557CE" w:rsidRDefault="00DD52F2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Tipo de incrustaciones inorgánicas a tratar.</w:t>
      </w:r>
      <w:r w:rsidR="00F32149">
        <w:rPr>
          <w:rFonts w:cs="Arial"/>
          <w:spacing w:val="-3"/>
          <w:sz w:val="22"/>
        </w:rPr>
        <w:t xml:space="preserve"> ¿Nos pueden proporcionar un análisis de caracterización?</w:t>
      </w:r>
    </w:p>
    <w:p w14:paraId="418E10BA" w14:textId="3D5ECB55" w:rsidR="00DD52F2" w:rsidRDefault="008924E6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¿EMEA proveerá la toma de gas regulada a la presión requerida por los equipos de inyección?</w:t>
      </w:r>
    </w:p>
    <w:p w14:paraId="5FF8C608" w14:textId="7929073A" w:rsidR="008924E6" w:rsidRDefault="00783C08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¿EMEA provee los separadores necesarios </w:t>
      </w:r>
      <w:r w:rsidR="00A55142">
        <w:rPr>
          <w:rFonts w:cs="Arial"/>
          <w:spacing w:val="-3"/>
          <w:sz w:val="22"/>
        </w:rPr>
        <w:t xml:space="preserve">para la separación de líquidos </w:t>
      </w:r>
      <w:r w:rsidR="00B01965">
        <w:rPr>
          <w:rFonts w:cs="Arial"/>
          <w:spacing w:val="-3"/>
          <w:sz w:val="22"/>
        </w:rPr>
        <w:t>en la toma de gas instrumento?</w:t>
      </w:r>
    </w:p>
    <w:p w14:paraId="32E79BE4" w14:textId="0346E9E6" w:rsidR="00783C08" w:rsidRDefault="00A55142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783C08">
        <w:rPr>
          <w:rFonts w:cs="Arial"/>
          <w:spacing w:val="-3"/>
          <w:sz w:val="22"/>
        </w:rPr>
        <w:t xml:space="preserve">En el punto de inyección las válvulas de retención las </w:t>
      </w:r>
      <w:r>
        <w:rPr>
          <w:rFonts w:cs="Arial"/>
          <w:spacing w:val="-3"/>
          <w:sz w:val="22"/>
        </w:rPr>
        <w:t>provee EMEA?</w:t>
      </w:r>
    </w:p>
    <w:p w14:paraId="0305742F" w14:textId="3A1EAE83" w:rsidR="00A55142" w:rsidRDefault="004E5A01" w:rsidP="00EC4FF1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Procedimiento requerido por EMEA p</w:t>
      </w:r>
      <w:r w:rsidR="00D452D5">
        <w:rPr>
          <w:rFonts w:cs="Arial"/>
          <w:spacing w:val="-3"/>
          <w:sz w:val="22"/>
        </w:rPr>
        <w:t>ara análisis de escala/incrustaciones según el punto 8.a del anexo 1.</w:t>
      </w:r>
    </w:p>
    <w:p w14:paraId="216D597B" w14:textId="4A4228C1" w:rsidR="00805640" w:rsidRDefault="00BA1DD7" w:rsidP="001518E9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</w:t>
      </w:r>
      <w:r w:rsidR="00903DE0">
        <w:rPr>
          <w:rFonts w:cs="Arial"/>
          <w:spacing w:val="-3"/>
          <w:sz w:val="22"/>
        </w:rPr>
        <w:t xml:space="preserve">El agua que manejan las </w:t>
      </w:r>
      <w:proofErr w:type="spellStart"/>
      <w:r w:rsidR="00903DE0">
        <w:rPr>
          <w:rFonts w:cs="Arial"/>
          <w:spacing w:val="-3"/>
          <w:sz w:val="22"/>
        </w:rPr>
        <w:t>booster</w:t>
      </w:r>
      <w:proofErr w:type="spellEnd"/>
      <w:r w:rsidR="00903DE0">
        <w:rPr>
          <w:rFonts w:cs="Arial"/>
          <w:spacing w:val="-3"/>
          <w:sz w:val="22"/>
        </w:rPr>
        <w:t xml:space="preserve"> es </w:t>
      </w:r>
      <w:r>
        <w:rPr>
          <w:rFonts w:cs="Arial"/>
          <w:spacing w:val="-3"/>
          <w:sz w:val="22"/>
        </w:rPr>
        <w:t>una mezcla? Si pueden facilitarnos a</w:t>
      </w:r>
      <w:r w:rsidR="0090705B">
        <w:rPr>
          <w:rFonts w:cs="Arial"/>
          <w:spacing w:val="-3"/>
          <w:sz w:val="22"/>
        </w:rPr>
        <w:t xml:space="preserve">nálisis fisicoquímico del agua de producción que se maneja en las bombas </w:t>
      </w:r>
      <w:proofErr w:type="spellStart"/>
      <w:r w:rsidR="0090705B">
        <w:rPr>
          <w:rFonts w:cs="Arial"/>
          <w:spacing w:val="-3"/>
          <w:sz w:val="22"/>
        </w:rPr>
        <w:t>booster</w:t>
      </w:r>
      <w:proofErr w:type="spellEnd"/>
      <w:r w:rsidR="0090705B">
        <w:rPr>
          <w:rFonts w:cs="Arial"/>
          <w:spacing w:val="-3"/>
          <w:sz w:val="22"/>
        </w:rPr>
        <w:t xml:space="preserve"> de Bajo del Choique, Los toldos 1 Este y Oeste</w:t>
      </w:r>
      <w:r w:rsidR="00805640">
        <w:rPr>
          <w:rFonts w:cs="Arial"/>
          <w:spacing w:val="-3"/>
          <w:sz w:val="22"/>
        </w:rPr>
        <w:t xml:space="preserve"> y Pampa de las yeguas. </w:t>
      </w:r>
    </w:p>
    <w:p w14:paraId="317BC8FB" w14:textId="4B8428D0" w:rsidR="00B92905" w:rsidRDefault="00B92905" w:rsidP="001B47D9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Temperatura y presión en los puntos de dosificación actuales. </w:t>
      </w:r>
    </w:p>
    <w:p w14:paraId="723D1E91" w14:textId="2D41CB02" w:rsidR="00914E5E" w:rsidRDefault="00903DE0" w:rsidP="001B47D9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Capacidad</w:t>
      </w:r>
      <w:r w:rsidR="00914E5E">
        <w:rPr>
          <w:rFonts w:cs="Arial"/>
          <w:spacing w:val="-3"/>
          <w:sz w:val="22"/>
        </w:rPr>
        <w:t xml:space="preserve"> de los tanques de almacenamiento </w:t>
      </w:r>
      <w:r w:rsidR="00D40B09">
        <w:rPr>
          <w:rFonts w:cs="Arial"/>
          <w:spacing w:val="-3"/>
          <w:sz w:val="22"/>
        </w:rPr>
        <w:t xml:space="preserve">actuales en los puntos de inyección de químico. </w:t>
      </w:r>
    </w:p>
    <w:p w14:paraId="7817DF97" w14:textId="4185CF0D" w:rsidR="00A837A6" w:rsidRDefault="00A837A6" w:rsidP="001B47D9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¿La entrega de tratamiento continuo es obligatoriamente a granel? o se pueden disponer de otras metodologías.</w:t>
      </w:r>
    </w:p>
    <w:p w14:paraId="50A9D218" w14:textId="4C8D7F1B" w:rsidR="00A837A6" w:rsidRDefault="008A340F" w:rsidP="001B47D9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¿El personal de la contratista actual debe ser absorbido por la compañía entrante? De ser así, </w:t>
      </w:r>
      <w:r w:rsidR="00A7238E">
        <w:rPr>
          <w:rFonts w:cs="Arial"/>
          <w:spacing w:val="-3"/>
          <w:sz w:val="22"/>
        </w:rPr>
        <w:t>necesitamos información</w:t>
      </w:r>
      <w:r w:rsidR="00D0269B">
        <w:rPr>
          <w:rFonts w:cs="Arial"/>
          <w:spacing w:val="-3"/>
          <w:sz w:val="22"/>
        </w:rPr>
        <w:t xml:space="preserve"> sobre la cantidad de personal actual adherida al servicio y</w:t>
      </w:r>
      <w:r w:rsidR="00A7238E">
        <w:rPr>
          <w:rFonts w:cs="Arial"/>
          <w:spacing w:val="-3"/>
          <w:sz w:val="22"/>
        </w:rPr>
        <w:t xml:space="preserve"> promedio de los años de servicio</w:t>
      </w:r>
      <w:r w:rsidR="00D0269B">
        <w:rPr>
          <w:rFonts w:cs="Arial"/>
          <w:spacing w:val="-3"/>
          <w:sz w:val="22"/>
        </w:rPr>
        <w:t xml:space="preserve">. </w:t>
      </w:r>
      <w:r w:rsidR="00D94C60">
        <w:rPr>
          <w:rFonts w:cs="Arial"/>
          <w:spacing w:val="-3"/>
          <w:sz w:val="22"/>
        </w:rPr>
        <w:t xml:space="preserve">La </w:t>
      </w:r>
      <w:r w:rsidR="00D94C60" w:rsidRPr="00D94C60">
        <w:rPr>
          <w:rFonts w:cs="Arial"/>
          <w:spacing w:val="-3"/>
          <w:sz w:val="22"/>
        </w:rPr>
        <w:t>compañía saliente lo debe liquidar o indemnizar, nosotros los aceptamos con la antigüedad (por vacaciones) y con su correspondiente categoría</w:t>
      </w:r>
      <w:r w:rsidR="00D94C60">
        <w:rPr>
          <w:rFonts w:cs="Arial"/>
          <w:spacing w:val="-3"/>
          <w:sz w:val="22"/>
        </w:rPr>
        <w:t>.</w:t>
      </w:r>
    </w:p>
    <w:p w14:paraId="72F3E68E" w14:textId="1D19A21A" w:rsidR="003E5AE9" w:rsidRDefault="00FC34D3" w:rsidP="00FC34D3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 w:rsidRPr="00DB661B">
        <w:rPr>
          <w:rFonts w:cs="Arial"/>
          <w:spacing w:val="-3"/>
          <w:sz w:val="22"/>
        </w:rPr>
        <w:t>Respecto del monitoreo de precios</w:t>
      </w:r>
      <w:r>
        <w:rPr>
          <w:rFonts w:cs="Arial"/>
          <w:spacing w:val="-3"/>
          <w:sz w:val="22"/>
        </w:rPr>
        <w:t xml:space="preserve"> ¿Có</w:t>
      </w:r>
      <w:r w:rsidRPr="00DB661B">
        <w:rPr>
          <w:rFonts w:cs="Arial"/>
          <w:spacing w:val="-3"/>
          <w:sz w:val="22"/>
        </w:rPr>
        <w:t xml:space="preserve">mo se controlaría su evolución? </w:t>
      </w:r>
      <w:r>
        <w:rPr>
          <w:rFonts w:cs="Arial"/>
          <w:spacing w:val="-3"/>
          <w:sz w:val="22"/>
        </w:rPr>
        <w:t>¿</w:t>
      </w:r>
      <w:r w:rsidRPr="00DB661B">
        <w:rPr>
          <w:rFonts w:cs="Arial"/>
          <w:spacing w:val="-3"/>
          <w:sz w:val="22"/>
        </w:rPr>
        <w:t>Se pueden proponer fórmulas de ajuste?</w:t>
      </w:r>
    </w:p>
    <w:p w14:paraId="7C32A9C3" w14:textId="5F5102F9" w:rsidR="00D1188F" w:rsidRDefault="00EE0F3E" w:rsidP="00FC34D3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¿La afectación del gerente de cuenta y técnico de servicio al 100% debe ser presencial en yacimiento</w:t>
      </w:r>
      <w:r w:rsidR="00F82BCB">
        <w:rPr>
          <w:rFonts w:cs="Arial"/>
          <w:spacing w:val="-3"/>
          <w:sz w:val="22"/>
        </w:rPr>
        <w:t xml:space="preserve"> o se puede diagramar la asistencia presencial durante la semana?</w:t>
      </w:r>
    </w:p>
    <w:p w14:paraId="124BD9BA" w14:textId="361C1B05" w:rsidR="00CA66BD" w:rsidRDefault="00CA66BD" w:rsidP="00CA66BD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 xml:space="preserve">En caso de requerirse </w:t>
      </w:r>
      <w:proofErr w:type="spellStart"/>
      <w:r>
        <w:rPr>
          <w:rFonts w:cs="Arial"/>
          <w:spacing w:val="-3"/>
          <w:sz w:val="22"/>
        </w:rPr>
        <w:t>batcheos</w:t>
      </w:r>
      <w:proofErr w:type="spellEnd"/>
      <w:r>
        <w:rPr>
          <w:rFonts w:cs="Arial"/>
          <w:spacing w:val="-3"/>
          <w:sz w:val="22"/>
        </w:rPr>
        <w:t xml:space="preserve"> puntuales, ¿Cuál es la presión máxima que se manejará en los puntos?</w:t>
      </w:r>
    </w:p>
    <w:p w14:paraId="04EA9A5D" w14:textId="3EFF392A" w:rsidR="00F3380D" w:rsidRDefault="009B7F6B" w:rsidP="00F3380D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lastRenderedPageBreak/>
        <w:t xml:space="preserve">Concentración de </w:t>
      </w:r>
      <w:r w:rsidR="00283805">
        <w:rPr>
          <w:rFonts w:cs="Arial"/>
          <w:spacing w:val="-3"/>
          <w:sz w:val="22"/>
        </w:rPr>
        <w:t>H2S en los yacimientos previo a los puntos de dosificación actuales.</w:t>
      </w:r>
    </w:p>
    <w:p w14:paraId="4B6A1095" w14:textId="7D6E8B04" w:rsidR="00F3380D" w:rsidRDefault="00F3380D" w:rsidP="001E18D3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Disponibilidad de registro de mapeo de sulfhídrico de las áreas.</w:t>
      </w:r>
    </w:p>
    <w:p w14:paraId="360900A7" w14:textId="207A848C" w:rsidR="00903DE0" w:rsidRPr="001E18D3" w:rsidRDefault="00903DE0" w:rsidP="001E18D3">
      <w:pPr>
        <w:pStyle w:val="Prrafodelista"/>
        <w:numPr>
          <w:ilvl w:val="0"/>
          <w:numId w:val="41"/>
        </w:numPr>
        <w:suppressAutoHyphens/>
        <w:spacing w:line="360" w:lineRule="auto"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En</w:t>
      </w:r>
      <w:r w:rsidRPr="00903DE0">
        <w:rPr>
          <w:rFonts w:cs="Arial"/>
          <w:spacing w:val="-3"/>
          <w:sz w:val="22"/>
        </w:rPr>
        <w:t xml:space="preserve">tre la documentación subida en el link, </w:t>
      </w:r>
      <w:r w:rsidR="00D645BA">
        <w:rPr>
          <w:rFonts w:cs="Arial"/>
          <w:spacing w:val="-3"/>
          <w:sz w:val="22"/>
        </w:rPr>
        <w:t xml:space="preserve">no se encontró </w:t>
      </w:r>
      <w:r w:rsidRPr="00903DE0">
        <w:rPr>
          <w:rFonts w:cs="Arial"/>
          <w:spacing w:val="-3"/>
          <w:sz w:val="22"/>
        </w:rPr>
        <w:t>referencia alguna a los Seguros necesarios para esta operación</w:t>
      </w:r>
      <w:r w:rsidR="00D645BA">
        <w:rPr>
          <w:rFonts w:cs="Arial"/>
          <w:spacing w:val="-3"/>
          <w:sz w:val="22"/>
        </w:rPr>
        <w:t>.</w:t>
      </w:r>
    </w:p>
    <w:sectPr w:rsidR="00903DE0" w:rsidRPr="001E18D3" w:rsidSect="0077405F">
      <w:headerReference w:type="even" r:id="rId11"/>
      <w:headerReference w:type="default" r:id="rId12"/>
      <w:headerReference w:type="first" r:id="rId13"/>
      <w:footerReference w:type="first" r:id="rId14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8821" w14:textId="77777777" w:rsidR="00EB6BD1" w:rsidRDefault="00EB6BD1">
      <w:r>
        <w:separator/>
      </w:r>
    </w:p>
  </w:endnote>
  <w:endnote w:type="continuationSeparator" w:id="0">
    <w:p w14:paraId="6721A9A4" w14:textId="77777777" w:rsidR="00EB6BD1" w:rsidRDefault="00EB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0F09" w14:textId="77777777" w:rsidR="00EB6BD1" w:rsidRDefault="00EB6BD1">
      <w:r>
        <w:separator/>
      </w:r>
    </w:p>
  </w:footnote>
  <w:footnote w:type="continuationSeparator" w:id="0">
    <w:p w14:paraId="449CFAE6" w14:textId="77777777" w:rsidR="00EB6BD1" w:rsidRDefault="00EB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0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2"/>
      <w:gridCol w:w="5448"/>
      <w:gridCol w:w="1356"/>
      <w:gridCol w:w="1174"/>
    </w:tblGrid>
    <w:tr w:rsidR="00EE5870" w:rsidRPr="00561F39" w14:paraId="73F21A79" w14:textId="77777777" w:rsidTr="00CE3839">
      <w:trPr>
        <w:cantSplit/>
        <w:trHeight w:val="553"/>
        <w:jc w:val="center"/>
      </w:trPr>
      <w:tc>
        <w:tcPr>
          <w:tcW w:w="169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969C191" w14:textId="72F6FDD1" w:rsidR="00EE5870" w:rsidRDefault="005A5E9F" w:rsidP="00EE5870">
          <w:pPr>
            <w:pStyle w:val="Encabezado"/>
            <w:spacing w:line="276" w:lineRule="auto"/>
            <w:jc w:val="center"/>
            <w:rPr>
              <w:rFonts w:cs="Arial"/>
              <w:b/>
              <w:bCs/>
              <w:color w:val="0000FF"/>
              <w:sz w:val="32"/>
            </w:rPr>
          </w:pPr>
          <w:r>
            <w:rPr>
              <w:rFonts w:cs="Arial"/>
              <w:b/>
              <w:bCs/>
              <w:noProof/>
              <w:color w:val="0000FF"/>
              <w:sz w:val="32"/>
            </w:rPr>
            <w:drawing>
              <wp:inline distT="0" distB="0" distL="0" distR="0" wp14:anchorId="7625A23F" wp14:editId="4CBC6E18">
                <wp:extent cx="1010226" cy="190500"/>
                <wp:effectExtent l="0" t="0" r="0" b="0"/>
                <wp:docPr id="145778402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901" cy="1940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tcBorders>
            <w:top w:val="single" w:sz="6" w:space="0" w:color="000000"/>
            <w:left w:val="single" w:sz="6" w:space="0" w:color="000000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1933C2AD" w14:textId="6B3A0907" w:rsidR="00EE5870" w:rsidRPr="00EE5870" w:rsidRDefault="00B975A7" w:rsidP="00EE5870">
          <w:pPr>
            <w:suppressAutoHyphens/>
            <w:spacing w:before="120" w:after="120"/>
            <w:contextualSpacing/>
            <w:jc w:val="center"/>
            <w:rPr>
              <w:rFonts w:asciiTheme="minorHAnsi" w:hAnsiTheme="minorHAnsi" w:cs="Arial"/>
              <w:b/>
              <w:bCs/>
              <w:caps/>
              <w:szCs w:val="24"/>
            </w:rPr>
          </w:pPr>
          <w:r>
            <w:rPr>
              <w:rFonts w:asciiTheme="minorHAnsi" w:hAnsiTheme="minorHAnsi" w:cs="Arial"/>
              <w:b/>
              <w:bCs/>
              <w:caps/>
              <w:szCs w:val="24"/>
            </w:rPr>
            <w:t>Tratamiento químico integral</w:t>
          </w:r>
        </w:p>
      </w:tc>
      <w:tc>
        <w:tcPr>
          <w:tcW w:w="2530" w:type="dxa"/>
          <w:gridSpan w:val="2"/>
          <w:tcBorders>
            <w:top w:val="single" w:sz="4" w:space="0" w:color="auto"/>
            <w:left w:val="single" w:sz="6" w:space="0" w:color="000000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71C02902" w14:textId="10D41550" w:rsidR="00EE5870" w:rsidRPr="0039111B" w:rsidRDefault="000945D2" w:rsidP="000945D2">
          <w:pPr>
            <w:pStyle w:val="Encabezado"/>
            <w:spacing w:before="120" w:after="120" w:line="276" w:lineRule="auto"/>
            <w:jc w:val="center"/>
            <w:rPr>
              <w:rFonts w:cs="Arial"/>
              <w:b/>
              <w:bCs/>
              <w:lang w:val="fr-FR"/>
            </w:rPr>
          </w:pPr>
          <w:r w:rsidRPr="00DD2C06">
            <w:rPr>
              <w:rFonts w:ascii="Arial Narrow" w:hAnsi="Arial Narrow"/>
              <w:b/>
              <w:bCs/>
            </w:rPr>
            <w:t xml:space="preserve">PDC </w:t>
          </w:r>
          <w:r w:rsidR="00320943">
            <w:rPr>
              <w:rFonts w:ascii="Arial Narrow" w:hAnsi="Arial Narrow"/>
              <w:b/>
              <w:bCs/>
            </w:rPr>
            <w:t>XXX</w:t>
          </w:r>
        </w:p>
      </w:tc>
    </w:tr>
    <w:tr w:rsidR="00EE5870" w:rsidRPr="0039111B" w14:paraId="7A8927A3" w14:textId="77777777" w:rsidTr="00CE3839">
      <w:trPr>
        <w:cantSplit/>
        <w:trHeight w:val="269"/>
        <w:jc w:val="center"/>
      </w:trPr>
      <w:tc>
        <w:tcPr>
          <w:tcW w:w="1692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9EE91C3" w14:textId="77777777" w:rsidR="00EE5870" w:rsidRDefault="00EE5870" w:rsidP="00EE5870">
          <w:pPr>
            <w:rPr>
              <w:rFonts w:cs="Arial"/>
              <w:b/>
              <w:bCs/>
              <w:color w:val="0000FF"/>
              <w:sz w:val="32"/>
              <w:lang w:val="es-ES_tradnl"/>
            </w:rPr>
          </w:pPr>
        </w:p>
      </w:tc>
      <w:tc>
        <w:tcPr>
          <w:tcW w:w="5448" w:type="dxa"/>
          <w:vMerge w:val="restart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05ABEC8" w14:textId="77777777" w:rsidR="00EE5870" w:rsidRPr="0039111B" w:rsidRDefault="00EE5870" w:rsidP="00EE5870">
          <w:pPr>
            <w:pStyle w:val="Encabezado"/>
            <w:spacing w:line="276" w:lineRule="auto"/>
            <w:jc w:val="center"/>
            <w:rPr>
              <w:rFonts w:asciiTheme="minorHAnsi" w:hAnsiTheme="minorHAnsi"/>
              <w:b/>
              <w:bCs/>
              <w:caps/>
              <w:sz w:val="22"/>
              <w:szCs w:val="22"/>
              <w:lang w:val="pt-BR"/>
            </w:rPr>
          </w:pPr>
          <w:r w:rsidRPr="00EE5870">
            <w:rPr>
              <w:rFonts w:asciiTheme="minorHAnsi" w:hAnsiTheme="minorHAnsi"/>
              <w:b/>
              <w:bCs/>
              <w:caps/>
              <w:sz w:val="22"/>
              <w:szCs w:val="22"/>
              <w:lang w:val="pt-BR"/>
            </w:rPr>
            <w:t>Ronda de consultas N°1</w:t>
          </w:r>
        </w:p>
      </w:tc>
      <w:tc>
        <w:tcPr>
          <w:tcW w:w="1356" w:type="dxa"/>
          <w:tcBorders>
            <w:top w:val="single" w:sz="4" w:space="0" w:color="auto"/>
            <w:left w:val="single" w:sz="6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55C96F" w14:textId="77777777" w:rsidR="00EE5870" w:rsidRPr="0039111B" w:rsidRDefault="00EE5870" w:rsidP="00EE5870">
          <w:pPr>
            <w:pStyle w:val="Encabezado"/>
            <w:spacing w:before="120" w:after="120" w:line="276" w:lineRule="auto"/>
            <w:rPr>
              <w:rFonts w:asciiTheme="minorHAnsi" w:hAnsiTheme="minorHAnsi" w:cs="Arial"/>
              <w:bCs/>
              <w:sz w:val="16"/>
              <w:szCs w:val="16"/>
              <w:lang w:val="pt-BR"/>
            </w:rPr>
          </w:pP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1A1D8BCE" w14:textId="77777777" w:rsidR="00EE5870" w:rsidRPr="0039111B" w:rsidRDefault="00EE5870" w:rsidP="00EE5870">
          <w:pPr>
            <w:pStyle w:val="Encabezado"/>
            <w:spacing w:before="120" w:after="120" w:line="276" w:lineRule="auto"/>
            <w:jc w:val="center"/>
            <w:rPr>
              <w:rFonts w:asciiTheme="minorHAnsi" w:hAnsiTheme="minorHAnsi" w:cs="Arial"/>
              <w:bCs/>
              <w:sz w:val="16"/>
              <w:szCs w:val="16"/>
              <w:lang w:val="pt-BR"/>
            </w:rPr>
          </w:pPr>
          <w:r w:rsidRPr="0039111B">
            <w:rPr>
              <w:rFonts w:asciiTheme="minorHAnsi" w:hAnsiTheme="minorHAnsi" w:cs="Arial"/>
              <w:sz w:val="16"/>
              <w:szCs w:val="16"/>
              <w:lang w:val="pt-BR"/>
            </w:rPr>
            <w:t xml:space="preserve">Pág. </w: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begin"/>
          </w:r>
          <w:r w:rsidRPr="0039111B">
            <w:rPr>
              <w:rFonts w:asciiTheme="minorHAnsi" w:hAnsiTheme="minorHAnsi" w:cs="Arial"/>
              <w:sz w:val="16"/>
              <w:szCs w:val="16"/>
              <w:lang w:val="pt-BR"/>
            </w:rPr>
            <w:instrText xml:space="preserve"> PAGE </w:instrTex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separate"/>
          </w:r>
          <w:r>
            <w:rPr>
              <w:rFonts w:asciiTheme="minorHAnsi" w:hAnsiTheme="minorHAnsi" w:cs="Arial"/>
              <w:noProof/>
              <w:sz w:val="16"/>
              <w:szCs w:val="16"/>
              <w:lang w:val="pt-BR"/>
            </w:rPr>
            <w:t>1</w: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end"/>
          </w:r>
          <w:r w:rsidRPr="0039111B">
            <w:rPr>
              <w:rFonts w:asciiTheme="minorHAnsi" w:hAnsiTheme="minorHAnsi" w:cs="Arial"/>
              <w:sz w:val="16"/>
              <w:szCs w:val="16"/>
              <w:lang w:val="pt-BR"/>
            </w:rPr>
            <w:t xml:space="preserve"> de </w: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begin"/>
          </w:r>
          <w:r w:rsidRPr="0039111B">
            <w:rPr>
              <w:rFonts w:asciiTheme="minorHAnsi" w:hAnsiTheme="minorHAnsi" w:cs="Arial"/>
              <w:sz w:val="16"/>
              <w:szCs w:val="16"/>
              <w:lang w:val="pt-BR"/>
            </w:rPr>
            <w:instrText xml:space="preserve"> NUMPAGES </w:instrTex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separate"/>
          </w:r>
          <w:r>
            <w:rPr>
              <w:rFonts w:asciiTheme="minorHAnsi" w:hAnsiTheme="minorHAnsi" w:cs="Arial"/>
              <w:noProof/>
              <w:sz w:val="16"/>
              <w:szCs w:val="16"/>
              <w:lang w:val="pt-BR"/>
            </w:rPr>
            <w:t>1</w:t>
          </w:r>
          <w:r w:rsidRPr="0039111B">
            <w:rPr>
              <w:rFonts w:asciiTheme="minorHAnsi" w:hAnsiTheme="minorHAnsi" w:cs="Arial"/>
              <w:sz w:val="16"/>
              <w:szCs w:val="16"/>
            </w:rPr>
            <w:fldChar w:fldCharType="end"/>
          </w:r>
        </w:p>
      </w:tc>
    </w:tr>
    <w:tr w:rsidR="00EE5870" w:rsidRPr="0039111B" w14:paraId="597034D7" w14:textId="77777777" w:rsidTr="00CE3839">
      <w:trPr>
        <w:cantSplit/>
        <w:trHeight w:val="230"/>
        <w:jc w:val="center"/>
      </w:trPr>
      <w:tc>
        <w:tcPr>
          <w:tcW w:w="1692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AC29531" w14:textId="77777777" w:rsidR="00EE5870" w:rsidRDefault="00EE5870" w:rsidP="00EE5870">
          <w:pPr>
            <w:rPr>
              <w:rFonts w:cs="Arial"/>
              <w:b/>
              <w:bCs/>
              <w:color w:val="0000FF"/>
              <w:sz w:val="32"/>
              <w:lang w:val="es-ES_tradnl"/>
            </w:rPr>
          </w:pPr>
        </w:p>
      </w:tc>
      <w:tc>
        <w:tcPr>
          <w:tcW w:w="5448" w:type="dxa"/>
          <w:vMerge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15E2781B" w14:textId="77777777" w:rsidR="00EE5870" w:rsidRPr="00B96731" w:rsidRDefault="00EE5870" w:rsidP="00EE5870">
          <w:pPr>
            <w:rPr>
              <w:b/>
              <w:bCs/>
              <w:caps/>
              <w:sz w:val="18"/>
              <w:szCs w:val="18"/>
              <w:lang w:val="es-AR"/>
            </w:rPr>
          </w:pPr>
        </w:p>
      </w:tc>
      <w:tc>
        <w:tcPr>
          <w:tcW w:w="2530" w:type="dxa"/>
          <w:gridSpan w:val="2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C266EAA" w14:textId="7D27F4E6" w:rsidR="00EE5870" w:rsidRPr="0039111B" w:rsidRDefault="00EE5870" w:rsidP="00EE5870">
          <w:pPr>
            <w:pStyle w:val="Encabezado"/>
            <w:spacing w:before="120" w:after="120" w:line="276" w:lineRule="auto"/>
            <w:rPr>
              <w:rFonts w:asciiTheme="minorHAnsi" w:hAnsiTheme="minorHAnsi" w:cs="Arial"/>
              <w:bCs/>
              <w:sz w:val="16"/>
              <w:szCs w:val="16"/>
              <w:lang w:val="pt-BR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AR"/>
            </w:rPr>
            <w:t xml:space="preserve">Fecha de </w:t>
          </w:r>
          <w:r w:rsidRPr="00B96731">
            <w:rPr>
              <w:rFonts w:asciiTheme="minorHAnsi" w:hAnsiTheme="minorHAnsi" w:cs="Arial"/>
              <w:bCs/>
              <w:sz w:val="16"/>
              <w:szCs w:val="16"/>
              <w:lang w:val="es-AR"/>
            </w:rPr>
            <w:t>Emisión</w:t>
          </w:r>
          <w:r w:rsidRPr="0039111B">
            <w:rPr>
              <w:rFonts w:asciiTheme="minorHAnsi" w:hAnsiTheme="minorHAnsi" w:cs="Arial"/>
              <w:bCs/>
              <w:sz w:val="16"/>
              <w:szCs w:val="16"/>
              <w:lang w:val="pt-BR"/>
            </w:rPr>
            <w:t xml:space="preserve">: </w:t>
          </w:r>
          <w:r w:rsidR="005A5E9F">
            <w:rPr>
              <w:rFonts w:asciiTheme="minorHAnsi" w:hAnsiTheme="minorHAnsi" w:cs="Arial"/>
              <w:bCs/>
              <w:sz w:val="16"/>
              <w:szCs w:val="16"/>
              <w:lang w:val="pt-BR"/>
            </w:rPr>
            <w:t>12/07/2023</w:t>
          </w:r>
        </w:p>
      </w:tc>
    </w:tr>
  </w:tbl>
  <w:p w14:paraId="0E2E065C" w14:textId="77777777" w:rsidR="00AF734A" w:rsidRDefault="00AF734A">
    <w:pPr>
      <w:pStyle w:val="Encabezado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CBA"/>
    <w:multiLevelType w:val="hybridMultilevel"/>
    <w:tmpl w:val="746841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5281"/>
    <w:multiLevelType w:val="hybridMultilevel"/>
    <w:tmpl w:val="D20246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E20"/>
    <w:multiLevelType w:val="multilevel"/>
    <w:tmpl w:val="82DC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30A0FFA"/>
    <w:multiLevelType w:val="hybridMultilevel"/>
    <w:tmpl w:val="8410EA70"/>
    <w:lvl w:ilvl="0" w:tplc="9E8CFA8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D42D9"/>
    <w:multiLevelType w:val="hybridMultilevel"/>
    <w:tmpl w:val="82A0DA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842BD"/>
    <w:multiLevelType w:val="multilevel"/>
    <w:tmpl w:val="03E83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D4073"/>
    <w:multiLevelType w:val="hybridMultilevel"/>
    <w:tmpl w:val="C81EAF2C"/>
    <w:lvl w:ilvl="0" w:tplc="3B9420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A410B"/>
    <w:multiLevelType w:val="multilevel"/>
    <w:tmpl w:val="E8E8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31B2"/>
    <w:multiLevelType w:val="hybridMultilevel"/>
    <w:tmpl w:val="2A543470"/>
    <w:lvl w:ilvl="0" w:tplc="68E6C05C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C0F13"/>
    <w:multiLevelType w:val="multilevel"/>
    <w:tmpl w:val="DC2047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A412A"/>
    <w:multiLevelType w:val="hybridMultilevel"/>
    <w:tmpl w:val="AB7AF9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451C1"/>
    <w:multiLevelType w:val="multilevel"/>
    <w:tmpl w:val="291E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52501B33"/>
    <w:multiLevelType w:val="hybridMultilevel"/>
    <w:tmpl w:val="39560AC0"/>
    <w:lvl w:ilvl="0" w:tplc="2C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F7A7AF5"/>
    <w:multiLevelType w:val="hybridMultilevel"/>
    <w:tmpl w:val="DDD60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458F3"/>
    <w:multiLevelType w:val="hybridMultilevel"/>
    <w:tmpl w:val="4F9ED0C2"/>
    <w:lvl w:ilvl="0" w:tplc="318E913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4989156">
    <w:abstractNumId w:val="31"/>
  </w:num>
  <w:num w:numId="2" w16cid:durableId="1739816122">
    <w:abstractNumId w:val="0"/>
  </w:num>
  <w:num w:numId="3" w16cid:durableId="1336298569">
    <w:abstractNumId w:val="28"/>
  </w:num>
  <w:num w:numId="4" w16cid:durableId="2078742602">
    <w:abstractNumId w:val="16"/>
  </w:num>
  <w:num w:numId="5" w16cid:durableId="178355284">
    <w:abstractNumId w:val="34"/>
  </w:num>
  <w:num w:numId="6" w16cid:durableId="42561824">
    <w:abstractNumId w:val="33"/>
  </w:num>
  <w:num w:numId="7" w16cid:durableId="1706129337">
    <w:abstractNumId w:val="24"/>
  </w:num>
  <w:num w:numId="8" w16cid:durableId="1190685519">
    <w:abstractNumId w:val="12"/>
  </w:num>
  <w:num w:numId="9" w16cid:durableId="1969167585">
    <w:abstractNumId w:val="39"/>
  </w:num>
  <w:num w:numId="10" w16cid:durableId="1468164128">
    <w:abstractNumId w:val="1"/>
  </w:num>
  <w:num w:numId="11" w16cid:durableId="76679110">
    <w:abstractNumId w:val="30"/>
  </w:num>
  <w:num w:numId="12" w16cid:durableId="846792200">
    <w:abstractNumId w:val="4"/>
  </w:num>
  <w:num w:numId="13" w16cid:durableId="1201699096">
    <w:abstractNumId w:val="20"/>
  </w:num>
  <w:num w:numId="14" w16cid:durableId="1000889327">
    <w:abstractNumId w:val="38"/>
  </w:num>
  <w:num w:numId="15" w16cid:durableId="1521504298">
    <w:abstractNumId w:val="7"/>
  </w:num>
  <w:num w:numId="16" w16cid:durableId="1305308333">
    <w:abstractNumId w:val="21"/>
  </w:num>
  <w:num w:numId="17" w16cid:durableId="968901082">
    <w:abstractNumId w:val="9"/>
  </w:num>
  <w:num w:numId="18" w16cid:durableId="1743480483">
    <w:abstractNumId w:val="37"/>
  </w:num>
  <w:num w:numId="19" w16cid:durableId="293339946">
    <w:abstractNumId w:val="6"/>
  </w:num>
  <w:num w:numId="20" w16cid:durableId="107549962">
    <w:abstractNumId w:val="13"/>
  </w:num>
  <w:num w:numId="21" w16cid:durableId="1576356373">
    <w:abstractNumId w:val="14"/>
  </w:num>
  <w:num w:numId="22" w16cid:durableId="969239349">
    <w:abstractNumId w:val="40"/>
  </w:num>
  <w:num w:numId="23" w16cid:durableId="178280572">
    <w:abstractNumId w:val="8"/>
  </w:num>
  <w:num w:numId="24" w16cid:durableId="796024046">
    <w:abstractNumId w:val="23"/>
  </w:num>
  <w:num w:numId="25" w16cid:durableId="576476626">
    <w:abstractNumId w:val="32"/>
  </w:num>
  <w:num w:numId="26" w16cid:durableId="2043166358">
    <w:abstractNumId w:val="15"/>
  </w:num>
  <w:num w:numId="27" w16cid:durableId="813251732">
    <w:abstractNumId w:val="18"/>
  </w:num>
  <w:num w:numId="28" w16cid:durableId="2104254794">
    <w:abstractNumId w:val="29"/>
  </w:num>
  <w:num w:numId="29" w16cid:durableId="797647566">
    <w:abstractNumId w:val="36"/>
  </w:num>
  <w:num w:numId="30" w16cid:durableId="1923181154">
    <w:abstractNumId w:val="2"/>
  </w:num>
  <w:num w:numId="31" w16cid:durableId="24087306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047419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56681034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5718260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2608645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6833696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61603191">
    <w:abstractNumId w:val="35"/>
  </w:num>
  <w:num w:numId="38" w16cid:durableId="1899121240">
    <w:abstractNumId w:val="10"/>
  </w:num>
  <w:num w:numId="39" w16cid:durableId="941181235">
    <w:abstractNumId w:val="11"/>
  </w:num>
  <w:num w:numId="40" w16cid:durableId="236672898">
    <w:abstractNumId w:val="22"/>
  </w:num>
  <w:num w:numId="41" w16cid:durableId="1250040886">
    <w:abstractNumId w:val="3"/>
  </w:num>
  <w:num w:numId="42" w16cid:durableId="7097664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10403"/>
    <w:rsid w:val="00010BBD"/>
    <w:rsid w:val="0002303C"/>
    <w:rsid w:val="00025683"/>
    <w:rsid w:val="000574F4"/>
    <w:rsid w:val="00064607"/>
    <w:rsid w:val="0007218D"/>
    <w:rsid w:val="000727AB"/>
    <w:rsid w:val="00072F0F"/>
    <w:rsid w:val="00076E94"/>
    <w:rsid w:val="00080D79"/>
    <w:rsid w:val="0008209F"/>
    <w:rsid w:val="0009065C"/>
    <w:rsid w:val="000945D2"/>
    <w:rsid w:val="000A48F6"/>
    <w:rsid w:val="000F330D"/>
    <w:rsid w:val="00107026"/>
    <w:rsid w:val="00114900"/>
    <w:rsid w:val="00130F48"/>
    <w:rsid w:val="00140BFD"/>
    <w:rsid w:val="0014435F"/>
    <w:rsid w:val="001518E9"/>
    <w:rsid w:val="00152BE5"/>
    <w:rsid w:val="001620E1"/>
    <w:rsid w:val="00171C67"/>
    <w:rsid w:val="00180837"/>
    <w:rsid w:val="001822C7"/>
    <w:rsid w:val="001B054A"/>
    <w:rsid w:val="001B47D9"/>
    <w:rsid w:val="001C15BD"/>
    <w:rsid w:val="001C215F"/>
    <w:rsid w:val="001D3422"/>
    <w:rsid w:val="001E18D3"/>
    <w:rsid w:val="001E250C"/>
    <w:rsid w:val="001F326B"/>
    <w:rsid w:val="002309CF"/>
    <w:rsid w:val="00232E15"/>
    <w:rsid w:val="00251937"/>
    <w:rsid w:val="002528BA"/>
    <w:rsid w:val="002550F6"/>
    <w:rsid w:val="002641A4"/>
    <w:rsid w:val="00266289"/>
    <w:rsid w:val="002721B4"/>
    <w:rsid w:val="002722E1"/>
    <w:rsid w:val="00283805"/>
    <w:rsid w:val="002B1200"/>
    <w:rsid w:val="002D70B4"/>
    <w:rsid w:val="002F23A4"/>
    <w:rsid w:val="002F2C62"/>
    <w:rsid w:val="00300CDE"/>
    <w:rsid w:val="00305B72"/>
    <w:rsid w:val="003122A2"/>
    <w:rsid w:val="00315727"/>
    <w:rsid w:val="00320943"/>
    <w:rsid w:val="003314F2"/>
    <w:rsid w:val="00336F04"/>
    <w:rsid w:val="0034299B"/>
    <w:rsid w:val="00354A90"/>
    <w:rsid w:val="00356D8A"/>
    <w:rsid w:val="00362B72"/>
    <w:rsid w:val="00371A80"/>
    <w:rsid w:val="00390B53"/>
    <w:rsid w:val="003B1625"/>
    <w:rsid w:val="003C0596"/>
    <w:rsid w:val="003C3D43"/>
    <w:rsid w:val="003D2F14"/>
    <w:rsid w:val="003D7D1B"/>
    <w:rsid w:val="003E0585"/>
    <w:rsid w:val="003E5AE9"/>
    <w:rsid w:val="00407279"/>
    <w:rsid w:val="00410FC9"/>
    <w:rsid w:val="00423EF9"/>
    <w:rsid w:val="004270A2"/>
    <w:rsid w:val="00427EE0"/>
    <w:rsid w:val="00435C6F"/>
    <w:rsid w:val="00437ADA"/>
    <w:rsid w:val="00446B81"/>
    <w:rsid w:val="00492022"/>
    <w:rsid w:val="0049228C"/>
    <w:rsid w:val="004A395D"/>
    <w:rsid w:val="004E5A01"/>
    <w:rsid w:val="004F0A51"/>
    <w:rsid w:val="00503252"/>
    <w:rsid w:val="0050667E"/>
    <w:rsid w:val="0050735D"/>
    <w:rsid w:val="00517B3F"/>
    <w:rsid w:val="005207F6"/>
    <w:rsid w:val="00525719"/>
    <w:rsid w:val="005270F2"/>
    <w:rsid w:val="00531F96"/>
    <w:rsid w:val="00534BC3"/>
    <w:rsid w:val="00536936"/>
    <w:rsid w:val="00541EA5"/>
    <w:rsid w:val="00553922"/>
    <w:rsid w:val="005607EC"/>
    <w:rsid w:val="00563F31"/>
    <w:rsid w:val="0058456C"/>
    <w:rsid w:val="00590C78"/>
    <w:rsid w:val="00595017"/>
    <w:rsid w:val="005973C2"/>
    <w:rsid w:val="005A2DEF"/>
    <w:rsid w:val="005A5E9F"/>
    <w:rsid w:val="005B6A22"/>
    <w:rsid w:val="005D3D80"/>
    <w:rsid w:val="005D4BB5"/>
    <w:rsid w:val="005D7297"/>
    <w:rsid w:val="005F5129"/>
    <w:rsid w:val="00600837"/>
    <w:rsid w:val="00601206"/>
    <w:rsid w:val="00606C8B"/>
    <w:rsid w:val="00607999"/>
    <w:rsid w:val="006118A3"/>
    <w:rsid w:val="00650004"/>
    <w:rsid w:val="00662289"/>
    <w:rsid w:val="006630B3"/>
    <w:rsid w:val="00672BF4"/>
    <w:rsid w:val="00673497"/>
    <w:rsid w:val="00687A2F"/>
    <w:rsid w:val="006A4AC4"/>
    <w:rsid w:val="006B508D"/>
    <w:rsid w:val="006C28C9"/>
    <w:rsid w:val="006F4B4D"/>
    <w:rsid w:val="006F4D3D"/>
    <w:rsid w:val="00712311"/>
    <w:rsid w:val="0072771F"/>
    <w:rsid w:val="007347FC"/>
    <w:rsid w:val="00761A77"/>
    <w:rsid w:val="00763AF8"/>
    <w:rsid w:val="007660BE"/>
    <w:rsid w:val="007672A7"/>
    <w:rsid w:val="00772E59"/>
    <w:rsid w:val="0077405F"/>
    <w:rsid w:val="0077736B"/>
    <w:rsid w:val="00783C08"/>
    <w:rsid w:val="00790B61"/>
    <w:rsid w:val="00794BF7"/>
    <w:rsid w:val="007959CD"/>
    <w:rsid w:val="007A0260"/>
    <w:rsid w:val="007B646B"/>
    <w:rsid w:val="007C6770"/>
    <w:rsid w:val="007E43D4"/>
    <w:rsid w:val="007E6C13"/>
    <w:rsid w:val="007F06FC"/>
    <w:rsid w:val="007F1DEC"/>
    <w:rsid w:val="007F4648"/>
    <w:rsid w:val="007F6BA4"/>
    <w:rsid w:val="00803507"/>
    <w:rsid w:val="00805640"/>
    <w:rsid w:val="00817269"/>
    <w:rsid w:val="00827D73"/>
    <w:rsid w:val="008414F8"/>
    <w:rsid w:val="00854305"/>
    <w:rsid w:val="008557CE"/>
    <w:rsid w:val="00855F46"/>
    <w:rsid w:val="0086560D"/>
    <w:rsid w:val="00865F71"/>
    <w:rsid w:val="00870C32"/>
    <w:rsid w:val="0087139B"/>
    <w:rsid w:val="0088277B"/>
    <w:rsid w:val="00886A87"/>
    <w:rsid w:val="00887000"/>
    <w:rsid w:val="008924E6"/>
    <w:rsid w:val="008A340F"/>
    <w:rsid w:val="008C3625"/>
    <w:rsid w:val="008C7119"/>
    <w:rsid w:val="008D11B9"/>
    <w:rsid w:val="008D2463"/>
    <w:rsid w:val="008E12B9"/>
    <w:rsid w:val="00903DE0"/>
    <w:rsid w:val="00904E18"/>
    <w:rsid w:val="0090705B"/>
    <w:rsid w:val="00907DC1"/>
    <w:rsid w:val="009129E1"/>
    <w:rsid w:val="00914E5E"/>
    <w:rsid w:val="0092342E"/>
    <w:rsid w:val="00953CFA"/>
    <w:rsid w:val="009555BC"/>
    <w:rsid w:val="009875FE"/>
    <w:rsid w:val="00996544"/>
    <w:rsid w:val="009A2BF4"/>
    <w:rsid w:val="009B7F6B"/>
    <w:rsid w:val="009C2187"/>
    <w:rsid w:val="009C51D3"/>
    <w:rsid w:val="009D0DBF"/>
    <w:rsid w:val="009E0044"/>
    <w:rsid w:val="009F4B3F"/>
    <w:rsid w:val="009F4FB5"/>
    <w:rsid w:val="00A17495"/>
    <w:rsid w:val="00A331F9"/>
    <w:rsid w:val="00A43E10"/>
    <w:rsid w:val="00A479D9"/>
    <w:rsid w:val="00A55142"/>
    <w:rsid w:val="00A569FB"/>
    <w:rsid w:val="00A60A40"/>
    <w:rsid w:val="00A666C1"/>
    <w:rsid w:val="00A66F13"/>
    <w:rsid w:val="00A7238E"/>
    <w:rsid w:val="00A7313F"/>
    <w:rsid w:val="00A73181"/>
    <w:rsid w:val="00A837A6"/>
    <w:rsid w:val="00A905A2"/>
    <w:rsid w:val="00AA1D06"/>
    <w:rsid w:val="00AB40B0"/>
    <w:rsid w:val="00AE6082"/>
    <w:rsid w:val="00AF0E13"/>
    <w:rsid w:val="00AF36E9"/>
    <w:rsid w:val="00AF734A"/>
    <w:rsid w:val="00AF7620"/>
    <w:rsid w:val="00B01965"/>
    <w:rsid w:val="00B02E8B"/>
    <w:rsid w:val="00B11593"/>
    <w:rsid w:val="00B1171A"/>
    <w:rsid w:val="00B15B5F"/>
    <w:rsid w:val="00B17D6F"/>
    <w:rsid w:val="00B204C2"/>
    <w:rsid w:val="00B56841"/>
    <w:rsid w:val="00B6299D"/>
    <w:rsid w:val="00B841AD"/>
    <w:rsid w:val="00B92905"/>
    <w:rsid w:val="00B937BA"/>
    <w:rsid w:val="00B975A7"/>
    <w:rsid w:val="00BA1DD7"/>
    <w:rsid w:val="00BA3E99"/>
    <w:rsid w:val="00BA69FE"/>
    <w:rsid w:val="00BB0601"/>
    <w:rsid w:val="00BB34AB"/>
    <w:rsid w:val="00BC0283"/>
    <w:rsid w:val="00BE107D"/>
    <w:rsid w:val="00BE672C"/>
    <w:rsid w:val="00C02E2C"/>
    <w:rsid w:val="00C1165D"/>
    <w:rsid w:val="00C1297E"/>
    <w:rsid w:val="00C149F9"/>
    <w:rsid w:val="00C32387"/>
    <w:rsid w:val="00C44A28"/>
    <w:rsid w:val="00C51353"/>
    <w:rsid w:val="00C5705E"/>
    <w:rsid w:val="00C61229"/>
    <w:rsid w:val="00C63042"/>
    <w:rsid w:val="00C81F48"/>
    <w:rsid w:val="00CA151D"/>
    <w:rsid w:val="00CA66BD"/>
    <w:rsid w:val="00CD14CC"/>
    <w:rsid w:val="00CE6BA6"/>
    <w:rsid w:val="00D0269B"/>
    <w:rsid w:val="00D1188F"/>
    <w:rsid w:val="00D158E6"/>
    <w:rsid w:val="00D16093"/>
    <w:rsid w:val="00D160BC"/>
    <w:rsid w:val="00D3204C"/>
    <w:rsid w:val="00D40067"/>
    <w:rsid w:val="00D40B09"/>
    <w:rsid w:val="00D452D5"/>
    <w:rsid w:val="00D553B8"/>
    <w:rsid w:val="00D645BA"/>
    <w:rsid w:val="00D64C64"/>
    <w:rsid w:val="00D72F69"/>
    <w:rsid w:val="00D73585"/>
    <w:rsid w:val="00D743F1"/>
    <w:rsid w:val="00D86D3D"/>
    <w:rsid w:val="00D94C60"/>
    <w:rsid w:val="00D94F5C"/>
    <w:rsid w:val="00D96AE0"/>
    <w:rsid w:val="00D96D3E"/>
    <w:rsid w:val="00DA7EA4"/>
    <w:rsid w:val="00DB45F1"/>
    <w:rsid w:val="00DB7E22"/>
    <w:rsid w:val="00DD52F2"/>
    <w:rsid w:val="00DE7FDE"/>
    <w:rsid w:val="00E06C90"/>
    <w:rsid w:val="00E10A61"/>
    <w:rsid w:val="00E15EA7"/>
    <w:rsid w:val="00E21413"/>
    <w:rsid w:val="00E24FBF"/>
    <w:rsid w:val="00E31E73"/>
    <w:rsid w:val="00E3345A"/>
    <w:rsid w:val="00E5043C"/>
    <w:rsid w:val="00E73427"/>
    <w:rsid w:val="00E73C14"/>
    <w:rsid w:val="00E80C76"/>
    <w:rsid w:val="00E93732"/>
    <w:rsid w:val="00EB340B"/>
    <w:rsid w:val="00EB6BD1"/>
    <w:rsid w:val="00EC4FF1"/>
    <w:rsid w:val="00EC769D"/>
    <w:rsid w:val="00EE0F3E"/>
    <w:rsid w:val="00EE3945"/>
    <w:rsid w:val="00EE4C19"/>
    <w:rsid w:val="00EE5870"/>
    <w:rsid w:val="00EE5FB0"/>
    <w:rsid w:val="00EF7118"/>
    <w:rsid w:val="00F137D8"/>
    <w:rsid w:val="00F32149"/>
    <w:rsid w:val="00F3380D"/>
    <w:rsid w:val="00F47D68"/>
    <w:rsid w:val="00F5727E"/>
    <w:rsid w:val="00F80FC6"/>
    <w:rsid w:val="00F82BCB"/>
    <w:rsid w:val="00FA0299"/>
    <w:rsid w:val="00FA0A11"/>
    <w:rsid w:val="00FA5B3B"/>
    <w:rsid w:val="00FB4922"/>
    <w:rsid w:val="00FC34D3"/>
    <w:rsid w:val="00FE2D64"/>
    <w:rsid w:val="00FE6608"/>
    <w:rsid w:val="00FF2C30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  <w:style w:type="character" w:customStyle="1" w:styleId="ui-provider">
    <w:name w:val="ui-provider"/>
    <w:basedOn w:val="Fuentedeprrafopredeter"/>
    <w:rsid w:val="00D9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754292F1-17B3-4E27-AF84-7F0C696DE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4EAC4-1130-4CC1-A0EB-00BCCABB5020}"/>
</file>

<file path=customXml/itemProps4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4444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Irazuzta, Natalia</dc:creator>
  <cp:lastModifiedBy>Villanova Briceño, Joanna Carolina</cp:lastModifiedBy>
  <cp:revision>84</cp:revision>
  <cp:lastPrinted>2021-03-09T23:14:00Z</cp:lastPrinted>
  <dcterms:created xsi:type="dcterms:W3CDTF">2022-03-11T17:23:00Z</dcterms:created>
  <dcterms:modified xsi:type="dcterms:W3CDTF">2023-07-12T19:14:00Z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0x01010006E5A1E74795604189D3CE54AA924310</vt:lpwstr>
  </property>
  <property fmtid="{D5CDD505-2E9C-101B-9397-08002B2CF9AE}" pid="3" name="MediaServiceImageTags">
    <vt:lpwstr/>
  </property>
</Properties>
</file>